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10-Q</w:t>
      </w:r>
    </w:p>
    <w:p>
      <w:pPr>
        <w:spacing w:after="0" w:line="1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162" w:lineRule="exact"/>
        <w:rPr>
          <w:sz w:val="24"/>
          <w:szCs w:val="24"/>
          <w:color w:val="auto"/>
        </w:rPr>
      </w:pPr>
    </w:p>
    <w:p>
      <w:pPr>
        <w:ind w:left="720" w:right="160" w:hanging="685"/>
        <w:spacing w:after="0" w:line="256" w:lineRule="auto"/>
        <w:tabs>
          <w:tab w:leader="none" w:pos="72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4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For the quarterly period ended August 4, 2018</w:t>
      </w:r>
    </w:p>
    <w:p>
      <w:pPr>
        <w:spacing w:after="0" w:line="17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or</w:t>
      </w:r>
    </w:p>
    <w:p>
      <w:pPr>
        <w:spacing w:after="0" w:line="162" w:lineRule="exact"/>
        <w:rPr>
          <w:sz w:val="24"/>
          <w:szCs w:val="24"/>
          <w:color w:val="auto"/>
        </w:rPr>
      </w:pPr>
    </w:p>
    <w:p>
      <w:pPr>
        <w:ind w:left="720" w:right="260" w:hanging="685"/>
        <w:spacing w:after="0" w:line="256" w:lineRule="auto"/>
        <w:tabs>
          <w:tab w:leader="none" w:pos="720" w:val="left"/>
        </w:tabs>
        <w:numPr>
          <w:ilvl w:val="0"/>
          <w:numId w:val="2"/>
        </w:numPr>
        <w:rPr>
          <w:rFonts w:ascii="MS PGothic" w:cs="MS PGothic" w:eastAsia="MS PGothic" w:hAnsi="MS PGothic"/>
          <w:sz w:val="22"/>
          <w:szCs w:val="22"/>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145" w:lineRule="exact"/>
        <w:rPr>
          <w:sz w:val="24"/>
          <w:szCs w:val="24"/>
          <w:color w:val="auto"/>
        </w:rPr>
      </w:pPr>
    </w:p>
    <w:p>
      <w:pPr>
        <w:ind w:left="386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-7620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15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Commission file number: 000-30877</w:t>
      </w:r>
    </w:p>
    <w:p>
      <w:pPr>
        <w:spacing w:after="0" w:line="79"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51" w:lineRule="exact"/>
        <w:rPr>
          <w:sz w:val="24"/>
          <w:szCs w:val="24"/>
          <w:color w:val="auto"/>
        </w:rPr>
      </w:pPr>
    </w:p>
    <w:tbl>
      <w:tblPr>
        <w:tblLayout w:type="fixed"/>
        <w:tblInd w:w="1880" w:type="dxa"/>
        <w:tblCellMar>
          <w:top w:w="0" w:type="dxa"/>
          <w:left w:w="0" w:type="dxa"/>
          <w:bottom w:w="0" w:type="dxa"/>
          <w:right w:w="0" w:type="dxa"/>
        </w:tblCellMar>
      </w:tblPr>
      <w:tr>
        <w:trPr>
          <w:trHeight w:val="234"/>
        </w:trPr>
        <w:tc>
          <w:tcPr>
            <w:tcW w:w="4060" w:type="dxa"/>
            <w:vAlign w:val="bottom"/>
          </w:tcPr>
          <w:p>
            <w:pPr>
              <w:jc w:val="center"/>
              <w:ind w:right="2102"/>
              <w:spacing w:after="0"/>
              <w:rPr>
                <w:sz w:val="20"/>
                <w:szCs w:val="20"/>
                <w:color w:val="auto"/>
              </w:rPr>
            </w:pPr>
            <w:r>
              <w:rPr>
                <w:rFonts w:ascii="Arial" w:cs="Arial" w:eastAsia="Arial" w:hAnsi="Arial"/>
                <w:sz w:val="18"/>
                <w:szCs w:val="18"/>
                <w:b w:val="1"/>
                <w:bCs w:val="1"/>
                <w:color w:val="auto"/>
                <w:w w:val="92"/>
              </w:rPr>
              <w:t>Bermuda</w:t>
            </w:r>
          </w:p>
        </w:tc>
        <w:tc>
          <w:tcPr>
            <w:tcW w:w="3300" w:type="dxa"/>
            <w:vAlign w:val="bottom"/>
          </w:tcPr>
          <w:p>
            <w:pPr>
              <w:jc w:val="center"/>
              <w:ind w:left="212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60" w:type="dxa"/>
            <w:vAlign w:val="bottom"/>
          </w:tcPr>
          <w:p>
            <w:pPr>
              <w:jc w:val="center"/>
              <w:ind w:right="2122"/>
              <w:spacing w:after="0"/>
              <w:rPr>
                <w:sz w:val="20"/>
                <w:szCs w:val="20"/>
                <w:color w:val="auto"/>
              </w:rPr>
            </w:pPr>
            <w:r>
              <w:rPr>
                <w:rFonts w:ascii="Arial" w:cs="Arial" w:eastAsia="Arial" w:hAnsi="Arial"/>
                <w:sz w:val="14"/>
                <w:szCs w:val="14"/>
                <w:b w:val="1"/>
                <w:bCs w:val="1"/>
                <w:color w:val="auto"/>
                <w:w w:val="92"/>
              </w:rPr>
              <w:t>(State or other jurisdiction of</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60" w:type="dxa"/>
            <w:vAlign w:val="bottom"/>
          </w:tcPr>
          <w:p>
            <w:pPr>
              <w:jc w:val="center"/>
              <w:ind w:right="2122"/>
              <w:spacing w:after="0"/>
              <w:rPr>
                <w:sz w:val="20"/>
                <w:szCs w:val="20"/>
                <w:color w:val="auto"/>
              </w:rPr>
            </w:pPr>
            <w:r>
              <w:rPr>
                <w:rFonts w:ascii="Arial" w:cs="Arial" w:eastAsia="Arial" w:hAnsi="Arial"/>
                <w:sz w:val="14"/>
                <w:szCs w:val="14"/>
                <w:b w:val="1"/>
                <w:bCs w:val="1"/>
                <w:color w:val="auto"/>
                <w:w w:val="93"/>
              </w:rPr>
              <w:t>incorporation or organization)</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15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56" w:lineRule="exact"/>
        <w:rPr>
          <w:sz w:val="24"/>
          <w:szCs w:val="24"/>
          <w:color w:val="auto"/>
        </w:rPr>
      </w:pPr>
    </w:p>
    <w:p>
      <w:pPr>
        <w:ind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ind w:right="220"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57"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88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512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3520" w:type="dxa"/>
            <w:vAlign w:val="bottom"/>
          </w:tcPr>
          <w:p>
            <w:pPr>
              <w:ind w:left="1220"/>
              <w:spacing w:after="0"/>
              <w:rPr>
                <w:sz w:val="20"/>
                <w:szCs w:val="20"/>
                <w:color w:val="auto"/>
              </w:rPr>
            </w:pPr>
            <w:r>
              <w:rPr>
                <w:rFonts w:ascii="Arial" w:cs="Arial" w:eastAsia="Arial" w:hAnsi="Arial"/>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880" w:type="dxa"/>
            <w:vAlign w:val="bottom"/>
          </w:tcPr>
          <w:p>
            <w:pPr>
              <w:spacing w:after="0"/>
              <w:rPr>
                <w:sz w:val="20"/>
                <w:szCs w:val="20"/>
                <w:color w:val="auto"/>
              </w:rPr>
            </w:pPr>
            <w:r>
              <w:rPr>
                <w:rFonts w:ascii="Arial" w:cs="Arial" w:eastAsia="Arial" w:hAnsi="Arial"/>
                <w:sz w:val="18"/>
                <w:szCs w:val="18"/>
                <w:color w:val="auto"/>
              </w:rPr>
              <w:t>Non-accelerated filer</w:t>
            </w:r>
          </w:p>
        </w:tc>
        <w:tc>
          <w:tcPr>
            <w:tcW w:w="5120" w:type="dxa"/>
            <w:vAlign w:val="bottom"/>
          </w:tcPr>
          <w:p>
            <w:pPr>
              <w:ind w:left="2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3520" w:type="dxa"/>
            <w:vAlign w:val="bottom"/>
          </w:tcPr>
          <w:p>
            <w:pPr>
              <w:ind w:left="1220"/>
              <w:spacing w:after="0"/>
              <w:rPr>
                <w:sz w:val="20"/>
                <w:szCs w:val="20"/>
                <w:color w:val="auto"/>
              </w:rPr>
            </w:pPr>
            <w:r>
              <w:rPr>
                <w:rFonts w:ascii="Arial" w:cs="Arial" w:eastAsia="Arial" w:hAnsi="Arial"/>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880" w:type="dxa"/>
            <w:vAlign w:val="bottom"/>
          </w:tcPr>
          <w:p>
            <w:pPr>
              <w:spacing w:after="0"/>
              <w:rPr>
                <w:sz w:val="24"/>
                <w:szCs w:val="24"/>
                <w:color w:val="auto"/>
              </w:rPr>
            </w:pPr>
          </w:p>
        </w:tc>
        <w:tc>
          <w:tcPr>
            <w:tcW w:w="5120" w:type="dxa"/>
            <w:vAlign w:val="bottom"/>
          </w:tcPr>
          <w:p>
            <w:pPr>
              <w:spacing w:after="0"/>
              <w:rPr>
                <w:sz w:val="24"/>
                <w:szCs w:val="24"/>
                <w:color w:val="auto"/>
              </w:rPr>
            </w:pPr>
          </w:p>
        </w:tc>
        <w:tc>
          <w:tcPr>
            <w:tcW w:w="3520" w:type="dxa"/>
            <w:vAlign w:val="bottom"/>
          </w:tcPr>
          <w:p>
            <w:pPr>
              <w:ind w:left="1220"/>
              <w:spacing w:after="0"/>
              <w:rPr>
                <w:sz w:val="20"/>
                <w:szCs w:val="20"/>
                <w:color w:val="auto"/>
              </w:rPr>
            </w:pPr>
            <w:r>
              <w:rPr>
                <w:rFonts w:ascii="Arial" w:cs="Arial" w:eastAsia="Arial" w:hAnsi="Arial"/>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209" w:lineRule="exact"/>
        <w:rPr>
          <w:sz w:val="24"/>
          <w:szCs w:val="24"/>
          <w:color w:val="auto"/>
        </w:rPr>
      </w:pPr>
    </w:p>
    <w:p>
      <w:pPr>
        <w:ind w:right="220" w:firstLine="432"/>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50" w:lineRule="exact"/>
        <w:rPr>
          <w:sz w:val="24"/>
          <w:szCs w:val="24"/>
          <w:color w:val="auto"/>
        </w:rPr>
      </w:pPr>
    </w:p>
    <w:p>
      <w:pPr>
        <w:ind w:left="440"/>
        <w:spacing w:after="0" w:line="196" w:lineRule="exact"/>
        <w:tabs>
          <w:tab w:leader="none" w:pos="9380" w:val="left"/>
        </w:tabs>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w:t>
      </w:r>
      <w:r>
        <w:rPr>
          <w:sz w:val="20"/>
          <w:szCs w:val="20"/>
          <w:color w:val="auto"/>
        </w:rPr>
        <w:tab/>
      </w:r>
      <w:r>
        <w:rPr>
          <w:rFonts w:ascii="MS PGothic" w:cs="MS PGothic" w:eastAsia="MS PGothic" w:hAnsi="MS PGothic"/>
          <w:sz w:val="16"/>
          <w:szCs w:val="16"/>
          <w:color w:val="auto"/>
        </w:rPr>
        <w:t xml:space="preserve">☒ </w:t>
      </w:r>
      <w:r>
        <w:rPr>
          <w:rFonts w:ascii="Arial" w:cs="Arial" w:eastAsia="Arial" w:hAnsi="Arial"/>
          <w:sz w:val="16"/>
          <w:szCs w:val="16"/>
          <w:color w:val="auto"/>
        </w:rPr>
        <w:t>No</w:t>
      </w:r>
    </w:p>
    <w:p>
      <w:pPr>
        <w:spacing w:after="0" w:line="256" w:lineRule="exact"/>
        <w:rPr>
          <w:sz w:val="24"/>
          <w:szCs w:val="24"/>
          <w:color w:val="auto"/>
        </w:rPr>
      </w:pPr>
    </w:p>
    <w:p>
      <w:pPr>
        <w:ind w:left="440"/>
        <w:spacing w:after="0"/>
        <w:rPr>
          <w:sz w:val="20"/>
          <w:szCs w:val="20"/>
          <w:color w:val="auto"/>
        </w:rPr>
      </w:pPr>
      <w:r>
        <w:rPr>
          <w:rFonts w:ascii="Arial" w:cs="Arial" w:eastAsia="Arial" w:hAnsi="Arial"/>
          <w:sz w:val="18"/>
          <w:szCs w:val="18"/>
          <w:color w:val="auto"/>
        </w:rPr>
        <w:t>The number of common shares of the registrant outstanding as of September 5, 2018 was 658.4 million shares.</w:t>
      </w:r>
    </w:p>
    <w:p>
      <w:pPr>
        <w:sectPr>
          <w:pgSz w:w="11900" w:h="16838" w:orient="portrait"/>
          <w:cols w:equalWidth="0" w:num="1">
            <w:col w:w="11380"/>
          </w:cols>
          <w:pgMar w:left="240" w:top="463" w:right="279" w:bottom="1440" w:gutter="0" w:footer="0" w:header="0"/>
        </w:sectPr>
      </w:pPr>
    </w:p>
    <w:bookmarkStart w:id="1" w:name="page2"/>
    <w:bookmarkEnd w:id="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5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6680" w:type="dxa"/>
            <w:vAlign w:val="bottom"/>
            <w:gridSpan w:val="11"/>
          </w:tcPr>
          <w:p>
            <w:pPr>
              <w:jc w:val="center"/>
              <w:ind w:right="3620"/>
              <w:spacing w:after="0" w:line="189" w:lineRule="exact"/>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220" w:type="dxa"/>
            <w:vAlign w:val="bottom"/>
            <w:gridSpan w:val="8"/>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6"/>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August 4, 2018 and February 3, 2018</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
              <w:r>
                <w:rPr>
                  <w:rFonts w:ascii="Arial" w:cs="Arial" w:eastAsia="Arial" w:hAnsi="Arial"/>
                  <w:sz w:val="18"/>
                  <w:szCs w:val="18"/>
                  <w:color w:val="0000EE"/>
                </w:rPr>
                <w:t>2</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460" w:type="dxa"/>
            <w:vAlign w:val="bottom"/>
            <w:tcBorders>
              <w:bottom w:val="single" w:sz="8" w:color="0000EE"/>
            </w:tcBorders>
            <w:gridSpan w:val="17"/>
          </w:tcPr>
          <w:p>
            <w:pPr>
              <w:spacing w:after="0"/>
              <w:rPr>
                <w:rFonts w:ascii="Arial" w:cs="Arial" w:eastAsia="Arial" w:hAnsi="Arial"/>
                <w:sz w:val="18"/>
                <w:szCs w:val="18"/>
                <w:color w:val="0000EE"/>
                <w:w w:val="89"/>
              </w:rPr>
            </w:pPr>
            <w:hyperlink w:anchor="page4">
              <w:r>
                <w:rPr>
                  <w:rFonts w:ascii="Arial" w:cs="Arial" w:eastAsia="Arial" w:hAnsi="Arial"/>
                  <w:sz w:val="18"/>
                  <w:szCs w:val="18"/>
                  <w:color w:val="0000EE"/>
                  <w:w w:val="89"/>
                </w:rPr>
                <w:t>Unaudited Condensed Consolidated Statements of Operations for the three and six months ended August 4, 2018 and July 29, 2017</w:t>
              </w:r>
            </w:hyperlink>
          </w:p>
        </w:tc>
        <w:tc>
          <w:tcPr>
            <w:tcW w:w="440" w:type="dxa"/>
            <w:vAlign w:val="bottom"/>
            <w:gridSpan w:val="2"/>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4">
              <w:r>
                <w:rPr>
                  <w:rFonts w:ascii="Arial" w:cs="Arial" w:eastAsia="Arial" w:hAnsi="Arial"/>
                  <w:sz w:val="18"/>
                  <w:szCs w:val="18"/>
                  <w:color w:val="0000EE"/>
                  <w:w w:val="79"/>
                </w:rPr>
                <w:t>3</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Arial" w:cs="Arial" w:eastAsia="Arial" w:hAnsi="Arial"/>
                <w:sz w:val="18"/>
                <w:szCs w:val="18"/>
                <w:color w:val="0000EE"/>
                <w:w w:val="92"/>
              </w:rPr>
            </w:pPr>
            <w:hyperlink w:anchor="page5">
              <w:r>
                <w:rPr>
                  <w:rFonts w:ascii="Arial" w:cs="Arial" w:eastAsia="Arial" w:hAnsi="Arial"/>
                  <w:sz w:val="18"/>
                  <w:szCs w:val="18"/>
                  <w:color w:val="0000EE"/>
                  <w:w w:val="92"/>
                </w:rPr>
                <w:t>Unaudited Condensed Consolidated Statements of Comprehensive Income (Loss) for the three and six months ended August 4, 2018</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28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color w:val="0000EE"/>
                <w:w w:val="88"/>
              </w:rPr>
            </w:pPr>
            <w:hyperlink w:anchor="page5">
              <w:r>
                <w:rPr>
                  <w:rFonts w:ascii="Arial" w:cs="Arial" w:eastAsia="Arial" w:hAnsi="Arial"/>
                  <w:sz w:val="18"/>
                  <w:szCs w:val="18"/>
                  <w:color w:val="0000EE"/>
                  <w:w w:val="88"/>
                </w:rPr>
                <w:t>and July 29, 2017</w:t>
              </w:r>
            </w:hyperlink>
          </w:p>
        </w:tc>
        <w:tc>
          <w:tcPr>
            <w:tcW w:w="8280" w:type="dxa"/>
            <w:vAlign w:val="bottom"/>
            <w:tcBorders>
              <w:top w:val="single" w:sz="8" w:color="0000EE"/>
            </w:tcBorders>
            <w:gridSpan w:val="14"/>
          </w:tcPr>
          <w:p>
            <w:pPr>
              <w:spacing w:after="0"/>
              <w:rPr>
                <w:sz w:val="17"/>
                <w:szCs w:val="17"/>
                <w:color w:val="auto"/>
              </w:rPr>
            </w:pPr>
          </w:p>
        </w:tc>
        <w:tc>
          <w:tcPr>
            <w:tcW w:w="34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Arial" w:cs="Arial" w:eastAsia="Arial" w:hAnsi="Arial"/>
                <w:sz w:val="18"/>
                <w:szCs w:val="18"/>
                <w:color w:val="0000EE"/>
                <w:w w:val="79"/>
              </w:rPr>
            </w:pPr>
            <w:hyperlink w:anchor="page5">
              <w:r>
                <w:rPr>
                  <w:rFonts w:ascii="Arial" w:cs="Arial" w:eastAsia="Arial" w:hAnsi="Arial"/>
                  <w:sz w:val="18"/>
                  <w:szCs w:val="18"/>
                  <w:color w:val="0000EE"/>
                  <w:w w:val="79"/>
                </w:rPr>
                <w:t>4</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Unaudited Condensed Consolidated Statements of Cash Flows for the six months ended August 4, 2018 and July 29, 2017</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6">
              <w:r>
                <w:rPr>
                  <w:rFonts w:ascii="Arial" w:cs="Arial" w:eastAsia="Arial" w:hAnsi="Arial"/>
                  <w:sz w:val="18"/>
                  <w:szCs w:val="18"/>
                  <w:color w:val="0000EE"/>
                </w:rPr>
                <w:t>5</w:t>
              </w:r>
            </w:hyperlink>
          </w:p>
        </w:tc>
      </w:tr>
      <w:tr>
        <w:trPr>
          <w:trHeight w:val="250"/>
        </w:trPr>
        <w:tc>
          <w:tcPr>
            <w:tcW w:w="920" w:type="dxa"/>
            <w:vAlign w:val="bottom"/>
          </w:tcPr>
          <w:p>
            <w:pPr>
              <w:spacing w:after="0"/>
              <w:rPr>
                <w:sz w:val="21"/>
                <w:szCs w:val="21"/>
                <w:color w:val="auto"/>
              </w:rPr>
            </w:pPr>
          </w:p>
        </w:tc>
        <w:tc>
          <w:tcPr>
            <w:tcW w:w="8800" w:type="dxa"/>
            <w:vAlign w:val="bottom"/>
            <w:tcBorders>
              <w:top w:val="single" w:sz="8" w:color="0000EE"/>
            </w:tcBorders>
            <w:gridSpan w:val="16"/>
          </w:tcPr>
          <w:p>
            <w:pPr>
              <w:spacing w:after="0"/>
              <w:rPr>
                <w:rFonts w:ascii="Arial" w:cs="Arial" w:eastAsia="Arial" w:hAnsi="Arial"/>
                <w:sz w:val="18"/>
                <w:szCs w:val="18"/>
                <w:color w:val="0000EE"/>
              </w:rPr>
            </w:pPr>
            <w:hyperlink w:anchor="page8">
              <w:r>
                <w:rPr>
                  <w:rFonts w:ascii="Arial" w:cs="Arial" w:eastAsia="Arial" w:hAnsi="Arial"/>
                  <w:sz w:val="18"/>
                  <w:szCs w:val="18"/>
                  <w:color w:val="0000EE"/>
                </w:rPr>
                <w:t>Notes to Unaudited Condensed Consolidated Financial Statements</w:t>
              </w:r>
            </w:hyperlink>
          </w:p>
        </w:tc>
        <w:tc>
          <w:tcPr>
            <w:tcW w:w="1100" w:type="dxa"/>
            <w:vAlign w:val="bottom"/>
            <w:gridSpan w:val="3"/>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top w:val="single" w:sz="8" w:color="0000EE"/>
            </w:tcBorders>
          </w:tcPr>
          <w:p>
            <w:pPr>
              <w:jc w:val="right"/>
              <w:spacing w:after="0"/>
              <w:rPr>
                <w:rFonts w:ascii="Arial" w:cs="Arial" w:eastAsia="Arial" w:hAnsi="Arial"/>
                <w:sz w:val="18"/>
                <w:szCs w:val="18"/>
                <w:color w:val="0000EE"/>
                <w:w w:val="79"/>
              </w:rPr>
            </w:pPr>
            <w:hyperlink w:anchor="page8">
              <w:r>
                <w:rPr>
                  <w:rFonts w:ascii="Arial" w:cs="Arial" w:eastAsia="Arial" w:hAnsi="Arial"/>
                  <w:sz w:val="18"/>
                  <w:szCs w:val="18"/>
                  <w:color w:val="0000EE"/>
                  <w:w w:val="79"/>
                </w:rPr>
                <w:t>6</w:t>
              </w:r>
            </w:hyperlink>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6460" w:type="dxa"/>
            <w:vAlign w:val="bottom"/>
            <w:gridSpan w:val="14"/>
          </w:tcPr>
          <w:p>
            <w:pPr>
              <w:spacing w:after="0"/>
              <w:rPr>
                <w:rFonts w:ascii="Arial" w:cs="Arial" w:eastAsia="Arial" w:hAnsi="Arial"/>
                <w:sz w:val="18"/>
                <w:szCs w:val="18"/>
                <w:color w:val="0000EE"/>
                <w:w w:val="90"/>
              </w:rPr>
            </w:pPr>
            <w:hyperlink w:anchor="page33">
              <w:r>
                <w:rPr>
                  <w:rFonts w:ascii="Arial" w:cs="Arial" w:eastAsia="Arial" w:hAnsi="Arial"/>
                  <w:sz w:val="18"/>
                  <w:szCs w:val="18"/>
                  <w:color w:val="0000EE"/>
                  <w:w w:val="90"/>
                </w:rPr>
                <w:t>Management’s Discussion and Analysis of Financial Condition and Results of Operations</w:t>
              </w:r>
            </w:hyperlink>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3">
              <w:r>
                <w:rPr>
                  <w:rFonts w:ascii="Arial" w:cs="Arial" w:eastAsia="Arial" w:hAnsi="Arial"/>
                  <w:sz w:val="18"/>
                  <w:szCs w:val="18"/>
                  <w:color w:val="0000EE"/>
                </w:rPr>
                <w:t>31</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0"/>
          </w:tcPr>
          <w:p>
            <w:pPr>
              <w:spacing w:after="0"/>
              <w:rPr>
                <w:rFonts w:ascii="Arial" w:cs="Arial" w:eastAsia="Arial" w:hAnsi="Arial"/>
                <w:sz w:val="18"/>
                <w:szCs w:val="18"/>
                <w:color w:val="0000EE"/>
                <w:w w:val="91"/>
              </w:rPr>
            </w:pPr>
            <w:hyperlink w:anchor="page43">
              <w:r>
                <w:rPr>
                  <w:rFonts w:ascii="Arial" w:cs="Arial" w:eastAsia="Arial" w:hAnsi="Arial"/>
                  <w:sz w:val="18"/>
                  <w:szCs w:val="18"/>
                  <w:color w:val="0000EE"/>
                  <w:w w:val="91"/>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43">
              <w:r>
                <w:rPr>
                  <w:rFonts w:ascii="Arial" w:cs="Arial" w:eastAsia="Arial" w:hAnsi="Arial"/>
                  <w:sz w:val="18"/>
                  <w:szCs w:val="18"/>
                  <w:color w:val="0000EE"/>
                </w:rPr>
                <w:t>41</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0"/>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Controls and Procedures</w:t>
              </w:r>
            </w:hyperlink>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43">
              <w:r>
                <w:rPr>
                  <w:rFonts w:ascii="Arial" w:cs="Arial" w:eastAsia="Arial" w:hAnsi="Arial"/>
                  <w:sz w:val="18"/>
                  <w:szCs w:val="18"/>
                  <w:color w:val="0000EE"/>
                </w:rPr>
                <w:t>41</w:t>
              </w:r>
            </w:hyperlink>
          </w:p>
        </w:tc>
      </w:tr>
      <w:tr>
        <w:trPr>
          <w:trHeight w:val="250"/>
        </w:trPr>
        <w:tc>
          <w:tcPr>
            <w:tcW w:w="920" w:type="dxa"/>
            <w:vAlign w:val="bottom"/>
          </w:tcPr>
          <w:p>
            <w:pPr>
              <w:spacing w:after="0"/>
              <w:rPr>
                <w:sz w:val="21"/>
                <w:szCs w:val="21"/>
                <w:color w:val="auto"/>
              </w:rPr>
            </w:pPr>
          </w:p>
        </w:tc>
        <w:tc>
          <w:tcPr>
            <w:tcW w:w="600" w:type="dxa"/>
            <w:vAlign w:val="bottom"/>
            <w:tcBorders>
              <w:top w:val="single" w:sz="8" w:color="0000EE"/>
            </w:tcBorders>
          </w:tcPr>
          <w:p>
            <w:pPr>
              <w:spacing w:after="0"/>
              <w:rPr>
                <w:sz w:val="21"/>
                <w:szCs w:val="21"/>
                <w:color w:val="auto"/>
              </w:rPr>
            </w:pPr>
          </w:p>
        </w:tc>
        <w:tc>
          <w:tcPr>
            <w:tcW w:w="16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380" w:type="dxa"/>
            <w:vAlign w:val="bottom"/>
            <w:tcBorders>
              <w:top w:val="single" w:sz="8" w:color="0000EE"/>
            </w:tcBorders>
          </w:tcPr>
          <w:p>
            <w:pPr>
              <w:spacing w:after="0"/>
              <w:rPr>
                <w:sz w:val="21"/>
                <w:szCs w:val="21"/>
                <w:color w:val="auto"/>
              </w:rPr>
            </w:pPr>
          </w:p>
        </w:tc>
        <w:tc>
          <w:tcPr>
            <w:tcW w:w="4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14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45">
              <w:r>
                <w:rPr>
                  <w:rFonts w:ascii="Arial" w:cs="Arial" w:eastAsia="Arial" w:hAnsi="Arial"/>
                  <w:sz w:val="18"/>
                  <w:szCs w:val="18"/>
                  <w:b w:val="1"/>
                  <w:bCs w:val="1"/>
                  <w:color w:val="0000EE"/>
                </w:rPr>
                <w:t>PART II. OTHER INFORMATION</w:t>
              </w:r>
            </w:hyperlink>
          </w:p>
        </w:tc>
        <w:tc>
          <w:tcPr>
            <w:tcW w:w="376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900" w:type="dxa"/>
            <w:vAlign w:val="bottom"/>
            <w:gridSpan w:val="19"/>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Legal Proceedings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45">
              <w:r>
                <w:rPr>
                  <w:rFonts w:ascii="Arial" w:cs="Arial" w:eastAsia="Arial" w:hAnsi="Arial"/>
                  <w:sz w:val="18"/>
                  <w:szCs w:val="18"/>
                  <w:color w:val="0000EE"/>
                </w:rPr>
                <w:t>43</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3020" w:type="dxa"/>
            <w:vAlign w:val="bottom"/>
            <w:gridSpan w:val="5"/>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3"/>
          </w:tcPr>
          <w:p>
            <w:pPr>
              <w:spacing w:after="0"/>
              <w:rPr>
                <w:rFonts w:ascii="Arial" w:cs="Arial" w:eastAsia="Arial" w:hAnsi="Arial"/>
                <w:sz w:val="18"/>
                <w:szCs w:val="18"/>
                <w:color w:val="0000EE"/>
                <w:w w:val="87"/>
              </w:rPr>
            </w:pPr>
            <w:hyperlink w:anchor="page45">
              <w:r>
                <w:rPr>
                  <w:rFonts w:ascii="Arial" w:cs="Arial" w:eastAsia="Arial" w:hAnsi="Arial"/>
                  <w:sz w:val="18"/>
                  <w:szCs w:val="18"/>
                  <w:color w:val="0000EE"/>
                  <w:w w:val="87"/>
                </w:rPr>
                <w:t>Risk Factors</w:t>
              </w:r>
            </w:hyperlink>
          </w:p>
        </w:tc>
        <w:tc>
          <w:tcPr>
            <w:tcW w:w="420" w:type="dxa"/>
            <w:vAlign w:val="bottom"/>
            <w:gridSpan w:val="2"/>
          </w:tcPr>
          <w:p>
            <w:pPr>
              <w:spacing w:after="0"/>
              <w:rPr>
                <w:sz w:val="21"/>
                <w:szCs w:val="21"/>
                <w:color w:val="auto"/>
              </w:rPr>
            </w:pPr>
          </w:p>
        </w:tc>
        <w:tc>
          <w:tcPr>
            <w:tcW w:w="8580" w:type="dxa"/>
            <w:vAlign w:val="bottom"/>
            <w:gridSpan w:val="14"/>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45">
              <w:r>
                <w:rPr>
                  <w:rFonts w:ascii="Arial" w:cs="Arial" w:eastAsia="Arial" w:hAnsi="Arial"/>
                  <w:sz w:val="18"/>
                  <w:szCs w:val="18"/>
                  <w:color w:val="0000EE"/>
                </w:rPr>
                <w:t>43</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7"/>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900" w:type="dxa"/>
            <w:vAlign w:val="bottom"/>
            <w:gridSpan w:val="19"/>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Unregistered Sales of Equity Securities and Use of Proceeds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62">
              <w:r>
                <w:rPr>
                  <w:rFonts w:ascii="Arial" w:cs="Arial" w:eastAsia="Arial" w:hAnsi="Arial"/>
                  <w:sz w:val="18"/>
                  <w:szCs w:val="18"/>
                  <w:color w:val="0000EE"/>
                </w:rPr>
                <w:t>60</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580" w:type="dxa"/>
            <w:vAlign w:val="bottom"/>
            <w:gridSpan w:val="8"/>
            <w:shd w:val="clear" w:color="auto" w:fill="0000EE"/>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tcPr>
          <w:p>
            <w:pPr>
              <w:spacing w:after="0"/>
              <w:rPr>
                <w:rFonts w:ascii="Arial" w:cs="Arial" w:eastAsia="Arial" w:hAnsi="Arial"/>
                <w:sz w:val="18"/>
                <w:szCs w:val="18"/>
                <w:color w:val="0000EE"/>
                <w:w w:val="91"/>
              </w:rPr>
            </w:pPr>
            <w:hyperlink w:anchor="page63">
              <w:r>
                <w:rPr>
                  <w:rFonts w:ascii="Arial" w:cs="Arial" w:eastAsia="Arial" w:hAnsi="Arial"/>
                  <w:sz w:val="18"/>
                  <w:szCs w:val="18"/>
                  <w:color w:val="0000EE"/>
                  <w:w w:val="91"/>
                </w:rPr>
                <w:t>Exhibits</w:t>
              </w:r>
            </w:hyperlink>
          </w:p>
        </w:tc>
        <w:tc>
          <w:tcPr>
            <w:tcW w:w="3740" w:type="dxa"/>
            <w:vAlign w:val="bottom"/>
            <w:gridSpan w:val="9"/>
          </w:tcPr>
          <w:p>
            <w:pPr>
              <w:spacing w:after="0"/>
              <w:rPr>
                <w:sz w:val="21"/>
                <w:szCs w:val="21"/>
                <w:color w:val="auto"/>
              </w:rPr>
            </w:pPr>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63">
              <w:r>
                <w:rPr>
                  <w:rFonts w:ascii="Arial" w:cs="Arial" w:eastAsia="Arial" w:hAnsi="Arial"/>
                  <w:sz w:val="18"/>
                  <w:szCs w:val="18"/>
                  <w:color w:val="0000EE"/>
                </w:rPr>
                <w:t>61</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140" w:type="dxa"/>
            <w:vAlign w:val="bottom"/>
            <w:gridSpan w:val="1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2"/>
          </w:tcPr>
          <w:p>
            <w:pPr>
              <w:spacing w:after="0"/>
              <w:rPr>
                <w:rFonts w:ascii="Arial" w:cs="Arial" w:eastAsia="Arial" w:hAnsi="Arial"/>
                <w:sz w:val="18"/>
                <w:szCs w:val="18"/>
                <w:color w:val="0000EE"/>
                <w:w w:val="85"/>
              </w:rPr>
            </w:pPr>
            <w:hyperlink w:anchor="page65">
              <w:r>
                <w:rPr>
                  <w:rFonts w:ascii="Arial" w:cs="Arial" w:eastAsia="Arial" w:hAnsi="Arial"/>
                  <w:sz w:val="18"/>
                  <w:szCs w:val="18"/>
                  <w:color w:val="0000EE"/>
                  <w:w w:val="85"/>
                </w:rPr>
                <w:t>Signatures</w:t>
              </w:r>
            </w:hyperlink>
          </w:p>
        </w:tc>
        <w:tc>
          <w:tcPr>
            <w:tcW w:w="9140" w:type="dxa"/>
            <w:vAlign w:val="bottom"/>
            <w:gridSpan w:val="17"/>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65">
              <w:r>
                <w:rPr>
                  <w:rFonts w:ascii="Arial" w:cs="Arial" w:eastAsia="Arial" w:hAnsi="Arial"/>
                  <w:sz w:val="18"/>
                  <w:szCs w:val="18"/>
                  <w:color w:val="0000EE"/>
                </w:rPr>
                <w:t>63</w:t>
              </w:r>
            </w:hyperlink>
          </w:p>
        </w:tc>
      </w:tr>
      <w:tr>
        <w:trPr>
          <w:trHeight w:val="507"/>
        </w:trPr>
        <w:tc>
          <w:tcPr>
            <w:tcW w:w="920" w:type="dxa"/>
            <w:vAlign w:val="bottom"/>
          </w:tcPr>
          <w:p>
            <w:pPr>
              <w:spacing w:after="0"/>
              <w:rPr>
                <w:sz w:val="24"/>
                <w:szCs w:val="24"/>
                <w:color w:val="auto"/>
              </w:rPr>
            </w:pPr>
          </w:p>
        </w:tc>
        <w:tc>
          <w:tcPr>
            <w:tcW w:w="760" w:type="dxa"/>
            <w:vAlign w:val="bottom"/>
            <w:tcBorders>
              <w:top w:val="single" w:sz="8" w:color="0000EE"/>
            </w:tcBorders>
            <w:gridSpan w:val="2"/>
          </w:tcPr>
          <w:p>
            <w:pPr>
              <w:spacing w:after="0"/>
              <w:rPr>
                <w:sz w:val="24"/>
                <w:szCs w:val="24"/>
                <w:color w:val="auto"/>
              </w:rPr>
            </w:pPr>
          </w:p>
        </w:tc>
        <w:tc>
          <w:tcPr>
            <w:tcW w:w="5380" w:type="dxa"/>
            <w:vAlign w:val="bottom"/>
            <w:gridSpan w:val="10"/>
          </w:tcPr>
          <w:p>
            <w:pPr>
              <w:jc w:val="center"/>
              <w:ind w:left="2510"/>
              <w:spacing w:after="0"/>
              <w:rPr>
                <w:sz w:val="20"/>
                <w:szCs w:val="20"/>
                <w:color w:val="auto"/>
              </w:rPr>
            </w:pPr>
            <w:r>
              <w:rPr>
                <w:rFonts w:ascii="Arial" w:cs="Arial" w:eastAsia="Arial" w:hAnsi="Arial"/>
                <w:sz w:val="18"/>
                <w:szCs w:val="18"/>
                <w:color w:val="auto"/>
                <w:w w:val="99"/>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30" w:right="239" w:bottom="1440" w:gutter="0" w:footer="0" w:header="0"/>
        </w:sectPr>
      </w:pPr>
    </w:p>
    <w:bookmarkStart w:id="2" w:name="page3"/>
    <w:bookmarkEnd w:id="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4,</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3680" w:type="dxa"/>
            <w:vAlign w:val="bottom"/>
            <w:tcBorders>
              <w:bottom w:val="single" w:sz="8" w:color="CCEEFF"/>
            </w:tcBorders>
          </w:tcPr>
          <w:p>
            <w:pPr>
              <w:spacing w:after="0"/>
              <w:rPr>
                <w:sz w:val="16"/>
                <w:szCs w:val="16"/>
                <w:color w:val="auto"/>
              </w:rPr>
            </w:pPr>
          </w:p>
        </w:tc>
        <w:tc>
          <w:tcPr>
            <w:tcW w:w="46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2018</w:t>
            </w:r>
          </w:p>
        </w:tc>
      </w:tr>
      <w:tr>
        <w:trPr>
          <w:trHeight w:val="236"/>
        </w:trPr>
        <w:tc>
          <w:tcPr>
            <w:tcW w:w="3680" w:type="dxa"/>
            <w:vAlign w:val="bottom"/>
            <w:tcBorders>
              <w:bottom w:val="single" w:sz="8" w:color="CCEEFF"/>
            </w:tcBorders>
            <w:shd w:val="clear" w:color="auto" w:fill="CCEEFF"/>
          </w:tcPr>
          <w:p>
            <w:pPr>
              <w:spacing w:after="0"/>
              <w:rPr>
                <w:sz w:val="20"/>
                <w:szCs w:val="20"/>
                <w:color w:val="auto"/>
              </w:rPr>
            </w:pPr>
          </w:p>
        </w:tc>
        <w:tc>
          <w:tcPr>
            <w:tcW w:w="4660" w:type="dxa"/>
            <w:vAlign w:val="bottom"/>
            <w:tcBorders>
              <w:bottom w:val="single" w:sz="8" w:color="CCEEFF"/>
            </w:tcBorders>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4940" w:type="dxa"/>
            <w:vAlign w:val="bottom"/>
            <w:tcBorders>
              <w:bottom w:val="single" w:sz="8" w:color="CCEEFF"/>
            </w:tcBorders>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498,659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888,482</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Short-term investments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25,000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952,790</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receivable, net</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443,276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280,395</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Inventories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473,429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170,039</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5"/>
              </w:rPr>
              <w:t>Prepaid expenses and other current assets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72,388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41,482</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Assets held for sale</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31,182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30,767</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1,543,934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2,363,955</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327,645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202,222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5,497,608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1,993,310</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Acquired intangible assets, net</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2,718,061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466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275,598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148,800</w:t>
            </w:r>
          </w:p>
        </w:tc>
      </w:tr>
      <w:tr>
        <w:trPr>
          <w:trHeight w:val="297"/>
        </w:trPr>
        <w:tc>
          <w:tcPr>
            <w:tcW w:w="3680" w:type="dxa"/>
            <w:vAlign w:val="bottom"/>
            <w:tcBorders>
              <w:bottom w:val="single" w:sz="8" w:color="CCEEFF"/>
            </w:tcBorders>
          </w:tcPr>
          <w:p>
            <w:pPr>
              <w:ind w:left="720"/>
              <w:spacing w:after="0"/>
              <w:rPr>
                <w:sz w:val="20"/>
                <w:szCs w:val="20"/>
                <w:color w:val="auto"/>
              </w:rPr>
            </w:pPr>
            <w:r>
              <w:rPr>
                <w:rFonts w:ascii="Arial" w:cs="Arial" w:eastAsia="Arial" w:hAnsi="Arial"/>
                <w:sz w:val="18"/>
                <w:szCs w:val="18"/>
                <w:color w:val="auto"/>
              </w:rPr>
              <w:t>Total assets</w:t>
            </w:r>
          </w:p>
        </w:tc>
        <w:tc>
          <w:tcPr>
            <w:tcW w:w="4660" w:type="dxa"/>
            <w:vAlign w:val="bottom"/>
            <w:tcBorders>
              <w:bottom w:val="single" w:sz="8" w:color="CCEEFF"/>
            </w:tcBorders>
          </w:tcPr>
          <w:p>
            <w:pPr>
              <w:spacing w:after="0"/>
              <w:rPr>
                <w:sz w:val="24"/>
                <w:szCs w:val="24"/>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10,362,846</w:t>
            </w:r>
          </w:p>
        </w:tc>
        <w:tc>
          <w:tcPr>
            <w:tcW w:w="10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4,708,287</w:t>
            </w:r>
          </w:p>
        </w:tc>
      </w:tr>
      <w:tr>
        <w:trPr>
          <w:trHeight w:val="257"/>
        </w:trPr>
        <w:tc>
          <w:tcPr>
            <w:tcW w:w="3680" w:type="dxa"/>
            <w:vAlign w:val="bottom"/>
            <w:shd w:val="clear" w:color="auto" w:fill="CCEEFF"/>
          </w:tcPr>
          <w:p>
            <w:pPr>
              <w:spacing w:after="0"/>
              <w:rPr>
                <w:sz w:val="22"/>
                <w:szCs w:val="22"/>
                <w:color w:val="auto"/>
              </w:rPr>
            </w:pPr>
          </w:p>
        </w:tc>
        <w:tc>
          <w:tcPr>
            <w:tcW w:w="466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2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40" w:type="dxa"/>
            <w:vAlign w:val="bottom"/>
            <w:shd w:val="clear" w:color="auto" w:fill="CCEEFF"/>
          </w:tcPr>
          <w:p>
            <w:pPr>
              <w:spacing w:after="0"/>
              <w:rPr>
                <w:sz w:val="22"/>
                <w:szCs w:val="22"/>
                <w:color w:val="auto"/>
              </w:rPr>
            </w:pPr>
          </w:p>
        </w:tc>
      </w:tr>
      <w:tr>
        <w:trPr>
          <w:trHeight w:val="243"/>
        </w:trPr>
        <w:tc>
          <w:tcPr>
            <w:tcW w:w="3680" w:type="dxa"/>
            <w:vAlign w:val="bottom"/>
          </w:tcPr>
          <w:p>
            <w:pPr>
              <w:spacing w:after="0"/>
              <w:rPr>
                <w:sz w:val="21"/>
                <w:szCs w:val="21"/>
                <w:color w:val="auto"/>
              </w:rPr>
            </w:pPr>
          </w:p>
        </w:tc>
        <w:tc>
          <w:tcPr>
            <w:tcW w:w="4940" w:type="dxa"/>
            <w:vAlign w:val="bottom"/>
            <w:gridSpan w:val="2"/>
          </w:tcPr>
          <w:p>
            <w:pPr>
              <w:jc w:val="right"/>
              <w:ind w:right="870"/>
              <w:spacing w:after="0"/>
              <w:rPr>
                <w:sz w:val="20"/>
                <w:szCs w:val="20"/>
                <w:color w:val="auto"/>
              </w:rPr>
            </w:pPr>
            <w:r>
              <w:rPr>
                <w:rFonts w:ascii="Arial" w:cs="Arial" w:eastAsia="Arial" w:hAnsi="Arial"/>
                <w:sz w:val="18"/>
                <w:szCs w:val="18"/>
                <w:b w:val="1"/>
                <w:bCs w:val="1"/>
                <w:color w:val="auto"/>
              </w:rPr>
              <w:t>LIABILITIES AND SHAREHOLDERS’ EQUITY</w:t>
            </w: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Accounts payable</w:t>
            </w:r>
          </w:p>
        </w:tc>
        <w:tc>
          <w:tcPr>
            <w:tcW w:w="494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196,297</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145,236</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277,098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86,958</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Accrued employee compensation</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127,381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127,711</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Deferred income</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3,511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61,237</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Liabilities held for sale</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3,935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608,222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421,142</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Long-term debt</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1,878,617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52,438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56,976</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114,312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52,204</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liabilities</w:t>
            </w:r>
          </w:p>
        </w:tc>
        <w:tc>
          <w:tcPr>
            <w:tcW w:w="466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44,191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36,552</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liabilities</w:t>
            </w:r>
          </w:p>
        </w:tc>
        <w:tc>
          <w:tcPr>
            <w:tcW w:w="466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2,697,780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566,874</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Commitments and contingencies (Note 12)</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Shareholders’ equity:</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Common shares, $0.002 par value</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991</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Additional paid-in capital</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6,153,890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2,733,292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Accumulated other comprehensive loss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Retained earnings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1,509,860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1,409,452</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shareholders’ equity</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7,665,066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4,141,413</w:t>
            </w:r>
          </w:p>
        </w:tc>
      </w:tr>
      <w:tr>
        <w:trPr>
          <w:trHeight w:val="264"/>
        </w:trPr>
        <w:tc>
          <w:tcPr>
            <w:tcW w:w="3680" w:type="dxa"/>
            <w:vAlign w:val="bottom"/>
          </w:tcPr>
          <w:p>
            <w:pPr>
              <w:ind w:left="720"/>
              <w:spacing w:after="0"/>
              <w:rPr>
                <w:sz w:val="20"/>
                <w:szCs w:val="20"/>
                <w:color w:val="auto"/>
              </w:rPr>
            </w:pPr>
            <w:r>
              <w:rPr>
                <w:rFonts w:ascii="Arial" w:cs="Arial" w:eastAsia="Arial" w:hAnsi="Arial"/>
                <w:sz w:val="18"/>
                <w:szCs w:val="18"/>
                <w:color w:val="auto"/>
                <w:w w:val="93"/>
              </w:rPr>
              <w:t>Total liabilities and shareholders’ equity</w:t>
            </w:r>
          </w:p>
        </w:tc>
        <w:tc>
          <w:tcPr>
            <w:tcW w:w="494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10,362,846</w:t>
            </w:r>
          </w:p>
        </w:tc>
        <w:tc>
          <w:tcPr>
            <w:tcW w:w="100" w:type="dxa"/>
            <w:vAlign w:val="bottom"/>
          </w:tcPr>
          <w:p>
            <w:pPr>
              <w:spacing w:after="0"/>
              <w:rPr>
                <w:sz w:val="22"/>
                <w:szCs w:val="22"/>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4,708,287</w:t>
            </w:r>
          </w:p>
        </w:tc>
      </w:tr>
      <w:tr>
        <w:trPr>
          <w:trHeight w:val="20"/>
        </w:trPr>
        <w:tc>
          <w:tcPr>
            <w:tcW w:w="368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130" w:right="239" w:bottom="1440" w:gutter="0" w:footer="0" w:header="0"/>
        </w:sectPr>
      </w:pPr>
    </w:p>
    <w:bookmarkStart w:id="3" w:name="page4"/>
    <w:bookmarkEnd w:id="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ind w:left="260" w:right="244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9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jc w:val="right"/>
              <w:ind w:right="85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380" w:type="dxa"/>
            <w:vAlign w:val="bottom"/>
          </w:tcPr>
          <w:p>
            <w:pPr>
              <w:spacing w:after="0"/>
              <w:rPr>
                <w:sz w:val="13"/>
                <w:szCs w:val="13"/>
                <w:color w:val="auto"/>
              </w:rPr>
            </w:pPr>
          </w:p>
        </w:tc>
        <w:tc>
          <w:tcPr>
            <w:tcW w:w="120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180" w:type="dxa"/>
            <w:vAlign w:val="bottom"/>
          </w:tcPr>
          <w:p>
            <w:pPr>
              <w:jc w:val="right"/>
              <w:ind w:right="431"/>
              <w:spacing w:after="0" w:line="153" w:lineRule="exact"/>
              <w:rPr>
                <w:sz w:val="20"/>
                <w:szCs w:val="20"/>
                <w:color w:val="auto"/>
              </w:rPr>
            </w:pPr>
            <w:r>
              <w:rPr>
                <w:rFonts w:ascii="Arial" w:cs="Arial" w:eastAsia="Arial" w:hAnsi="Arial"/>
                <w:sz w:val="14"/>
                <w:szCs w:val="14"/>
                <w:b w:val="1"/>
                <w:bCs w:val="1"/>
                <w:color w:val="auto"/>
              </w:rPr>
              <w:t>July 29,</w:t>
            </w:r>
          </w:p>
        </w:tc>
      </w:tr>
      <w:tr>
        <w:trPr>
          <w:trHeight w:val="192"/>
        </w:trPr>
        <w:tc>
          <w:tcPr>
            <w:tcW w:w="5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665,310</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604,750</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1,269,941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1,177,459</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80" w:type="dxa"/>
            <w:vAlign w:val="bottom"/>
          </w:tcPr>
          <w:p>
            <w:pPr>
              <w:spacing w:after="0"/>
              <w:rPr>
                <w:sz w:val="21"/>
                <w:szCs w:val="21"/>
                <w:color w:val="auto"/>
              </w:rPr>
            </w:pPr>
          </w:p>
        </w:tc>
        <w:tc>
          <w:tcPr>
            <w:tcW w:w="1220" w:type="dxa"/>
            <w:vAlign w:val="bottom"/>
          </w:tcPr>
          <w:p>
            <w:pPr>
              <w:jc w:val="right"/>
              <w:ind w:right="32"/>
              <w:spacing w:after="0"/>
              <w:rPr>
                <w:sz w:val="20"/>
                <w:szCs w:val="20"/>
                <w:color w:val="auto"/>
              </w:rPr>
            </w:pPr>
            <w:r>
              <w:rPr>
                <w:rFonts w:ascii="Arial" w:cs="Arial" w:eastAsia="Arial" w:hAnsi="Arial"/>
                <w:sz w:val="18"/>
                <w:szCs w:val="18"/>
                <w:color w:val="auto"/>
              </w:rPr>
              <w:t>288,200</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239,572</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517,138</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466,770</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377,110</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365,178</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752,803</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710,689</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216,285</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180,871</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393,019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368,967</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280" w:type="dxa"/>
            <w:vAlign w:val="bottom"/>
          </w:tcPr>
          <w:p>
            <w:pPr>
              <w:spacing w:after="0"/>
              <w:rPr>
                <w:sz w:val="21"/>
                <w:szCs w:val="21"/>
                <w:color w:val="auto"/>
              </w:rPr>
            </w:pPr>
          </w:p>
        </w:tc>
        <w:tc>
          <w:tcPr>
            <w:tcW w:w="1220" w:type="dxa"/>
            <w:vAlign w:val="bottom"/>
          </w:tcPr>
          <w:p>
            <w:pPr>
              <w:jc w:val="right"/>
              <w:ind w:right="32"/>
              <w:spacing w:after="0"/>
              <w:rPr>
                <w:sz w:val="20"/>
                <w:szCs w:val="20"/>
                <w:color w:val="auto"/>
              </w:rPr>
            </w:pPr>
            <w:r>
              <w:rPr>
                <w:rFonts w:ascii="Arial" w:cs="Arial" w:eastAsia="Arial" w:hAnsi="Arial"/>
                <w:sz w:val="18"/>
                <w:szCs w:val="18"/>
                <w:color w:val="auto"/>
              </w:rPr>
              <w:t>133,701</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55,659</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206,014</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110,763</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35,415</w:t>
            </w:r>
          </w:p>
        </w:tc>
        <w:tc>
          <w:tcPr>
            <w:tcW w:w="1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4,285</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36,982</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5,171</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385,401</w:t>
            </w: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240,815</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636,015</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484,901</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 from continuing operations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(8,291)</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124,363</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116,788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225,788</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Interest income</w:t>
            </w:r>
          </w:p>
        </w:tc>
        <w:tc>
          <w:tcPr>
            <w:tcW w:w="280" w:type="dxa"/>
            <w:vAlign w:val="bottom"/>
          </w:tcPr>
          <w:p>
            <w:pPr>
              <w:spacing w:after="0"/>
              <w:rPr>
                <w:sz w:val="21"/>
                <w:szCs w:val="21"/>
                <w:color w:val="auto"/>
              </w:rPr>
            </w:pPr>
          </w:p>
        </w:tc>
        <w:tc>
          <w:tcPr>
            <w:tcW w:w="1220" w:type="dxa"/>
            <w:vAlign w:val="bottom"/>
          </w:tcPr>
          <w:p>
            <w:pPr>
              <w:jc w:val="right"/>
              <w:ind w:right="32"/>
              <w:spacing w:after="0"/>
              <w:rPr>
                <w:sz w:val="20"/>
                <w:szCs w:val="20"/>
                <w:color w:val="auto"/>
              </w:rPr>
            </w:pPr>
            <w:r>
              <w:rPr>
                <w:rFonts w:ascii="Arial" w:cs="Arial" w:eastAsia="Arial" w:hAnsi="Arial"/>
                <w:sz w:val="18"/>
                <w:szCs w:val="18"/>
                <w:color w:val="auto"/>
              </w:rPr>
              <w:t>3,575</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3,830</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ind w:right="12"/>
              <w:spacing w:after="0"/>
              <w:rPr>
                <w:sz w:val="20"/>
                <w:szCs w:val="20"/>
                <w:color w:val="auto"/>
              </w:rPr>
            </w:pPr>
            <w:r>
              <w:rPr>
                <w:rFonts w:ascii="Arial" w:cs="Arial" w:eastAsia="Arial" w:hAnsi="Arial"/>
                <w:sz w:val="18"/>
                <w:szCs w:val="18"/>
                <w:color w:val="auto"/>
              </w:rPr>
              <w:t>9,644</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7,342</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Interest expense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(15,795)</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(16,039)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Other income (loss), net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(2,701)</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3,438</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(1,230)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3,310</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Interest and other income (loss), net</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(14,921)</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7,188</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(7,625)</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10,521</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Income (loss) from continuing operations before income taxes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(23,212)</w:t>
            </w: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131,551</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109,163</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236,309</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(29,971)</w:t>
            </w:r>
          </w:p>
        </w:tc>
        <w:tc>
          <w:tcPr>
            <w:tcW w:w="1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(3,899)</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(26,208)</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1,267</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6,759</w:t>
            </w: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135,450</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135,371</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235,042</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discontinued operations, net of tax</w:t>
            </w:r>
          </w:p>
        </w:tc>
        <w:tc>
          <w:tcPr>
            <w:tcW w:w="2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29,809</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36,838</w:t>
            </w:r>
          </w:p>
        </w:tc>
      </w:tr>
      <w:tr>
        <w:trPr>
          <w:trHeight w:val="297"/>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w:t>
            </w: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2"/>
              <w:spacing w:after="0"/>
              <w:rPr>
                <w:sz w:val="20"/>
                <w:szCs w:val="20"/>
                <w:color w:val="auto"/>
              </w:rPr>
            </w:pPr>
            <w:r>
              <w:rPr>
                <w:rFonts w:ascii="Arial" w:cs="Arial" w:eastAsia="Arial" w:hAnsi="Arial"/>
                <w:sz w:val="18"/>
                <w:szCs w:val="18"/>
                <w:color w:val="auto"/>
              </w:rPr>
              <w:t>6,759</w:t>
            </w:r>
          </w:p>
        </w:tc>
        <w:tc>
          <w:tcPr>
            <w:tcW w:w="120" w:type="dxa"/>
            <w:vAlign w:val="bottom"/>
            <w:tcBorders>
              <w:bottom w:val="single" w:sz="8" w:color="CCEEFF"/>
            </w:tcBorders>
          </w:tcPr>
          <w:p>
            <w:pPr>
              <w:spacing w:after="0"/>
              <w:rPr>
                <w:sz w:val="24"/>
                <w:szCs w:val="24"/>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165,259</w:t>
            </w:r>
          </w:p>
        </w:tc>
        <w:tc>
          <w:tcPr>
            <w:tcW w:w="100" w:type="dxa"/>
            <w:vAlign w:val="bottom"/>
            <w:tcBorders>
              <w:bottom w:val="single" w:sz="8" w:color="CCEEFF"/>
            </w:tcBorders>
          </w:tcPr>
          <w:p>
            <w:pPr>
              <w:spacing w:after="0"/>
              <w:rPr>
                <w:sz w:val="24"/>
                <w:szCs w:val="24"/>
                <w:color w:val="auto"/>
              </w:rPr>
            </w:pPr>
          </w:p>
        </w:tc>
        <w:tc>
          <w:tcPr>
            <w:tcW w:w="380" w:type="dxa"/>
            <w:vAlign w:val="bottom"/>
            <w:tcBorders>
              <w:top w:val="single" w:sz="8" w:color="auto"/>
              <w:bottom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135,371</w:t>
            </w:r>
          </w:p>
        </w:tc>
        <w:tc>
          <w:tcPr>
            <w:tcW w:w="100" w:type="dxa"/>
            <w:vAlign w:val="bottom"/>
            <w:tcBorders>
              <w:bottom w:val="single" w:sz="8" w:color="CCEEFF"/>
            </w:tcBorders>
          </w:tcPr>
          <w:p>
            <w:pPr>
              <w:spacing w:after="0"/>
              <w:rPr>
                <w:sz w:val="24"/>
                <w:szCs w:val="24"/>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271,880</w:t>
            </w:r>
          </w:p>
        </w:tc>
      </w:tr>
      <w:tr>
        <w:trPr>
          <w:trHeight w:val="311"/>
        </w:trPr>
        <w:tc>
          <w:tcPr>
            <w:tcW w:w="516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income per share - Basic:</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Continuing operations</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0.27</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0.26</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0.47</w:t>
            </w:r>
          </w:p>
        </w:tc>
      </w:tr>
      <w:tr>
        <w:trPr>
          <w:trHeight w:val="20"/>
        </w:trPr>
        <w:tc>
          <w:tcPr>
            <w:tcW w:w="5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Pr>
          <w:p>
            <w:pPr>
              <w:ind w:left="380"/>
              <w:spacing w:after="0"/>
              <w:rPr>
                <w:sz w:val="20"/>
                <w:szCs w:val="20"/>
                <w:color w:val="auto"/>
              </w:rPr>
            </w:pPr>
            <w:r>
              <w:rPr>
                <w:rFonts w:ascii="Arial" w:cs="Arial" w:eastAsia="Arial" w:hAnsi="Arial"/>
                <w:sz w:val="18"/>
                <w:szCs w:val="18"/>
                <w:color w:val="auto"/>
              </w:rPr>
              <w:t>Discontinued operations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0.06</w:t>
            </w:r>
          </w:p>
        </w:tc>
        <w:tc>
          <w:tcPr>
            <w:tcW w:w="100" w:type="dxa"/>
            <w:vAlign w:val="bottom"/>
          </w:tcPr>
          <w:p>
            <w:pPr>
              <w:spacing w:after="0"/>
              <w:rPr>
                <w:sz w:val="24"/>
                <w:szCs w:val="24"/>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2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0.07</w:t>
            </w:r>
          </w:p>
        </w:tc>
      </w:tr>
      <w:tr>
        <w:trPr>
          <w:trHeight w:val="251"/>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per share - Basic</w:t>
            </w:r>
          </w:p>
        </w:tc>
        <w:tc>
          <w:tcPr>
            <w:tcW w:w="28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0.01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0.33</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0.26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0.54</w:t>
            </w:r>
          </w:p>
        </w:tc>
      </w:tr>
      <w:tr>
        <w:trPr>
          <w:trHeight w:val="20"/>
        </w:trPr>
        <w:tc>
          <w:tcPr>
            <w:tcW w:w="5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per share - Diluted:</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304"/>
        </w:trPr>
        <w:tc>
          <w:tcPr>
            <w:tcW w:w="51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Continuing operations</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0.26</w:t>
            </w:r>
          </w:p>
        </w:tc>
        <w:tc>
          <w:tcPr>
            <w:tcW w:w="100" w:type="dxa"/>
            <w:vAlign w:val="bottom"/>
            <w:tcBorders>
              <w:bottom w:val="single" w:sz="8" w:color="CCEEFF"/>
            </w:tcBorders>
          </w:tcPr>
          <w:p>
            <w:pPr>
              <w:spacing w:after="0"/>
              <w:rPr>
                <w:sz w:val="24"/>
                <w:szCs w:val="24"/>
                <w:color w:val="auto"/>
              </w:rPr>
            </w:pPr>
          </w:p>
        </w:tc>
        <w:tc>
          <w:tcPr>
            <w:tcW w:w="380" w:type="dxa"/>
            <w:vAlign w:val="bottom"/>
            <w:tcBorders>
              <w:bottom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0.25</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0.46</w:t>
            </w:r>
          </w:p>
        </w:tc>
      </w:tr>
      <w:tr>
        <w:trPr>
          <w:trHeight w:val="251"/>
        </w:trPr>
        <w:tc>
          <w:tcPr>
            <w:tcW w:w="51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Discontinued operations</w:t>
            </w: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0.06</w:t>
            </w:r>
          </w:p>
        </w:tc>
        <w:tc>
          <w:tcPr>
            <w:tcW w:w="100" w:type="dxa"/>
            <w:vAlign w:val="bottom"/>
            <w:shd w:val="clear" w:color="auto" w:fill="CCEEFF"/>
          </w:tcPr>
          <w:p>
            <w:pPr>
              <w:spacing w:after="0"/>
              <w:rPr>
                <w:sz w:val="21"/>
                <w:szCs w:val="21"/>
                <w:color w:val="auto"/>
              </w:rPr>
            </w:pPr>
          </w:p>
        </w:tc>
        <w:tc>
          <w:tcPr>
            <w:tcW w:w="3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2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0.07</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per share - Diluted</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0.32</w:t>
            </w:r>
          </w:p>
        </w:tc>
        <w:tc>
          <w:tcPr>
            <w:tcW w:w="100" w:type="dxa"/>
            <w:vAlign w:val="bottom"/>
            <w:tcBorders>
              <w:bottom w:val="single" w:sz="8" w:color="CCEEFF"/>
            </w:tcBorders>
          </w:tcPr>
          <w:p>
            <w:pPr>
              <w:spacing w:after="0"/>
              <w:rPr>
                <w:sz w:val="24"/>
                <w:szCs w:val="24"/>
                <w:color w:val="auto"/>
              </w:rPr>
            </w:pPr>
          </w:p>
        </w:tc>
        <w:tc>
          <w:tcPr>
            <w:tcW w:w="380" w:type="dxa"/>
            <w:vAlign w:val="bottom"/>
            <w:tcBorders>
              <w:bottom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0.25</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0.53</w:t>
            </w:r>
          </w:p>
        </w:tc>
      </w:tr>
      <w:tr>
        <w:trPr>
          <w:trHeight w:val="311"/>
        </w:trPr>
        <w:tc>
          <w:tcPr>
            <w:tcW w:w="516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280" w:type="dxa"/>
            <w:vAlign w:val="bottom"/>
            <w:tcBorders>
              <w:bottom w:val="single" w:sz="8" w:color="auto"/>
            </w:tcBorders>
            <w:shd w:val="clear" w:color="auto" w:fill="CCEEFF"/>
          </w:tcPr>
          <w:p>
            <w:pPr>
              <w:spacing w:after="0"/>
              <w:rPr>
                <w:sz w:val="22"/>
                <w:szCs w:val="22"/>
                <w:color w:val="auto"/>
              </w:rPr>
            </w:pPr>
          </w:p>
        </w:tc>
        <w:tc>
          <w:tcPr>
            <w:tcW w:w="122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552,238</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500,817</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auto"/>
            </w:tcBorders>
            <w:shd w:val="clear" w:color="auto" w:fill="CCEEFF"/>
          </w:tcPr>
          <w:p>
            <w:pPr>
              <w:spacing w:after="0"/>
              <w:rPr>
                <w:sz w:val="22"/>
                <w:szCs w:val="22"/>
                <w:color w:val="auto"/>
              </w:rPr>
            </w:pPr>
          </w:p>
        </w:tc>
        <w:tc>
          <w:tcPr>
            <w:tcW w:w="11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524,787</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502,303</w:t>
            </w:r>
          </w:p>
        </w:tc>
      </w:tr>
      <w:tr>
        <w:trPr>
          <w:trHeight w:val="20"/>
        </w:trPr>
        <w:tc>
          <w:tcPr>
            <w:tcW w:w="5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Diluted</w:t>
            </w:r>
          </w:p>
        </w:tc>
        <w:tc>
          <w:tcPr>
            <w:tcW w:w="28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562,149</w:t>
            </w:r>
          </w:p>
        </w:tc>
        <w:tc>
          <w:tcPr>
            <w:tcW w:w="12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510,309</w:t>
            </w:r>
          </w:p>
        </w:tc>
        <w:tc>
          <w:tcPr>
            <w:tcW w:w="100" w:type="dxa"/>
            <w:vAlign w:val="bottom"/>
            <w:tcBorders>
              <w:bottom w:val="single" w:sz="8" w:color="CCEEFF"/>
            </w:tcBorders>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11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535,433</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513,951</w:t>
            </w:r>
          </w:p>
        </w:tc>
      </w:tr>
      <w:tr>
        <w:trPr>
          <w:trHeight w:val="311"/>
        </w:trPr>
        <w:tc>
          <w:tcPr>
            <w:tcW w:w="516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r>
      <w:tr>
        <w:trPr>
          <w:trHeight w:val="264"/>
        </w:trPr>
        <w:tc>
          <w:tcPr>
            <w:tcW w:w="5160" w:type="dxa"/>
            <w:vAlign w:val="bottom"/>
          </w:tcPr>
          <w:p>
            <w:pPr>
              <w:ind w:left="40"/>
              <w:spacing w:after="0"/>
              <w:rPr>
                <w:sz w:val="20"/>
                <w:szCs w:val="20"/>
                <w:color w:val="auto"/>
              </w:rPr>
            </w:pPr>
            <w:r>
              <w:rPr>
                <w:rFonts w:ascii="Arial" w:cs="Arial" w:eastAsia="Arial" w:hAnsi="Arial"/>
                <w:sz w:val="18"/>
                <w:szCs w:val="18"/>
                <w:color w:val="auto"/>
              </w:rPr>
              <w:t>Cash dividends declared per share</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0.06</w:t>
            </w:r>
          </w:p>
        </w:tc>
        <w:tc>
          <w:tcPr>
            <w:tcW w:w="120" w:type="dxa"/>
            <w:vAlign w:val="bottom"/>
          </w:tcPr>
          <w:p>
            <w:pPr>
              <w:spacing w:after="0"/>
              <w:rPr>
                <w:sz w:val="22"/>
                <w:szCs w:val="22"/>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0.06</w:t>
            </w:r>
          </w:p>
        </w:tc>
        <w:tc>
          <w:tcPr>
            <w:tcW w:w="100" w:type="dxa"/>
            <w:vAlign w:val="bottom"/>
          </w:tcPr>
          <w:p>
            <w:pPr>
              <w:spacing w:after="0"/>
              <w:rPr>
                <w:sz w:val="22"/>
                <w:szCs w:val="22"/>
                <w:color w:val="auto"/>
              </w:rPr>
            </w:pPr>
          </w:p>
        </w:tc>
        <w:tc>
          <w:tcPr>
            <w:tcW w:w="380" w:type="dxa"/>
            <w:vAlign w:val="bottom"/>
            <w:tcBorders>
              <w:bottom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22"/>
                <w:szCs w:val="22"/>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0.12</w:t>
            </w:r>
          </w:p>
        </w:tc>
      </w:tr>
      <w:tr>
        <w:trPr>
          <w:trHeight w:val="20"/>
        </w:trPr>
        <w:tc>
          <w:tcPr>
            <w:tcW w:w="5160" w:type="dxa"/>
            <w:vAlign w:val="bottom"/>
          </w:tcPr>
          <w:p>
            <w:pPr>
              <w:spacing w:after="0" w:line="20" w:lineRule="exact"/>
              <w:rPr>
                <w:sz w:val="1"/>
                <w:szCs w:val="1"/>
                <w:color w:val="auto"/>
              </w:rPr>
            </w:pPr>
          </w:p>
        </w:tc>
        <w:tc>
          <w:tcPr>
            <w:tcW w:w="1500" w:type="dxa"/>
            <w:vAlign w:val="bottom"/>
            <w:tcBorders>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365"/>
        </w:trPr>
        <w:tc>
          <w:tcPr>
            <w:tcW w:w="8740" w:type="dxa"/>
            <w:vAlign w:val="bottom"/>
            <w:gridSpan w:val="8"/>
          </w:tcPr>
          <w:p>
            <w:pPr>
              <w:ind w:left="2740"/>
              <w:spacing w:after="0"/>
              <w:rPr>
                <w:sz w:val="20"/>
                <w:szCs w:val="20"/>
                <w:color w:val="auto"/>
              </w:rPr>
            </w:pPr>
            <w:r>
              <w:rPr>
                <w:rFonts w:ascii="Arial" w:cs="Arial" w:eastAsia="Arial" w:hAnsi="Arial"/>
                <w:sz w:val="18"/>
                <w:szCs w:val="18"/>
                <w:color w:val="auto"/>
                <w:w w:val="89"/>
              </w:rPr>
              <w:t>See accompanying notes to unaudited condensed consolidated financial statements</w:t>
            </w: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459"/>
        </w:trPr>
        <w:tc>
          <w:tcPr>
            <w:tcW w:w="5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jc w:val="right"/>
              <w:ind w:right="812"/>
              <w:spacing w:after="0"/>
              <w:rPr>
                <w:sz w:val="20"/>
                <w:szCs w:val="20"/>
                <w:color w:val="auto"/>
              </w:rPr>
            </w:pPr>
            <w:r>
              <w:rPr>
                <w:rFonts w:ascii="Arial" w:cs="Arial" w:eastAsia="Arial" w:hAnsi="Arial"/>
                <w:sz w:val="18"/>
                <w:szCs w:val="18"/>
                <w:color w:val="auto"/>
              </w:rPr>
              <w:t>3</w:t>
            </w: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ectPr>
          <w:pgSz w:w="11900" w:h="16838" w:orient="portrait"/>
          <w:cols w:equalWidth="0" w:num="1">
            <w:col w:w="11420"/>
          </w:cols>
          <w:pgMar w:left="240" w:top="130" w:right="239" w:bottom="1440" w:gutter="0" w:footer="0" w:header="0"/>
        </w:sectPr>
      </w:pPr>
    </w:p>
    <w:bookmarkStart w:id="4" w:name="page5"/>
    <w:bookmarkEnd w:id="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9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54"/>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180" w:type="dxa"/>
            <w:vAlign w:val="bottom"/>
          </w:tcPr>
          <w:p>
            <w:pPr>
              <w:jc w:val="right"/>
              <w:ind w:right="434"/>
              <w:spacing w:after="0" w:line="153" w:lineRule="exact"/>
              <w:rPr>
                <w:sz w:val="20"/>
                <w:szCs w:val="20"/>
                <w:color w:val="auto"/>
              </w:rPr>
            </w:pPr>
            <w:r>
              <w:rPr>
                <w:rFonts w:ascii="Arial" w:cs="Arial" w:eastAsia="Arial" w:hAnsi="Arial"/>
                <w:sz w:val="14"/>
                <w:szCs w:val="14"/>
                <w:b w:val="1"/>
                <w:bCs w:val="1"/>
                <w:color w:val="auto"/>
              </w:rPr>
              <w:t>July 29,</w:t>
            </w:r>
          </w:p>
        </w:tc>
      </w:tr>
      <w:tr>
        <w:trPr>
          <w:trHeight w:val="192"/>
        </w:trPr>
        <w:tc>
          <w:tcPr>
            <w:tcW w:w="5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6,759</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165,259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135,371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271,880</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comprehensive income (loss), net of tax:</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7"/>
              </w:rPr>
              <w:t>Net change in unrealized gain (loss) on marketable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2,404</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556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2,322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(117)</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Net change in unrealized gain (loss) on cash flow hedges</w:t>
            </w:r>
          </w:p>
        </w:tc>
        <w:tc>
          <w:tcPr>
            <w:tcW w:w="280" w:type="dxa"/>
            <w:vAlign w:val="bottom"/>
          </w:tcPr>
          <w:p>
            <w:pPr>
              <w:spacing w:after="0"/>
              <w:rPr>
                <w:sz w:val="21"/>
                <w:szCs w:val="21"/>
                <w:color w:val="auto"/>
              </w:rPr>
            </w:pP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(765)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993</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change in pension liability</w:t>
            </w:r>
          </w:p>
        </w:tc>
        <w:tc>
          <w:tcPr>
            <w:tcW w:w="2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1,272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Other comprehensive income, net of tax</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2,404</w:t>
            </w: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1,063</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2,322</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876</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Comprehensive income, net of tax</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9,163</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166,322</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137,693</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272,756</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130" w:right="239" w:bottom="1440" w:gutter="0" w:footer="0" w:header="0"/>
        </w:sectPr>
      </w:pPr>
    </w:p>
    <w:bookmarkStart w:id="5" w:name="page6"/>
    <w:bookmarkEnd w:id="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87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8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180" w:type="dxa"/>
            <w:vAlign w:val="bottom"/>
          </w:tcPr>
          <w:p>
            <w:pPr>
              <w:jc w:val="right"/>
              <w:ind w:right="431"/>
              <w:spacing w:after="0" w:line="153" w:lineRule="exact"/>
              <w:rPr>
                <w:sz w:val="20"/>
                <w:szCs w:val="20"/>
                <w:color w:val="auto"/>
              </w:rPr>
            </w:pPr>
            <w:r>
              <w:rPr>
                <w:rFonts w:ascii="Arial" w:cs="Arial" w:eastAsia="Arial" w:hAnsi="Arial"/>
                <w:sz w:val="14"/>
                <w:szCs w:val="14"/>
                <w:b w:val="1"/>
                <w:bCs w:val="1"/>
                <w:color w:val="auto"/>
              </w:rPr>
              <w:t>July 29,</w:t>
            </w:r>
          </w:p>
        </w:tc>
      </w:tr>
      <w:tr>
        <w:trPr>
          <w:trHeight w:val="192"/>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income</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135,371</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271,880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29"/>
        </w:trPr>
        <w:tc>
          <w:tcPr>
            <w:tcW w:w="83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Adjustments to reconcile net income to net cash provided by</w:t>
            </w:r>
          </w:p>
        </w:tc>
        <w:tc>
          <w:tcPr>
            <w:tcW w:w="28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r>
      <w:tr>
        <w:trPr>
          <w:trHeight w:val="237"/>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operating activities:</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Depreciation and amortization</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47,097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41,186</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Share-based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83,244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46,439</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and write-off of acquired intangible assets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25,939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2,136</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Amortization of inventory fair value adjustment associated with acquisition of Cavium</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22,933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of deferred debt issuance costs and debt discounts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7,073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Restructuring related impairment charges (gain)</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(446)</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Gain from investment in privately-held company</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(1,100)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Amortization of premium/discount on available-for-sale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803</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Other non-cash expense (income), net</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4,227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(1,423)</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Deferred income taxes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(21,414)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2,791</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Gain on sale of property and equipment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(120)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(283)</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Gain on sale of discontinued operations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(42,187)</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Gain on sale of business</w:t>
            </w:r>
          </w:p>
        </w:tc>
        <w:tc>
          <w:tcPr>
            <w:tcW w:w="28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(5,254)</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Changes in assets and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Accounts receivable</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(48,749)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(36,313)</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Inventories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6,866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(14,712)</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Prepaid expenses and other assets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(19,504)</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7,854</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Accounts payable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3,968</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Accrued liabilities and other non-current liabilities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(11,232)</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(33,418)</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Accrued employee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(41,539)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(8,375)</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Deferred income</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(729)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1,284</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operating activities</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190,709</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235,180</w:t>
            </w:r>
          </w:p>
        </w:tc>
      </w:tr>
      <w:tr>
        <w:trPr>
          <w:trHeight w:val="223"/>
        </w:trPr>
        <w:tc>
          <w:tcPr>
            <w:tcW w:w="834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8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8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available-for-sale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(14,956)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(376,227)</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Sales of available-for-sale securities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623,896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116,700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available-for-sale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187,985</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169,612</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Return of investment from privately-held companies</w:t>
            </w:r>
          </w:p>
        </w:tc>
        <w:tc>
          <w:tcPr>
            <w:tcW w:w="28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2,388</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time deposits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(150,000)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Maturities of time deposits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150,000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technology licenses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(1,701)</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property and equipment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(34,389)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(14,544)</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sales of property and equipment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1,739</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Cash payment for acquisition of Cavium, net of cash and cash equivalents acquired</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(2,649,465)</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proceeds from sale of discontinued operations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72,205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proceeds from sale of business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1,250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37"/>
        </w:trPr>
        <w:tc>
          <w:tcPr>
            <w:tcW w:w="8340" w:type="dxa"/>
            <w:vAlign w:val="bottom"/>
          </w:tcPr>
          <w:p>
            <w:pPr>
              <w:ind w:left="1460"/>
              <w:spacing w:after="0"/>
              <w:rPr>
                <w:sz w:val="20"/>
                <w:szCs w:val="20"/>
                <w:color w:val="auto"/>
              </w:rPr>
            </w:pPr>
            <w:r>
              <w:rPr>
                <w:rFonts w:ascii="Arial" w:cs="Arial" w:eastAsia="Arial" w:hAnsi="Arial"/>
                <w:sz w:val="18"/>
                <w:szCs w:val="18"/>
                <w:color w:val="auto"/>
              </w:rPr>
              <w:t>Net cash used in investing activities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(1,766,719)</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(29,828)</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Repurchases of common stock</w:t>
            </w:r>
          </w:p>
        </w:tc>
        <w:tc>
          <w:tcPr>
            <w:tcW w:w="28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(387,558)</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employee stock plans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44,580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97,811</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(36,776)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(24,814)</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Dividend payments to shareholders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(69,181)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(60,086)</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Payments on technology license obligations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(29,478)</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(14,296)</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issuance of debt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1,892,605</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Principal payments of debt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(606,128)</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Payment of equity and debt financing costs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(9,435)</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37"/>
        </w:trPr>
        <w:tc>
          <w:tcPr>
            <w:tcW w:w="8340" w:type="dxa"/>
            <w:vAlign w:val="bottom"/>
          </w:tcPr>
          <w:p>
            <w:pPr>
              <w:ind w:left="1460"/>
              <w:spacing w:after="0"/>
              <w:rPr>
                <w:sz w:val="20"/>
                <w:szCs w:val="20"/>
                <w:color w:val="auto"/>
              </w:rPr>
            </w:pPr>
            <w:r>
              <w:rPr>
                <w:rFonts w:ascii="Arial" w:cs="Arial" w:eastAsia="Arial" w:hAnsi="Arial"/>
                <w:sz w:val="18"/>
                <w:szCs w:val="18"/>
                <w:color w:val="auto"/>
              </w:rPr>
              <w:t>Net cash provided by (used in) financing activities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1,186,187</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(388,943)</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(389,823)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(183,591)</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888,482</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814,092</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498,659</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630,501</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130" w:right="239" w:bottom="0" w:gutter="0" w:footer="0" w:header="0"/>
        </w:sectPr>
      </w:pPr>
    </w:p>
    <w:bookmarkStart w:id="6" w:name="page7"/>
    <w:bookmarkEnd w:id="6"/>
    <w:p>
      <w:pPr>
        <w:jc w:val="center"/>
        <w:ind w:right="-20"/>
        <w:spacing w:after="0"/>
        <w:rPr>
          <w:sz w:val="20"/>
          <w:szCs w:val="20"/>
          <w:color w:val="auto"/>
        </w:rPr>
      </w:pPr>
      <w:r>
        <w:rPr>
          <w:rFonts w:ascii="Arial" w:cs="Arial" w:eastAsia="Arial" w:hAnsi="Arial"/>
          <w:sz w:val="16"/>
          <w:szCs w:val="16"/>
          <w:color w:val="auto"/>
        </w:rPr>
        <w:t>See accompanying notes to unaudited condensed consolidated financial statements</w:t>
      </w:r>
    </w:p>
    <w:p>
      <w:pPr>
        <w:sectPr>
          <w:pgSz w:w="11900" w:h="16838" w:orient="portrait"/>
          <w:cols w:equalWidth="0" w:num="1">
            <w:col w:w="9019"/>
          </w:cols>
          <w:pgMar w:left="1440" w:top="287" w:right="1440" w:bottom="1440" w:gutter="0" w:footer="0" w:header="0"/>
        </w:sectPr>
      </w:pPr>
    </w:p>
    <w:p>
      <w:pPr>
        <w:spacing w:after="0" w:line="275"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ectPr>
          <w:pgSz w:w="11900" w:h="16838" w:orient="portrait"/>
          <w:cols w:equalWidth="0" w:num="1">
            <w:col w:w="9019"/>
          </w:cols>
          <w:pgMar w:left="1440" w:top="287" w:right="1440" w:bottom="1440" w:gutter="0" w:footer="0" w:header="0"/>
          <w:type w:val="continuous"/>
        </w:sectPr>
      </w:pPr>
    </w:p>
    <w:bookmarkStart w:id="7" w:name="page8"/>
    <w:bookmarkEnd w:id="7"/>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29" w:lineRule="exact"/>
        <w:rPr>
          <w:sz w:val="20"/>
          <w:szCs w:val="20"/>
          <w:color w:val="auto"/>
        </w:rPr>
      </w:pPr>
    </w:p>
    <w:p>
      <w:pPr>
        <w:ind w:firstLine="405"/>
        <w:spacing w:after="0" w:line="269" w:lineRule="auto"/>
        <w:rPr>
          <w:sz w:val="20"/>
          <w:szCs w:val="20"/>
          <w:color w:val="auto"/>
        </w:rPr>
      </w:pPr>
      <w:r>
        <w:rPr>
          <w:rFonts w:ascii="Arial" w:cs="Arial" w:eastAsia="Arial" w:hAnsi="Arial"/>
          <w:sz w:val="17"/>
          <w:szCs w:val="17"/>
          <w:color w:val="auto"/>
        </w:rPr>
        <w:t>The unaudited condensed consolidated financial statements of Marvell Technology Group Ltd., a Bermuda exempted company, and its wholly owned subsidiaries (the “Company”), as of and for the three and six months ended August 4, 2018,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2018 audited financial statements included in the Company's Annual Report on Form 10-K for the fiscal year ended February 3, 2018.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3, 2018 and those included in this Form 10-Q below.</w:t>
      </w:r>
    </w:p>
    <w:p>
      <w:pPr>
        <w:spacing w:after="0" w:line="180" w:lineRule="exact"/>
        <w:rPr>
          <w:sz w:val="20"/>
          <w:szCs w:val="20"/>
          <w:color w:val="auto"/>
        </w:rPr>
      </w:pPr>
    </w:p>
    <w:p>
      <w:pPr>
        <w:ind w:right="40" w:firstLine="405"/>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2018 had a 53-week year. Fiscal 2019 is a 52-week year.</w:t>
      </w:r>
    </w:p>
    <w:p>
      <w:pPr>
        <w:spacing w:after="0" w:line="181" w:lineRule="exact"/>
        <w:rPr>
          <w:sz w:val="20"/>
          <w:szCs w:val="20"/>
          <w:color w:val="auto"/>
        </w:rPr>
      </w:pPr>
    </w:p>
    <w:p>
      <w:pPr>
        <w:ind w:right="320" w:firstLine="405"/>
        <w:spacing w:after="0" w:line="257" w:lineRule="auto"/>
        <w:rPr>
          <w:sz w:val="20"/>
          <w:szCs w:val="20"/>
          <w:color w:val="auto"/>
        </w:rPr>
      </w:pPr>
      <w:r>
        <w:rPr>
          <w:rFonts w:ascii="Arial" w:cs="Arial" w:eastAsia="Arial" w:hAnsi="Arial"/>
          <w:sz w:val="18"/>
          <w:szCs w:val="18"/>
          <w:color w:val="auto"/>
        </w:rPr>
        <w:t>On July 6, 2018, the Company completed its acquisition of Cavium, Inc. (“Cavium”). Cavium is a provider of highly integrated semiconductor processors that enable intelligent processing for wired and wireless infrastructure and cloud for networking, communications, storage and security applications. Cavium designs, develops and markets semiconductor processors for intelligent and secure networks. The consolidated financial statements include the operating results of Cavium for the period from the date of acquisition to the Company's second quarter ended August 4, 2018. See “Note 3 - Business Combination” for more information.</w:t>
      </w:r>
    </w:p>
    <w:p>
      <w:pPr>
        <w:spacing w:after="0" w:line="200" w:lineRule="exact"/>
        <w:rPr>
          <w:sz w:val="20"/>
          <w:szCs w:val="20"/>
          <w:color w:val="auto"/>
        </w:rPr>
      </w:pPr>
    </w:p>
    <w:p>
      <w:pPr>
        <w:spacing w:after="0" w:line="23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60"/>
          </w:cols>
          <w:pgMar w:left="240" w:top="337" w:right="299" w:bottom="1440" w:gutter="0" w:footer="0" w:header="0"/>
        </w:sectPr>
      </w:pPr>
    </w:p>
    <w:bookmarkStart w:id="8" w:name="page9"/>
    <w:bookmarkEnd w:id="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25"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In May 2014, the FASB issued a new accounting standard on the recognition of revenue from contracts with customers that superseded nearly all existing revenue recognition guidance under GAAP. The new standard requires an entity to recognize revenue from the transfer of promised goods or services to customers in an amount that reflects the consideration to which the entity expects to be entitled in exchange for those goods or services. The guidance addresses, in particular, contracts with more than one performance obligation, as well as the accounting for certain costs to obtain or fulfill a contract with a customer, and provides for additional disclosures with respect to revenue and cash flows arising from contracts with customers. Public entities are required to apply the amendments on either a full or modified retrospective basis for annual periods beginning after December 15, 2017 and for interim periods within those annual periods. The Company adopted the standard on a modified retrospective basis in the first quarter of fiscal year 2019, with the cumulative effect recognized in retained earnings at the date of adoption. See "Note 5 - Revenue" for additional information on the impact of the adoption of the new standard on the Company’s consolidated financial statements.</w:t>
      </w:r>
    </w:p>
    <w:p>
      <w:pPr>
        <w:spacing w:after="0" w:line="182" w:lineRule="exact"/>
        <w:rPr>
          <w:sz w:val="20"/>
          <w:szCs w:val="20"/>
          <w:color w:val="auto"/>
        </w:rPr>
      </w:pPr>
    </w:p>
    <w:p>
      <w:pPr>
        <w:ind w:right="40" w:firstLine="405"/>
        <w:spacing w:after="0" w:line="286" w:lineRule="auto"/>
        <w:rPr>
          <w:sz w:val="20"/>
          <w:szCs w:val="20"/>
          <w:color w:val="auto"/>
        </w:rPr>
      </w:pPr>
      <w:r>
        <w:rPr>
          <w:rFonts w:ascii="Arial" w:cs="Arial" w:eastAsia="Arial" w:hAnsi="Arial"/>
          <w:sz w:val="17"/>
          <w:szCs w:val="17"/>
          <w:color w:val="auto"/>
        </w:rPr>
        <w:t>In January 2016, the FASB issued an accounting standard update that changes the accounting for equity investments, financial liabilities under the fair value option, and the presentation and disclosure requirements for financial instruments. The Company adopted the standard in the first quarter of fiscal 2019. The adoption of this guidance did not have a significant impact on the Company's consolidated financial statements.</w:t>
      </w:r>
    </w:p>
    <w:p>
      <w:pPr>
        <w:spacing w:after="0" w:line="166"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adopted the standard in the first quarter of fiscal 2019. The adoption of this guidance did not have an impact on the Company's consolidated financial statements.</w:t>
      </w:r>
    </w:p>
    <w:p>
      <w:pPr>
        <w:spacing w:after="0" w:line="158" w:lineRule="exact"/>
        <w:rPr>
          <w:sz w:val="20"/>
          <w:szCs w:val="20"/>
          <w:color w:val="auto"/>
        </w:rPr>
      </w:pPr>
    </w:p>
    <w:p>
      <w:pPr>
        <w:ind w:right="340" w:firstLine="405"/>
        <w:spacing w:after="0" w:line="257" w:lineRule="auto"/>
        <w:rPr>
          <w:sz w:val="20"/>
          <w:szCs w:val="20"/>
          <w:color w:val="auto"/>
        </w:rPr>
      </w:pPr>
      <w:r>
        <w:rPr>
          <w:rFonts w:ascii="Arial" w:cs="Arial" w:eastAsia="Arial" w:hAnsi="Arial"/>
          <w:sz w:val="18"/>
          <w:szCs w:val="18"/>
          <w:color w:val="auto"/>
        </w:rPr>
        <w:t>In October 2016, the FASB issued new guidance that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Company adopted the standard in the first quarter of fiscal 2019. The adoption of this guidance did not have an impact on the Company's consolidated financial statements.</w:t>
      </w:r>
    </w:p>
    <w:p>
      <w:pPr>
        <w:spacing w:after="0" w:line="188" w:lineRule="exact"/>
        <w:rPr>
          <w:sz w:val="20"/>
          <w:szCs w:val="20"/>
          <w:color w:val="auto"/>
        </w:rPr>
      </w:pPr>
    </w:p>
    <w:p>
      <w:pPr>
        <w:ind w:firstLine="405"/>
        <w:spacing w:after="0" w:line="302" w:lineRule="auto"/>
        <w:rPr>
          <w:sz w:val="20"/>
          <w:szCs w:val="20"/>
          <w:color w:val="auto"/>
        </w:rPr>
      </w:pPr>
      <w:r>
        <w:rPr>
          <w:rFonts w:ascii="Arial" w:cs="Arial" w:eastAsia="Arial" w:hAnsi="Arial"/>
          <w:sz w:val="16"/>
          <w:szCs w:val="16"/>
          <w:color w:val="auto"/>
        </w:rPr>
        <w:t>In November 2016, the FASB issued new guidance that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Company adopted the standard in the first quarter of fiscal 2019. The adoption of this guidance did not have a significant impact on the Company's consolidated financial statements.</w:t>
      </w:r>
    </w:p>
    <w:p>
      <w:pPr>
        <w:spacing w:after="0" w:line="154"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In January 2017, the FASB issued an accounting standards update that revises the definition of a business. The amendments provide a more robust framework for determining when a set of assets and activities is a business. The update is intended to help companies evaluate whether transactions should be accounted for as acquisitions or disposals of assets or businesses. The Company adopted the standard in the first quarter of fiscal 2019. The adoption of this guidance did not have an impact on the Company's consolidated financial statements.</w:t>
      </w:r>
    </w:p>
    <w:p>
      <w:pPr>
        <w:spacing w:after="0" w:line="187"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color w:val="auto"/>
        </w:rPr>
        <w:t>In May 2017, the FASB issued an accounting standards update that provides guidance about which changes to the terms or conditions of a share-based payment award require an entity to apply modification accounting. Unless the changes in terms or conditions meet all three criteria outlined in the guidance, modification accounting should be applied. The three criteria relate to changes in the terms and conditions that affect the fair value, vesting conditions, or classification of a share-based payment award. The guidance is required to be applied prospectively to an award modified on or after the adoption date. The Company adopted the standard in the first quarter of fiscal 2019. The adoption of this guidance did not have an impact on the Company's consolidated financial statements.</w:t>
      </w: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130" w:right="239" w:bottom="1440" w:gutter="0" w:footer="0" w:header="0"/>
        </w:sectPr>
      </w:pPr>
    </w:p>
    <w:bookmarkStart w:id="9" w:name="page10"/>
    <w:bookmarkEnd w:id="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right="140" w:firstLine="405"/>
        <w:spacing w:after="0" w:line="276" w:lineRule="auto"/>
        <w:rPr>
          <w:sz w:val="20"/>
          <w:szCs w:val="20"/>
          <w:color w:val="auto"/>
        </w:rPr>
      </w:pPr>
      <w:r>
        <w:rPr>
          <w:rFonts w:ascii="Arial" w:cs="Arial" w:eastAsia="Arial" w:hAnsi="Arial"/>
          <w:sz w:val="17"/>
          <w:szCs w:val="17"/>
          <w:color w:val="auto"/>
        </w:rPr>
        <w:t>In June 2018, the Financial Accounting Standards Board (“FASB”) issued an accounting standards update that substantially aligns the accounting for shared-based payments to non-employees and employees. The standard is required to be applied through a cumulative-effect adjustment to retained earnings as of the beginning of the fiscal year of adoption. This guidance is effective for fiscal years beginning after December 15, 2018, including interim periods within that fiscal year. Early adoption is permitted. The Company early adopted the standard in the second quarter of fiscal 2019. The adoption of this guidance did not have a significant impact on the Company's consolidated financial statements.</w:t>
      </w:r>
    </w:p>
    <w:p>
      <w:pPr>
        <w:spacing w:after="0" w:line="17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25"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In February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for lease arrangements. The standard is effective for the Company beginning in the first quarter of fiscal year 2020. The Company is currently evaluating the effect this new guidance will have on its consolidated financial statements.</w:t>
      </w:r>
    </w:p>
    <w:p>
      <w:pPr>
        <w:spacing w:after="0" w:line="187"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2020. The Company does not expect the adoption of this guidance will have a material effect on its consolidated financial statements.</w:t>
      </w:r>
    </w:p>
    <w:p>
      <w:pPr>
        <w:spacing w:after="0" w:line="193"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In August 2017, the FASB issued an accounting standards update that simplifies the application and administration of hedge accounting. The guidance amends the presentation and disclosure requirements and changes how companies assess effectiveness. The guidance is intended to more closely align hedge accounting with companies' risk management strategies, simplify the application of hedge accounting, and increase transparency as to the scope and results of hedging programs. The guidance is effective for the Company beginning in the first quarter of fiscal year 2021. Early adoption is permitted. The guidance will be applied to cash flow and net investment hedge relationships that exist on the date of adoption using a modified retrospective approach. The presentation and disclosure requirements will be applied prospectively. The Company is evaluating the effect this new guidance will have on its consolidated financial statements.</w:t>
      </w:r>
    </w:p>
    <w:p>
      <w:pPr>
        <w:spacing w:after="0" w:line="189"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August 2018, the FASB issued an accounting standard update to align the requirements for capitalizing implementation costs incurred in a software hosting arrangement that is a service contract and costs to develop or obtain internal-use software. The guidance is effective for the Company beginning in the first quarter of fiscal year 2021, with early adoption permitted. The Company is evaluating the effect this new guidance will have on its consolidated financial statements.</w:t>
      </w:r>
    </w:p>
    <w:p>
      <w:pPr>
        <w:spacing w:after="0" w:line="3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Business Combination</w:t>
      </w:r>
    </w:p>
    <w:p>
      <w:pPr>
        <w:spacing w:after="0" w:line="121" w:lineRule="exact"/>
        <w:rPr>
          <w:sz w:val="20"/>
          <w:szCs w:val="20"/>
          <w:color w:val="auto"/>
        </w:rPr>
      </w:pPr>
    </w:p>
    <w:p>
      <w:pPr>
        <w:ind w:right="80" w:firstLine="459"/>
        <w:spacing w:after="0" w:line="290" w:lineRule="auto"/>
        <w:rPr>
          <w:sz w:val="20"/>
          <w:szCs w:val="20"/>
          <w:color w:val="auto"/>
        </w:rPr>
      </w:pPr>
      <w:r>
        <w:rPr>
          <w:rFonts w:ascii="Arial" w:cs="Arial" w:eastAsia="Arial" w:hAnsi="Arial"/>
          <w:sz w:val="16"/>
          <w:szCs w:val="16"/>
          <w:color w:val="auto"/>
        </w:rPr>
        <w:t>On July 6, 2018, the Company completed the acquisition of Cavium (the “Cavium acquisition”). Cavium is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In accordance with the terms of the Agreement and Plan of Merger, dated as of November 19, 2017, by and among the Company and Cavium (the “Cavium merger agreement”), the Company acquired all outstanding shares of common stock of Cavium (the “Cavium shares”) for $40.00 per share in cash and 2.1757 shares of the Company’s common stock exchanged for each share of Cavium stock. The Company also made cash payments for the fractional shares that resulted from conversion as specified in the Cavium merger agreement. The merger consideration was funded with a combination of cash on hand, new debt financing and issuance of the Company’s common shares. See “Note 4 - Debt” for discussion of the debt financing.</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130" w:right="239" w:bottom="1440" w:gutter="0" w:footer="0" w:header="0"/>
        </w:sectPr>
      </w:pPr>
    </w:p>
    <w:bookmarkStart w:id="10" w:name="page11"/>
    <w:bookmarkEnd w:id="1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total merger consideration (in thousands, except share and per share data):</w:t>
      </w:r>
    </w:p>
    <w:p>
      <w:pPr>
        <w:spacing w:after="0" w:line="267" w:lineRule="exact"/>
        <w:rPr>
          <w:sz w:val="20"/>
          <w:szCs w:val="20"/>
          <w:color w:val="auto"/>
        </w:rPr>
      </w:pPr>
    </w:p>
    <w:tbl>
      <w:tblPr>
        <w:tblLayout w:type="fixed"/>
        <w:tblInd w:w="20" w:type="dxa"/>
        <w:tblCellMar>
          <w:top w:w="0" w:type="dxa"/>
          <w:left w:w="0" w:type="dxa"/>
          <w:bottom w:w="0" w:type="dxa"/>
          <w:right w:w="0" w:type="dxa"/>
        </w:tblCellMar>
      </w:tblPr>
      <w:tr>
        <w:trPr>
          <w:trHeight w:val="270"/>
        </w:trPr>
        <w:tc>
          <w:tcPr>
            <w:tcW w:w="7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 to Cavium common stockholders</w:t>
            </w:r>
          </w:p>
        </w:tc>
        <w:tc>
          <w:tcPr>
            <w:tcW w:w="1520" w:type="dxa"/>
            <w:vAlign w:val="bottom"/>
            <w:shd w:val="clear" w:color="auto" w:fill="CCEEFF"/>
          </w:tcPr>
          <w:p>
            <w:pPr>
              <w:jc w:val="right"/>
              <w:ind w:right="1330"/>
              <w:spacing w:after="0"/>
              <w:rPr>
                <w:sz w:val="20"/>
                <w:szCs w:val="20"/>
                <w:color w:val="auto"/>
              </w:rPr>
            </w:pPr>
            <w:r>
              <w:rPr>
                <w:rFonts w:ascii="Arial" w:cs="Arial" w:eastAsia="Arial" w:hAnsi="Arial"/>
                <w:sz w:val="18"/>
                <w:szCs w:val="18"/>
                <w:color w:val="auto"/>
                <w:w w:val="79"/>
              </w:rPr>
              <w:t>$</w:t>
            </w:r>
          </w:p>
        </w:tc>
        <w:tc>
          <w:tcPr>
            <w:tcW w:w="2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2,819,812</w:t>
            </w:r>
          </w:p>
        </w:tc>
      </w:tr>
      <w:tr>
        <w:trPr>
          <w:trHeight w:val="229"/>
        </w:trPr>
        <w:tc>
          <w:tcPr>
            <w:tcW w:w="7640" w:type="dxa"/>
            <w:vAlign w:val="bottom"/>
          </w:tcPr>
          <w:p>
            <w:pPr>
              <w:ind w:left="20"/>
              <w:spacing w:after="0"/>
              <w:rPr>
                <w:sz w:val="20"/>
                <w:szCs w:val="20"/>
                <w:color w:val="auto"/>
              </w:rPr>
            </w:pPr>
            <w:r>
              <w:rPr>
                <w:rFonts w:ascii="Arial" w:cs="Arial" w:eastAsia="Arial" w:hAnsi="Arial"/>
                <w:sz w:val="18"/>
                <w:szCs w:val="18"/>
                <w:color w:val="auto"/>
              </w:rPr>
              <w:t>Common stock (153,376,408 shares of the Company's common</w:t>
            </w:r>
          </w:p>
        </w:tc>
        <w:tc>
          <w:tcPr>
            <w:tcW w:w="1520" w:type="dxa"/>
            <w:vAlign w:val="bottom"/>
          </w:tcPr>
          <w:p>
            <w:pPr>
              <w:spacing w:after="0"/>
              <w:rPr>
                <w:sz w:val="19"/>
                <w:szCs w:val="19"/>
                <w:color w:val="auto"/>
              </w:rPr>
            </w:pPr>
          </w:p>
        </w:tc>
        <w:tc>
          <w:tcPr>
            <w:tcW w:w="2220" w:type="dxa"/>
            <w:vAlign w:val="bottom"/>
          </w:tcPr>
          <w:p>
            <w:pPr>
              <w:spacing w:after="0"/>
              <w:rPr>
                <w:sz w:val="19"/>
                <w:szCs w:val="19"/>
                <w:color w:val="auto"/>
              </w:rPr>
            </w:pPr>
          </w:p>
        </w:tc>
      </w:tr>
      <w:tr>
        <w:trPr>
          <w:trHeight w:val="230"/>
        </w:trPr>
        <w:tc>
          <w:tcPr>
            <w:tcW w:w="7640" w:type="dxa"/>
            <w:vAlign w:val="bottom"/>
          </w:tcPr>
          <w:p>
            <w:pPr>
              <w:ind w:left="160"/>
              <w:spacing w:after="0"/>
              <w:rPr>
                <w:sz w:val="20"/>
                <w:szCs w:val="20"/>
                <w:color w:val="auto"/>
              </w:rPr>
            </w:pPr>
            <w:r>
              <w:rPr>
                <w:rFonts w:ascii="Arial" w:cs="Arial" w:eastAsia="Arial" w:hAnsi="Arial"/>
                <w:sz w:val="18"/>
                <w:szCs w:val="18"/>
                <w:color w:val="auto"/>
              </w:rPr>
              <w:t>stock at $21.34 per share)</w:t>
            </w:r>
          </w:p>
        </w:tc>
        <w:tc>
          <w:tcPr>
            <w:tcW w:w="1520" w:type="dxa"/>
            <w:vAlign w:val="bottom"/>
          </w:tcPr>
          <w:p>
            <w:pPr>
              <w:spacing w:after="0"/>
              <w:rPr>
                <w:sz w:val="20"/>
                <w:szCs w:val="20"/>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3,273,053</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29"/>
        </w:trPr>
        <w:tc>
          <w:tcPr>
            <w:tcW w:w="7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9"/>
              </w:rPr>
              <w:t>Cash consideration for intrinsic value of vested director stock options and employee accelerated</w:t>
            </w:r>
          </w:p>
        </w:tc>
        <w:tc>
          <w:tcPr>
            <w:tcW w:w="1520" w:type="dxa"/>
            <w:vAlign w:val="bottom"/>
            <w:shd w:val="clear" w:color="auto" w:fill="CCEEFF"/>
          </w:tcPr>
          <w:p>
            <w:pPr>
              <w:spacing w:after="0"/>
              <w:rPr>
                <w:sz w:val="19"/>
                <w:szCs w:val="19"/>
                <w:color w:val="auto"/>
              </w:rPr>
            </w:pPr>
          </w:p>
        </w:tc>
        <w:tc>
          <w:tcPr>
            <w:tcW w:w="2220" w:type="dxa"/>
            <w:vAlign w:val="bottom"/>
            <w:shd w:val="clear" w:color="auto" w:fill="CCEEFF"/>
          </w:tcPr>
          <w:p>
            <w:pPr>
              <w:spacing w:after="0"/>
              <w:rPr>
                <w:sz w:val="19"/>
                <w:szCs w:val="19"/>
                <w:color w:val="auto"/>
              </w:rPr>
            </w:pPr>
          </w:p>
        </w:tc>
      </w:tr>
      <w:tr>
        <w:trPr>
          <w:trHeight w:val="237"/>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awards attributable to pre-acquisition service</w:t>
            </w:r>
          </w:p>
        </w:tc>
        <w:tc>
          <w:tcPr>
            <w:tcW w:w="1520" w:type="dxa"/>
            <w:vAlign w:val="bottom"/>
            <w:tcBorders>
              <w:bottom w:val="single" w:sz="8" w:color="CCEEFF"/>
            </w:tcBorders>
            <w:shd w:val="clear" w:color="auto" w:fill="CCEEFF"/>
          </w:tcPr>
          <w:p>
            <w:pPr>
              <w:spacing w:after="0"/>
              <w:rPr>
                <w:sz w:val="20"/>
                <w:szCs w:val="20"/>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10,642</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Stock consideration for employee accelerated awards attributable to pre-acquisition service</w:t>
            </w:r>
          </w:p>
        </w:tc>
        <w:tc>
          <w:tcPr>
            <w:tcW w:w="1520" w:type="dxa"/>
            <w:vAlign w:val="bottom"/>
          </w:tcPr>
          <w:p>
            <w:pPr>
              <w:spacing w:after="0"/>
              <w:rPr>
                <w:sz w:val="21"/>
                <w:szCs w:val="21"/>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7,804</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29"/>
        </w:trPr>
        <w:tc>
          <w:tcPr>
            <w:tcW w:w="7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Fair value of the replacement equity awards attributable to</w:t>
            </w:r>
          </w:p>
        </w:tc>
        <w:tc>
          <w:tcPr>
            <w:tcW w:w="1520" w:type="dxa"/>
            <w:vAlign w:val="bottom"/>
            <w:shd w:val="clear" w:color="auto" w:fill="CCEEFF"/>
          </w:tcPr>
          <w:p>
            <w:pPr>
              <w:spacing w:after="0"/>
              <w:rPr>
                <w:sz w:val="19"/>
                <w:szCs w:val="19"/>
                <w:color w:val="auto"/>
              </w:rPr>
            </w:pPr>
          </w:p>
        </w:tc>
        <w:tc>
          <w:tcPr>
            <w:tcW w:w="2220" w:type="dxa"/>
            <w:vAlign w:val="bottom"/>
            <w:shd w:val="clear" w:color="auto" w:fill="CCEEFF"/>
          </w:tcPr>
          <w:p>
            <w:pPr>
              <w:spacing w:after="0"/>
              <w:rPr>
                <w:sz w:val="19"/>
                <w:szCs w:val="19"/>
                <w:color w:val="auto"/>
              </w:rPr>
            </w:pPr>
          </w:p>
        </w:tc>
      </w:tr>
      <w:tr>
        <w:trPr>
          <w:trHeight w:val="257"/>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pre-acquisition service</w:t>
            </w:r>
          </w:p>
        </w:tc>
        <w:tc>
          <w:tcPr>
            <w:tcW w:w="1520" w:type="dxa"/>
            <w:vAlign w:val="bottom"/>
            <w:tcBorders>
              <w:bottom w:val="single" w:sz="8" w:color="CCEEFF"/>
            </w:tcBorders>
            <w:shd w:val="clear" w:color="auto" w:fill="CCEEFF"/>
          </w:tcPr>
          <w:p>
            <w:pPr>
              <w:spacing w:after="0"/>
              <w:rPr>
                <w:sz w:val="22"/>
                <w:szCs w:val="22"/>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50,485</w:t>
            </w:r>
          </w:p>
        </w:tc>
      </w:tr>
      <w:tr>
        <w:trPr>
          <w:trHeight w:val="257"/>
        </w:trPr>
        <w:tc>
          <w:tcPr>
            <w:tcW w:w="764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520" w:type="dxa"/>
            <w:vAlign w:val="bottom"/>
            <w:tcBorders>
              <w:top w:val="single" w:sz="8" w:color="auto"/>
              <w:bottom w:val="single" w:sz="8" w:color="auto"/>
            </w:tcBorders>
          </w:tcPr>
          <w:p>
            <w:pPr>
              <w:jc w:val="right"/>
              <w:ind w:right="1330"/>
              <w:spacing w:after="0"/>
              <w:rPr>
                <w:sz w:val="20"/>
                <w:szCs w:val="20"/>
                <w:color w:val="auto"/>
              </w:rPr>
            </w:pPr>
            <w:r>
              <w:rPr>
                <w:rFonts w:ascii="Arial" w:cs="Arial" w:eastAsia="Arial" w:hAnsi="Arial"/>
                <w:sz w:val="18"/>
                <w:szCs w:val="18"/>
                <w:color w:val="auto"/>
                <w:w w:val="79"/>
              </w:rPr>
              <w:t>$</w:t>
            </w:r>
          </w:p>
        </w:tc>
        <w:tc>
          <w:tcPr>
            <w:tcW w:w="22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6,161,796</w:t>
            </w:r>
          </w:p>
        </w:tc>
      </w:tr>
      <w:tr>
        <w:trPr>
          <w:trHeight w:val="20"/>
        </w:trPr>
        <w:tc>
          <w:tcPr>
            <w:tcW w:w="7640" w:type="dxa"/>
            <w:vAlign w:val="bottom"/>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2220" w:type="dxa"/>
            <w:vAlign w:val="bottom"/>
            <w:tcBorders>
              <w:bottom w:val="single" w:sz="8" w:color="auto"/>
            </w:tcBorders>
          </w:tcPr>
          <w:p>
            <w:pPr>
              <w:spacing w:after="0" w:line="20" w:lineRule="exact"/>
              <w:rPr>
                <w:sz w:val="1"/>
                <w:szCs w:val="1"/>
                <w:color w:val="auto"/>
              </w:rPr>
            </w:pPr>
          </w:p>
        </w:tc>
      </w:tr>
    </w:tbl>
    <w:p>
      <w:pPr>
        <w:spacing w:after="0" w:line="229" w:lineRule="exact"/>
        <w:rPr>
          <w:sz w:val="20"/>
          <w:szCs w:val="20"/>
          <w:color w:val="auto"/>
        </w:rPr>
      </w:pPr>
    </w:p>
    <w:p>
      <w:pPr>
        <w:ind w:right="80" w:firstLine="486"/>
        <w:spacing w:after="0" w:line="259" w:lineRule="auto"/>
        <w:rPr>
          <w:sz w:val="20"/>
          <w:szCs w:val="20"/>
          <w:color w:val="auto"/>
        </w:rPr>
      </w:pPr>
      <w:r>
        <w:rPr>
          <w:rFonts w:ascii="Arial" w:cs="Arial" w:eastAsia="Arial" w:hAnsi="Arial"/>
          <w:sz w:val="18"/>
          <w:szCs w:val="18"/>
          <w:color w:val="auto"/>
        </w:rPr>
        <w:t>Pursuant to the Cavium merger agreement, the Company assumed the outstanding employee equity awards originally granted by Cavium and converted such shares into the Company’s equivalent awards. The outstanding vested options held by directors of Cavium were settled in cash as specified in the Cavium merger agreement. The portion of the fair value of partially vested awards associated with pre-acquisition service of Cavium employees represented a component of the total consideration, as presented above.</w:t>
      </w:r>
    </w:p>
    <w:p>
      <w:pPr>
        <w:spacing w:after="0" w:line="200" w:lineRule="exact"/>
        <w:rPr>
          <w:sz w:val="20"/>
          <w:szCs w:val="20"/>
          <w:color w:val="auto"/>
        </w:rPr>
      </w:pPr>
    </w:p>
    <w:p>
      <w:pPr>
        <w:ind w:right="700" w:firstLine="459"/>
        <w:spacing w:after="0" w:line="342" w:lineRule="auto"/>
        <w:rPr>
          <w:sz w:val="20"/>
          <w:szCs w:val="20"/>
          <w:color w:val="auto"/>
        </w:rPr>
      </w:pPr>
      <w:r>
        <w:rPr>
          <w:rFonts w:ascii="Arial" w:cs="Arial" w:eastAsia="Arial" w:hAnsi="Arial"/>
          <w:sz w:val="16"/>
          <w:szCs w:val="16"/>
          <w:color w:val="auto"/>
        </w:rPr>
        <w:t>The merger consideration allocation set forth herein is preliminary and may be revised as additional information becomes available during the measurement period which could be up to 12 months from the closing date of the acquisition. Any such revisions or changes may be material.</w:t>
      </w:r>
    </w:p>
    <w:p>
      <w:pPr>
        <w:spacing w:after="0" w:line="124" w:lineRule="exact"/>
        <w:rPr>
          <w:sz w:val="20"/>
          <w:szCs w:val="20"/>
          <w:color w:val="auto"/>
        </w:rPr>
      </w:pPr>
    </w:p>
    <w:p>
      <w:pPr>
        <w:ind w:firstLine="486"/>
        <w:spacing w:after="0" w:line="272"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or IPR&amp;D, generally based on their estimated fair values. The excess purchase price over those fair values is recorded as goodwill. Goodwill of $3.5 billion recorded for the Cavium acquisition is not expected to be deductible for tax purposes.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the costs are incurred.</w:t>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130" w:right="259" w:bottom="1440" w:gutter="0" w:footer="0" w:header="0"/>
        </w:sectPr>
      </w:pPr>
    </w:p>
    <w:bookmarkStart w:id="11" w:name="page12"/>
    <w:bookmarkEnd w:id="1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tbl>
      <w:tblPr>
        <w:tblLayout w:type="fixed"/>
        <w:tblInd w:w="20" w:type="dxa"/>
        <w:tblCellMar>
          <w:top w:w="0" w:type="dxa"/>
          <w:left w:w="0" w:type="dxa"/>
          <w:bottom w:w="0" w:type="dxa"/>
          <w:right w:w="0" w:type="dxa"/>
        </w:tblCellMar>
      </w:tblPr>
      <w:tr>
        <w:trPr>
          <w:trHeight w:val="230"/>
        </w:trPr>
        <w:tc>
          <w:tcPr>
            <w:tcW w:w="7640" w:type="dxa"/>
            <w:vAlign w:val="bottom"/>
          </w:tcPr>
          <w:p>
            <w:pPr>
              <w:ind w:left="400"/>
              <w:spacing w:after="0"/>
              <w:rPr>
                <w:sz w:val="20"/>
                <w:szCs w:val="20"/>
                <w:color w:val="auto"/>
              </w:rPr>
            </w:pPr>
            <w:r>
              <w:rPr>
                <w:rFonts w:ascii="Arial" w:cs="Arial" w:eastAsia="Arial" w:hAnsi="Arial"/>
                <w:sz w:val="18"/>
                <w:szCs w:val="18"/>
                <w:color w:val="auto"/>
              </w:rPr>
              <w:t>The purchase price allocation is as follows (in thousands):</w:t>
            </w:r>
          </w:p>
        </w:tc>
        <w:tc>
          <w:tcPr>
            <w:tcW w:w="1520" w:type="dxa"/>
            <w:vAlign w:val="bottom"/>
          </w:tcPr>
          <w:p>
            <w:pPr>
              <w:spacing w:after="0"/>
              <w:rPr>
                <w:sz w:val="20"/>
                <w:szCs w:val="20"/>
                <w:color w:val="auto"/>
              </w:rPr>
            </w:pPr>
          </w:p>
        </w:tc>
        <w:tc>
          <w:tcPr>
            <w:tcW w:w="2220" w:type="dxa"/>
            <w:vAlign w:val="bottom"/>
          </w:tcPr>
          <w:p>
            <w:pPr>
              <w:spacing w:after="0"/>
              <w:rPr>
                <w:sz w:val="20"/>
                <w:szCs w:val="20"/>
                <w:color w:val="auto"/>
              </w:rPr>
            </w:pPr>
          </w:p>
        </w:tc>
      </w:tr>
      <w:tr>
        <w:trPr>
          <w:trHeight w:val="162"/>
        </w:trPr>
        <w:tc>
          <w:tcPr>
            <w:tcW w:w="76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220" w:type="dxa"/>
            <w:vAlign w:val="bottom"/>
          </w:tcPr>
          <w:p>
            <w:pPr>
              <w:spacing w:after="0"/>
              <w:rPr>
                <w:sz w:val="14"/>
                <w:szCs w:val="14"/>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1520" w:type="dxa"/>
            <w:vAlign w:val="bottom"/>
            <w:tcBorders>
              <w:bottom w:val="single" w:sz="8" w:color="CCEEFF"/>
            </w:tcBorders>
            <w:shd w:val="clear" w:color="auto" w:fill="CCEEFF"/>
          </w:tcPr>
          <w:p>
            <w:pPr>
              <w:jc w:val="right"/>
              <w:ind w:right="1330"/>
              <w:spacing w:after="0"/>
              <w:rPr>
                <w:sz w:val="20"/>
                <w:szCs w:val="20"/>
                <w:color w:val="auto"/>
              </w:rPr>
            </w:pPr>
            <w:r>
              <w:rPr>
                <w:rFonts w:ascii="Arial" w:cs="Arial" w:eastAsia="Arial" w:hAnsi="Arial"/>
                <w:sz w:val="18"/>
                <w:szCs w:val="18"/>
                <w:color w:val="auto"/>
                <w:w w:val="79"/>
              </w:rPr>
              <w:t>$</w:t>
            </w: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180,989</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Accounts receivable</w:t>
            </w:r>
          </w:p>
        </w:tc>
        <w:tc>
          <w:tcPr>
            <w:tcW w:w="1520" w:type="dxa"/>
            <w:vAlign w:val="bottom"/>
          </w:tcPr>
          <w:p>
            <w:pPr>
              <w:spacing w:after="0"/>
              <w:rPr>
                <w:sz w:val="21"/>
                <w:szCs w:val="21"/>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112,270</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330,778</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Prepaid expense and other current assets</w:t>
            </w:r>
          </w:p>
        </w:tc>
        <w:tc>
          <w:tcPr>
            <w:tcW w:w="1520" w:type="dxa"/>
            <w:vAlign w:val="bottom"/>
          </w:tcPr>
          <w:p>
            <w:pPr>
              <w:spacing w:after="0"/>
              <w:rPr>
                <w:sz w:val="21"/>
                <w:szCs w:val="21"/>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19,890</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Assets held for sale</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483</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Property and equipment</w:t>
            </w:r>
          </w:p>
        </w:tc>
        <w:tc>
          <w:tcPr>
            <w:tcW w:w="1520" w:type="dxa"/>
            <w:vAlign w:val="bottom"/>
          </w:tcPr>
          <w:p>
            <w:pPr>
              <w:spacing w:after="0"/>
              <w:rPr>
                <w:sz w:val="21"/>
                <w:szCs w:val="21"/>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115,428</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2,744,000</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1520" w:type="dxa"/>
            <w:vAlign w:val="bottom"/>
          </w:tcPr>
          <w:p>
            <w:pPr>
              <w:spacing w:after="0"/>
              <w:rPr>
                <w:sz w:val="21"/>
                <w:szCs w:val="21"/>
                <w:color w:val="auto"/>
              </w:rPr>
            </w:pPr>
          </w:p>
        </w:tc>
        <w:tc>
          <w:tcPr>
            <w:tcW w:w="2220" w:type="dxa"/>
            <w:vAlign w:val="bottom"/>
          </w:tcPr>
          <w:p>
            <w:pPr>
              <w:jc w:val="right"/>
              <w:ind w:right="10"/>
              <w:spacing w:after="0"/>
              <w:rPr>
                <w:sz w:val="20"/>
                <w:szCs w:val="20"/>
                <w:color w:val="auto"/>
              </w:rPr>
            </w:pPr>
            <w:r>
              <w:rPr>
                <w:rFonts w:ascii="Arial" w:cs="Arial" w:eastAsia="Arial" w:hAnsi="Arial"/>
                <w:sz w:val="18"/>
                <w:szCs w:val="18"/>
                <w:color w:val="auto"/>
              </w:rPr>
              <w:t>89,139</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3,504,302</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Accounts payable</w:t>
            </w:r>
          </w:p>
        </w:tc>
        <w:tc>
          <w:tcPr>
            <w:tcW w:w="1520" w:type="dxa"/>
            <w:vAlign w:val="bottom"/>
          </w:tcPr>
          <w:p>
            <w:pPr>
              <w:spacing w:after="0"/>
              <w:rPr>
                <w:sz w:val="21"/>
                <w:szCs w:val="21"/>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(52,383)</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(127,837)</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Accrued employee compensation</w:t>
            </w:r>
          </w:p>
        </w:tc>
        <w:tc>
          <w:tcPr>
            <w:tcW w:w="1520" w:type="dxa"/>
            <w:vAlign w:val="bottom"/>
          </w:tcPr>
          <w:p>
            <w:pPr>
              <w:spacing w:after="0"/>
              <w:rPr>
                <w:sz w:val="21"/>
                <w:szCs w:val="21"/>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(34,813)</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income</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(2,466)</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Current portion of long-term debt</w:t>
            </w:r>
          </w:p>
        </w:tc>
        <w:tc>
          <w:tcPr>
            <w:tcW w:w="1520" w:type="dxa"/>
            <w:vAlign w:val="bottom"/>
          </w:tcPr>
          <w:p>
            <w:pPr>
              <w:spacing w:after="0"/>
              <w:rPr>
                <w:sz w:val="21"/>
                <w:szCs w:val="21"/>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(6,123)</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Liabilities held for sale</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(3,032)</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1520" w:type="dxa"/>
            <w:vAlign w:val="bottom"/>
          </w:tcPr>
          <w:p>
            <w:pPr>
              <w:spacing w:after="0"/>
              <w:rPr>
                <w:sz w:val="21"/>
                <w:szCs w:val="21"/>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(600,005)</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income taxes payable</w:t>
            </w:r>
          </w:p>
        </w:tc>
        <w:tc>
          <w:tcPr>
            <w:tcW w:w="1520" w:type="dxa"/>
            <w:vAlign w:val="bottom"/>
            <w:tcBorders>
              <w:bottom w:val="single" w:sz="8" w:color="CCEEFF"/>
            </w:tcBorders>
            <w:shd w:val="clear" w:color="auto" w:fill="CCEEFF"/>
          </w:tcPr>
          <w:p>
            <w:pPr>
              <w:spacing w:after="0"/>
              <w:rPr>
                <w:sz w:val="21"/>
                <w:szCs w:val="21"/>
                <w:color w:val="auto"/>
              </w:rPr>
            </w:pPr>
          </w:p>
        </w:tc>
        <w:tc>
          <w:tcPr>
            <w:tcW w:w="2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(8,365)</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1520" w:type="dxa"/>
            <w:vAlign w:val="bottom"/>
          </w:tcPr>
          <w:p>
            <w:pPr>
              <w:spacing w:after="0"/>
              <w:rPr>
                <w:sz w:val="21"/>
                <w:szCs w:val="21"/>
                <w:color w:val="auto"/>
              </w:rPr>
            </w:pPr>
          </w:p>
        </w:tc>
        <w:tc>
          <w:tcPr>
            <w:tcW w:w="2220" w:type="dxa"/>
            <w:vAlign w:val="bottom"/>
          </w:tcPr>
          <w:p>
            <w:pPr>
              <w:jc w:val="right"/>
              <w:spacing w:after="0"/>
              <w:rPr>
                <w:sz w:val="20"/>
                <w:szCs w:val="20"/>
                <w:color w:val="auto"/>
              </w:rPr>
            </w:pPr>
            <w:r>
              <w:rPr>
                <w:rFonts w:ascii="Arial" w:cs="Arial" w:eastAsia="Arial" w:hAnsi="Arial"/>
                <w:sz w:val="18"/>
                <w:szCs w:val="18"/>
                <w:color w:val="auto"/>
              </w:rPr>
              <w:t>(84,360)</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7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1520" w:type="dxa"/>
            <w:vAlign w:val="bottom"/>
            <w:tcBorders>
              <w:bottom w:val="single" w:sz="8" w:color="CCEEFF"/>
            </w:tcBorders>
            <w:shd w:val="clear" w:color="auto" w:fill="CCEEFF"/>
          </w:tcPr>
          <w:p>
            <w:pPr>
              <w:spacing w:after="0"/>
              <w:rPr>
                <w:sz w:val="23"/>
                <w:szCs w:val="23"/>
                <w:color w:val="auto"/>
              </w:rPr>
            </w:pPr>
          </w:p>
        </w:tc>
        <w:tc>
          <w:tcPr>
            <w:tcW w:w="2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(16,099)</w:t>
            </w:r>
          </w:p>
        </w:tc>
      </w:tr>
      <w:tr>
        <w:trPr>
          <w:trHeight w:val="257"/>
        </w:trPr>
        <w:tc>
          <w:tcPr>
            <w:tcW w:w="764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520" w:type="dxa"/>
            <w:vAlign w:val="bottom"/>
            <w:tcBorders>
              <w:top w:val="single" w:sz="8" w:color="auto"/>
              <w:bottom w:val="single" w:sz="8" w:color="auto"/>
            </w:tcBorders>
          </w:tcPr>
          <w:p>
            <w:pPr>
              <w:jc w:val="right"/>
              <w:ind w:right="1330"/>
              <w:spacing w:after="0"/>
              <w:rPr>
                <w:sz w:val="20"/>
                <w:szCs w:val="20"/>
                <w:color w:val="auto"/>
              </w:rPr>
            </w:pPr>
            <w:r>
              <w:rPr>
                <w:rFonts w:ascii="Arial" w:cs="Arial" w:eastAsia="Arial" w:hAnsi="Arial"/>
                <w:sz w:val="18"/>
                <w:szCs w:val="18"/>
                <w:color w:val="auto"/>
                <w:w w:val="79"/>
              </w:rPr>
              <w:t>$</w:t>
            </w:r>
          </w:p>
        </w:tc>
        <w:tc>
          <w:tcPr>
            <w:tcW w:w="22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6,161,796</w:t>
            </w:r>
          </w:p>
        </w:tc>
      </w:tr>
      <w:tr>
        <w:trPr>
          <w:trHeight w:val="20"/>
        </w:trPr>
        <w:tc>
          <w:tcPr>
            <w:tcW w:w="7640" w:type="dxa"/>
            <w:vAlign w:val="bottom"/>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222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valuation of identifiable intangible assets and their estimated useful lives are as follows:</w:t>
      </w:r>
    </w:p>
    <w:p>
      <w:pPr>
        <w:spacing w:after="0" w:line="150"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57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jc w:val="center"/>
              <w:ind w:right="919"/>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9"/>
        </w:trPr>
        <w:tc>
          <w:tcPr>
            <w:tcW w:w="572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700" w:type="dxa"/>
            <w:vAlign w:val="bottom"/>
          </w:tcPr>
          <w:p>
            <w:pPr>
              <w:jc w:val="center"/>
              <w:ind w:right="919"/>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5720" w:type="dxa"/>
            <w:vAlign w:val="bottom"/>
          </w:tcPr>
          <w:p>
            <w:pPr>
              <w:spacing w:after="0"/>
              <w:rPr>
                <w:sz w:val="12"/>
                <w:szCs w:val="12"/>
                <w:color w:val="auto"/>
              </w:rPr>
            </w:pPr>
          </w:p>
        </w:tc>
        <w:tc>
          <w:tcPr>
            <w:tcW w:w="188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Asset Fair Value</w:t>
            </w:r>
          </w:p>
        </w:tc>
        <w:tc>
          <w:tcPr>
            <w:tcW w:w="84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700" w:type="dxa"/>
            <w:vAlign w:val="bottom"/>
          </w:tcPr>
          <w:p>
            <w:pPr>
              <w:jc w:val="center"/>
              <w:ind w:right="939"/>
              <w:spacing w:after="0" w:line="149" w:lineRule="exact"/>
              <w:rPr>
                <w:sz w:val="20"/>
                <w:szCs w:val="20"/>
                <w:color w:val="auto"/>
              </w:rPr>
            </w:pPr>
            <w:r>
              <w:rPr>
                <w:rFonts w:ascii="Arial" w:cs="Arial" w:eastAsia="Arial" w:hAnsi="Arial"/>
                <w:sz w:val="14"/>
                <w:szCs w:val="14"/>
                <w:b w:val="1"/>
                <w:bCs w:val="1"/>
                <w:color w:val="auto"/>
                <w:w w:val="94"/>
              </w:rPr>
              <w:t>Useful Life</w:t>
            </w:r>
          </w:p>
        </w:tc>
        <w:tc>
          <w:tcPr>
            <w:tcW w:w="0" w:type="dxa"/>
            <w:vAlign w:val="bottom"/>
          </w:tcPr>
          <w:p>
            <w:pPr>
              <w:spacing w:after="0"/>
              <w:rPr>
                <w:sz w:val="1"/>
                <w:szCs w:val="1"/>
                <w:color w:val="auto"/>
              </w:rPr>
            </w:pPr>
          </w:p>
        </w:tc>
      </w:tr>
      <w:tr>
        <w:trPr>
          <w:trHeight w:val="192"/>
        </w:trPr>
        <w:tc>
          <w:tcPr>
            <w:tcW w:w="5720" w:type="dxa"/>
            <w:vAlign w:val="bottom"/>
          </w:tcPr>
          <w:p>
            <w:pPr>
              <w:spacing w:after="0"/>
              <w:rPr>
                <w:sz w:val="16"/>
                <w:szCs w:val="16"/>
                <w:color w:val="auto"/>
              </w:rPr>
            </w:pPr>
          </w:p>
        </w:tc>
        <w:tc>
          <w:tcPr>
            <w:tcW w:w="1880" w:type="dxa"/>
            <w:vAlign w:val="bottom"/>
            <w:tcBorders>
              <w:bottom w:val="single" w:sz="8" w:color="auto"/>
            </w:tcBorders>
            <w:vMerge w:val="continue"/>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jc w:val="center"/>
              <w:ind w:right="939"/>
              <w:spacing w:after="0"/>
              <w:rPr>
                <w:sz w:val="20"/>
                <w:szCs w:val="20"/>
                <w:color w:val="auto"/>
              </w:rPr>
            </w:pPr>
            <w:r>
              <w:rPr>
                <w:rFonts w:ascii="Arial" w:cs="Arial" w:eastAsia="Arial" w:hAnsi="Arial"/>
                <w:sz w:val="14"/>
                <w:szCs w:val="14"/>
                <w:b w:val="1"/>
                <w:bCs w:val="1"/>
                <w:color w:val="auto"/>
                <w:w w:val="92"/>
              </w:rPr>
              <w:t>(Years)</w:t>
            </w:r>
          </w:p>
        </w:tc>
        <w:tc>
          <w:tcPr>
            <w:tcW w:w="0" w:type="dxa"/>
            <w:vAlign w:val="bottom"/>
          </w:tcPr>
          <w:p>
            <w:pPr>
              <w:spacing w:after="0"/>
              <w:rPr>
                <w:sz w:val="1"/>
                <w:szCs w:val="1"/>
                <w:color w:val="auto"/>
              </w:rPr>
            </w:pPr>
          </w:p>
        </w:tc>
      </w:tr>
      <w:tr>
        <w:trPr>
          <w:trHeight w:val="250"/>
        </w:trPr>
        <w:tc>
          <w:tcPr>
            <w:tcW w:w="5720" w:type="dxa"/>
            <w:vAlign w:val="bottom"/>
          </w:tcPr>
          <w:p>
            <w:pPr>
              <w:spacing w:after="0"/>
              <w:rPr>
                <w:sz w:val="21"/>
                <w:szCs w:val="21"/>
                <w:color w:val="auto"/>
              </w:rPr>
            </w:pPr>
          </w:p>
        </w:tc>
        <w:tc>
          <w:tcPr>
            <w:tcW w:w="3960" w:type="dxa"/>
            <w:vAlign w:val="bottom"/>
            <w:gridSpan w:val="3"/>
          </w:tcPr>
          <w:p>
            <w:pPr>
              <w:ind w:left="1740"/>
              <w:spacing w:after="0"/>
              <w:rPr>
                <w:sz w:val="20"/>
                <w:szCs w:val="20"/>
                <w:color w:val="auto"/>
              </w:rPr>
            </w:pPr>
            <w:r>
              <w:rPr>
                <w:rFonts w:ascii="Arial" w:cs="Arial" w:eastAsia="Arial" w:hAnsi="Arial"/>
                <w:sz w:val="14"/>
                <w:szCs w:val="14"/>
                <w:b w:val="1"/>
                <w:bCs w:val="1"/>
                <w:color w:val="auto"/>
                <w:w w:val="91"/>
              </w:rPr>
              <w:t>(in thousands, except for useful life)</w:t>
            </w:r>
          </w:p>
        </w:tc>
        <w:tc>
          <w:tcPr>
            <w:tcW w:w="17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6"/>
        </w:trPr>
        <w:tc>
          <w:tcPr>
            <w:tcW w:w="57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1880" w:type="dxa"/>
            <w:vAlign w:val="bottom"/>
            <w:tcBorders>
              <w:bottom w:val="single" w:sz="8" w:color="CCEEFF"/>
            </w:tcBorders>
            <w:shd w:val="clear" w:color="auto" w:fill="CCEEFF"/>
          </w:tcPr>
          <w:p>
            <w:pPr>
              <w:jc w:val="right"/>
              <w:ind w:right="1679"/>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9"/>
              </w:rPr>
              <w:t>1,743,000</w:t>
            </w:r>
          </w:p>
        </w:tc>
        <w:tc>
          <w:tcPr>
            <w:tcW w:w="1240" w:type="dxa"/>
            <w:vAlign w:val="bottom"/>
            <w:tcBorders>
              <w:bottom w:val="single" w:sz="8" w:color="CCEEFF"/>
            </w:tcBorders>
            <w:shd w:val="clear" w:color="auto" w:fill="CCEEFF"/>
          </w:tcPr>
          <w:p>
            <w:pPr>
              <w:spacing w:after="0"/>
              <w:rPr>
                <w:sz w:val="22"/>
                <w:szCs w:val="22"/>
                <w:color w:val="auto"/>
              </w:rPr>
            </w:pPr>
          </w:p>
        </w:tc>
        <w:tc>
          <w:tcPr>
            <w:tcW w:w="1700" w:type="dxa"/>
            <w:vAlign w:val="bottom"/>
            <w:tcBorders>
              <w:bottom w:val="single" w:sz="8" w:color="CCEEFF"/>
            </w:tcBorders>
            <w:shd w:val="clear" w:color="auto" w:fill="CCEEFF"/>
          </w:tcPr>
          <w:p>
            <w:pPr>
              <w:jc w:val="center"/>
              <w:ind w:right="939"/>
              <w:spacing w:after="0"/>
              <w:rPr>
                <w:sz w:val="20"/>
                <w:szCs w:val="20"/>
                <w:color w:val="auto"/>
              </w:rPr>
            </w:pPr>
            <w:r>
              <w:rPr>
                <w:rFonts w:ascii="Arial" w:cs="Arial" w:eastAsia="Arial" w:hAnsi="Arial"/>
                <w:sz w:val="18"/>
                <w:szCs w:val="18"/>
                <w:color w:val="auto"/>
                <w:w w:val="91"/>
              </w:rPr>
              <w:t>7.59</w:t>
            </w:r>
          </w:p>
        </w:tc>
        <w:tc>
          <w:tcPr>
            <w:tcW w:w="0" w:type="dxa"/>
            <w:vAlign w:val="bottom"/>
          </w:tcPr>
          <w:p>
            <w:pPr>
              <w:spacing w:after="0"/>
              <w:rPr>
                <w:sz w:val="1"/>
                <w:szCs w:val="1"/>
                <w:color w:val="auto"/>
              </w:rPr>
            </w:pPr>
          </w:p>
        </w:tc>
      </w:tr>
      <w:tr>
        <w:trPr>
          <w:trHeight w:val="243"/>
        </w:trPr>
        <w:tc>
          <w:tcPr>
            <w:tcW w:w="5720" w:type="dxa"/>
            <w:vAlign w:val="bottom"/>
          </w:tcPr>
          <w:p>
            <w:pPr>
              <w:ind w:left="20"/>
              <w:spacing w:after="0"/>
              <w:rPr>
                <w:sz w:val="20"/>
                <w:szCs w:val="20"/>
                <w:color w:val="auto"/>
              </w:rPr>
            </w:pPr>
            <w:r>
              <w:rPr>
                <w:rFonts w:ascii="Arial" w:cs="Arial" w:eastAsia="Arial" w:hAnsi="Arial"/>
                <w:sz w:val="18"/>
                <w:szCs w:val="18"/>
                <w:color w:val="auto"/>
              </w:rPr>
              <w:t>In process research and development ("IPR&amp;D")</w:t>
            </w:r>
          </w:p>
        </w:tc>
        <w:tc>
          <w:tcPr>
            <w:tcW w:w="18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513,000</w:t>
            </w:r>
          </w:p>
        </w:tc>
        <w:tc>
          <w:tcPr>
            <w:tcW w:w="1240" w:type="dxa"/>
            <w:vAlign w:val="bottom"/>
          </w:tcPr>
          <w:p>
            <w:pPr>
              <w:spacing w:after="0"/>
              <w:rPr>
                <w:sz w:val="21"/>
                <w:szCs w:val="21"/>
                <w:color w:val="auto"/>
              </w:rPr>
            </w:pPr>
          </w:p>
        </w:tc>
        <w:tc>
          <w:tcPr>
            <w:tcW w:w="1700" w:type="dxa"/>
            <w:vAlign w:val="bottom"/>
          </w:tcPr>
          <w:p>
            <w:pPr>
              <w:jc w:val="center"/>
              <w:ind w:right="919"/>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7"/>
        </w:trPr>
        <w:tc>
          <w:tcPr>
            <w:tcW w:w="57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7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8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465,000</w:t>
            </w:r>
          </w:p>
        </w:tc>
        <w:tc>
          <w:tcPr>
            <w:tcW w:w="1240" w:type="dxa"/>
            <w:vAlign w:val="bottom"/>
            <w:tcBorders>
              <w:bottom w:val="single" w:sz="8" w:color="CCEEFF"/>
            </w:tcBorders>
            <w:shd w:val="clear" w:color="auto" w:fill="CCEEFF"/>
          </w:tcPr>
          <w:p>
            <w:pPr>
              <w:spacing w:after="0"/>
              <w:rPr>
                <w:sz w:val="21"/>
                <w:szCs w:val="21"/>
                <w:color w:val="auto"/>
              </w:rPr>
            </w:pPr>
          </w:p>
        </w:tc>
        <w:tc>
          <w:tcPr>
            <w:tcW w:w="1700" w:type="dxa"/>
            <w:vAlign w:val="bottom"/>
            <w:tcBorders>
              <w:bottom w:val="single" w:sz="8" w:color="CCEEFF"/>
            </w:tcBorders>
            <w:shd w:val="clear" w:color="auto" w:fill="CCEEFF"/>
          </w:tcPr>
          <w:p>
            <w:pPr>
              <w:jc w:val="center"/>
              <w:ind w:right="939"/>
              <w:spacing w:after="0"/>
              <w:rPr>
                <w:sz w:val="20"/>
                <w:szCs w:val="20"/>
                <w:color w:val="auto"/>
              </w:rPr>
            </w:pPr>
            <w:r>
              <w:rPr>
                <w:rFonts w:ascii="Arial" w:cs="Arial" w:eastAsia="Arial" w:hAnsi="Arial"/>
                <w:sz w:val="18"/>
                <w:szCs w:val="18"/>
                <w:color w:val="auto"/>
                <w:w w:val="91"/>
              </w:rPr>
              <w:t>8.92</w:t>
            </w:r>
          </w:p>
        </w:tc>
        <w:tc>
          <w:tcPr>
            <w:tcW w:w="0" w:type="dxa"/>
            <w:vAlign w:val="bottom"/>
          </w:tcPr>
          <w:p>
            <w:pPr>
              <w:spacing w:after="0"/>
              <w:rPr>
                <w:sz w:val="1"/>
                <w:szCs w:val="1"/>
                <w:color w:val="auto"/>
              </w:rPr>
            </w:pPr>
          </w:p>
        </w:tc>
      </w:tr>
      <w:tr>
        <w:trPr>
          <w:trHeight w:val="243"/>
        </w:trPr>
        <w:tc>
          <w:tcPr>
            <w:tcW w:w="5720" w:type="dxa"/>
            <w:vAlign w:val="bottom"/>
          </w:tcPr>
          <w:p>
            <w:pPr>
              <w:ind w:left="20"/>
              <w:spacing w:after="0"/>
              <w:rPr>
                <w:sz w:val="20"/>
                <w:szCs w:val="20"/>
                <w:color w:val="auto"/>
              </w:rPr>
            </w:pPr>
            <w:r>
              <w:rPr>
                <w:rFonts w:ascii="Arial" w:cs="Arial" w:eastAsia="Arial" w:hAnsi="Arial"/>
                <w:sz w:val="18"/>
                <w:szCs w:val="18"/>
                <w:color w:val="auto"/>
              </w:rPr>
              <w:t>Trade names</w:t>
            </w:r>
          </w:p>
        </w:tc>
        <w:tc>
          <w:tcPr>
            <w:tcW w:w="18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23,000</w:t>
            </w:r>
          </w:p>
        </w:tc>
        <w:tc>
          <w:tcPr>
            <w:tcW w:w="1240" w:type="dxa"/>
            <w:vAlign w:val="bottom"/>
          </w:tcPr>
          <w:p>
            <w:pPr>
              <w:spacing w:after="0"/>
              <w:rPr>
                <w:sz w:val="21"/>
                <w:szCs w:val="21"/>
                <w:color w:val="auto"/>
              </w:rPr>
            </w:pPr>
          </w:p>
        </w:tc>
        <w:tc>
          <w:tcPr>
            <w:tcW w:w="1700" w:type="dxa"/>
            <w:vAlign w:val="bottom"/>
          </w:tcPr>
          <w:p>
            <w:pPr>
              <w:jc w:val="center"/>
              <w:ind w:right="939"/>
              <w:spacing w:after="0"/>
              <w:rPr>
                <w:sz w:val="20"/>
                <w:szCs w:val="20"/>
                <w:color w:val="auto"/>
              </w:rPr>
            </w:pPr>
            <w:r>
              <w:rPr>
                <w:rFonts w:ascii="Arial" w:cs="Arial" w:eastAsia="Arial" w:hAnsi="Arial"/>
                <w:sz w:val="18"/>
                <w:szCs w:val="18"/>
                <w:color w:val="auto"/>
                <w:w w:val="91"/>
              </w:rPr>
              <w:t>4.32</w:t>
            </w:r>
          </w:p>
        </w:tc>
        <w:tc>
          <w:tcPr>
            <w:tcW w:w="0" w:type="dxa"/>
            <w:vAlign w:val="bottom"/>
          </w:tcPr>
          <w:p>
            <w:pPr>
              <w:spacing w:after="0"/>
              <w:rPr>
                <w:sz w:val="1"/>
                <w:szCs w:val="1"/>
                <w:color w:val="auto"/>
              </w:rPr>
            </w:pPr>
          </w:p>
        </w:tc>
      </w:tr>
      <w:tr>
        <w:trPr>
          <w:trHeight w:val="27"/>
        </w:trPr>
        <w:tc>
          <w:tcPr>
            <w:tcW w:w="5720" w:type="dxa"/>
            <w:vAlign w:val="bottom"/>
            <w:tcBorders>
              <w:bottom w:val="single" w:sz="8" w:color="CCEEFF"/>
            </w:tcBorders>
          </w:tcPr>
          <w:p>
            <w:pPr>
              <w:spacing w:after="0"/>
              <w:rPr>
                <w:sz w:val="2"/>
                <w:szCs w:val="2"/>
                <w:color w:val="auto"/>
              </w:rPr>
            </w:pPr>
          </w:p>
        </w:tc>
        <w:tc>
          <w:tcPr>
            <w:tcW w:w="18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40" w:type="dxa"/>
            <w:vAlign w:val="bottom"/>
            <w:tcBorders>
              <w:bottom w:val="single" w:sz="8" w:color="CCEEFF"/>
            </w:tcBorders>
          </w:tcPr>
          <w:p>
            <w:pPr>
              <w:spacing w:after="0"/>
              <w:rPr>
                <w:sz w:val="2"/>
                <w:szCs w:val="2"/>
                <w:color w:val="auto"/>
              </w:rPr>
            </w:pPr>
          </w:p>
        </w:tc>
        <w:tc>
          <w:tcPr>
            <w:tcW w:w="170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720" w:type="dxa"/>
            <w:vAlign w:val="bottom"/>
            <w:tcBorders>
              <w:bottom w:val="single" w:sz="8" w:color="CCEEFF"/>
            </w:tcBorders>
            <w:shd w:val="clear" w:color="auto" w:fill="CCEEFF"/>
          </w:tcPr>
          <w:p>
            <w:pPr>
              <w:spacing w:after="0"/>
              <w:rPr>
                <w:sz w:val="22"/>
                <w:szCs w:val="22"/>
                <w:color w:val="auto"/>
              </w:rPr>
            </w:pPr>
          </w:p>
        </w:tc>
        <w:tc>
          <w:tcPr>
            <w:tcW w:w="1880" w:type="dxa"/>
            <w:vAlign w:val="bottom"/>
            <w:tcBorders>
              <w:bottom w:val="single" w:sz="8" w:color="CCEEFF"/>
            </w:tcBorders>
            <w:shd w:val="clear" w:color="auto" w:fill="CCEEFF"/>
          </w:tcPr>
          <w:p>
            <w:pPr>
              <w:jc w:val="right"/>
              <w:ind w:right="1679"/>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9"/>
              </w:rPr>
              <w:t>2,744,000</w:t>
            </w:r>
          </w:p>
        </w:tc>
        <w:tc>
          <w:tcPr>
            <w:tcW w:w="1240" w:type="dxa"/>
            <w:vAlign w:val="bottom"/>
            <w:tcBorders>
              <w:bottom w:val="single" w:sz="8" w:color="CCEEFF"/>
            </w:tcBorders>
            <w:shd w:val="clear" w:color="auto" w:fill="CCEEFF"/>
          </w:tcPr>
          <w:p>
            <w:pPr>
              <w:spacing w:after="0"/>
              <w:rPr>
                <w:sz w:val="22"/>
                <w:szCs w:val="22"/>
                <w:color w:val="auto"/>
              </w:rPr>
            </w:pPr>
          </w:p>
        </w:tc>
        <w:tc>
          <w:tcPr>
            <w:tcW w:w="1700" w:type="dxa"/>
            <w:vAlign w:val="bottom"/>
            <w:tcBorders>
              <w:bottom w:val="single" w:sz="8" w:color="CCEEFF"/>
            </w:tcBorders>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720" w:type="dxa"/>
            <w:vAlign w:val="bottom"/>
            <w:tcBorders>
              <w:top w:val="single" w:sz="8" w:color="CCEEFF"/>
            </w:tcBorders>
          </w:tcPr>
          <w:p>
            <w:pPr>
              <w:spacing w:after="0" w:line="20" w:lineRule="exact"/>
              <w:rPr>
                <w:sz w:val="1"/>
                <w:szCs w:val="1"/>
                <w:color w:val="auto"/>
              </w:rPr>
            </w:pPr>
          </w:p>
        </w:tc>
        <w:tc>
          <w:tcPr>
            <w:tcW w:w="18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CCEEFF"/>
            </w:tcBorders>
          </w:tcPr>
          <w:p>
            <w:pPr>
              <w:spacing w:after="0" w:line="20" w:lineRule="exact"/>
              <w:rPr>
                <w:sz w:val="1"/>
                <w:szCs w:val="1"/>
                <w:color w:val="auto"/>
              </w:rPr>
            </w:pPr>
          </w:p>
        </w:tc>
        <w:tc>
          <w:tcPr>
            <w:tcW w:w="170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9"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color w:val="auto"/>
        </w:rPr>
        <w:t>The intangible assets are amortized on a straight-line basis over the estimated useful lives, except for customer contracts and related relationships, which are amortized using an accelerated method of amortization over the expected customer lives, which more accurately reflects the pattern of realization of economic benefits expected to be obtained. The IPR&amp;D will be accounted for as an indefinite-lived intangible asset and will not be amortized until the underlying projects reach technological feasibility and commercial production or are abandoned at which point the IPR&amp;D will be amortized over the estimated useful life. Useful lives for these IPR&amp;D projects are expected to range between 4 to 9 years.</w:t>
      </w:r>
    </w:p>
    <w:p>
      <w:pPr>
        <w:spacing w:after="0" w:line="18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During the three and six months ended August 4, 2018, the Company incurred $28.2 million and $43.5 million, respectively, in acquisition related costs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which were recorded in selling, general and administrative expense in the condensed consolidated statements of operations. The Company also incurred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$22.8 million of debt financing costs. As of August 4, 2018, $0.4 million associated with the Revolving Credit Facility was classified in prepaid expenses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other current assets, $1.5 million associated with the Revolving Credit Facility was classified in other non-current assets, and $14.1 million associated with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term loan and senior notes was classified in long-term debt in the condensed consolidated balance sheet. See “Note 4. Debt” for additional information.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Additionally, the Company incurred $2.9 million of equity issuance costs, which were recorded in additional paid-in capital in the condensed consolidated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balance sheet.</w:t>
      </w:r>
    </w:p>
    <w:p>
      <w:pPr>
        <w:sectPr>
          <w:pgSz w:w="11900" w:h="16838" w:orient="portrait"/>
          <w:cols w:equalWidth="0" w:num="1">
            <w:col w:w="11400"/>
          </w:cols>
          <w:pgMar w:left="240" w:top="130" w:right="259" w:bottom="1440" w:gutter="0" w:footer="0" w:header="0"/>
        </w:sectPr>
      </w:pPr>
    </w:p>
    <w:p>
      <w:pPr>
        <w:spacing w:after="0" w:line="23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10</w:t>
      </w:r>
    </w:p>
    <w:p>
      <w:pPr>
        <w:sectPr>
          <w:pgSz w:w="11900" w:h="16838" w:orient="portrait"/>
          <w:cols w:equalWidth="0" w:num="1">
            <w:col w:w="11400"/>
          </w:cols>
          <w:pgMar w:left="240" w:top="130" w:right="259" w:bottom="1440" w:gutter="0" w:footer="0" w:header="0"/>
          <w:type w:val="continuous"/>
        </w:sectPr>
      </w:pPr>
    </w:p>
    <w:bookmarkStart w:id="12" w:name="page13"/>
    <w:bookmarkEnd w:id="1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20"/>
        <w:spacing w:after="0"/>
        <w:rPr>
          <w:sz w:val="20"/>
          <w:szCs w:val="20"/>
          <w:color w:val="auto"/>
        </w:rPr>
      </w:pPr>
      <w:r>
        <w:rPr>
          <w:rFonts w:ascii="Arial" w:cs="Arial" w:eastAsia="Arial" w:hAnsi="Arial"/>
          <w:sz w:val="16"/>
          <w:szCs w:val="16"/>
          <w:color w:val="auto"/>
        </w:rPr>
        <w:t>Since the date of the acquisition, Cavium contributed $41.3 million of the consolidated net revenue for the three and six months ended August 4, 2018.</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Cavium net loss incurred in the period ended August 4, 2018 was $120.6 million, which included restructuring costs of $22.3 million.</w:t>
      </w:r>
    </w:p>
    <w:p>
      <w:pPr>
        <w:spacing w:after="0" w:line="3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Supplemental Pro Forma Information</w:t>
      </w:r>
    </w:p>
    <w:p>
      <w:pPr>
        <w:spacing w:after="0" w:line="117" w:lineRule="exact"/>
        <w:rPr>
          <w:sz w:val="20"/>
          <w:szCs w:val="20"/>
          <w:color w:val="auto"/>
        </w:rPr>
      </w:pPr>
    </w:p>
    <w:p>
      <w:pPr>
        <w:ind w:right="180" w:firstLine="405"/>
        <w:spacing w:after="0" w:line="279" w:lineRule="auto"/>
        <w:rPr>
          <w:sz w:val="20"/>
          <w:szCs w:val="20"/>
          <w:color w:val="auto"/>
        </w:rPr>
      </w:pPr>
      <w:r>
        <w:rPr>
          <w:rFonts w:ascii="Arial" w:cs="Arial" w:eastAsia="Arial" w:hAnsi="Arial"/>
          <w:sz w:val="17"/>
          <w:szCs w:val="17"/>
          <w:color w:val="auto"/>
        </w:rPr>
        <w:t>The supplemental pro forma financial information presented below is for illustrative purposes only and is not necessarily indicative of the financial position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280" w:lineRule="exact"/>
        <w:rPr>
          <w:sz w:val="20"/>
          <w:szCs w:val="20"/>
          <w:color w:val="auto"/>
        </w:rPr>
      </w:pPr>
    </w:p>
    <w:p>
      <w:pPr>
        <w:ind w:right="20" w:firstLine="405"/>
        <w:spacing w:after="0" w:line="285" w:lineRule="auto"/>
        <w:rPr>
          <w:sz w:val="20"/>
          <w:szCs w:val="20"/>
          <w:color w:val="auto"/>
        </w:rPr>
      </w:pPr>
      <w:r>
        <w:rPr>
          <w:rFonts w:ascii="Arial" w:cs="Arial" w:eastAsia="Arial" w:hAnsi="Arial"/>
          <w:sz w:val="16"/>
          <w:szCs w:val="16"/>
          <w:color w:val="auto"/>
        </w:rPr>
        <w:t>The following supplemental pro forma information presents the combined results of operations for each of the periods presented, as if Cavium had been acquired as of the beginning of fiscal year 2018. The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2018, nonrecurring pro forma adjustments directly attributable to the Merger included (i) share-based compensation expense of $37.8 million, (ii) the purchase accounting effect of inventories acquired of $199.7 million, (iii) interest expense of $6.1 million and</w:t>
      </w:r>
    </w:p>
    <w:p>
      <w:pPr>
        <w:spacing w:after="0" w:line="2" w:lineRule="exact"/>
        <w:rPr>
          <w:sz w:val="20"/>
          <w:szCs w:val="20"/>
          <w:color w:val="auto"/>
        </w:rPr>
      </w:pPr>
    </w:p>
    <w:p>
      <w:pPr>
        <w:ind w:right="200" w:firstLine="8"/>
        <w:spacing w:after="0" w:line="255" w:lineRule="auto"/>
        <w:tabs>
          <w:tab w:leader="none" w:pos="305" w:val="left"/>
        </w:tabs>
        <w:numPr>
          <w:ilvl w:val="0"/>
          <w:numId w:val="3"/>
        </w:numPr>
        <w:rPr>
          <w:rFonts w:ascii="Arial" w:cs="Arial" w:eastAsia="Arial" w:hAnsi="Arial"/>
          <w:sz w:val="18"/>
          <w:szCs w:val="18"/>
          <w:color w:val="auto"/>
        </w:rPr>
      </w:pPr>
      <w:r>
        <w:rPr>
          <w:rFonts w:ascii="Arial" w:cs="Arial" w:eastAsia="Arial" w:hAnsi="Arial"/>
          <w:sz w:val="18"/>
          <w:szCs w:val="18"/>
          <w:color w:val="auto"/>
        </w:rPr>
        <w:t>transaction costs of $114.6 million. The supplemental pro forma information presented below is for informational purposes only and is not necessarily indicative of our consolidated results of operations of the combined business had the Merger actually occurred at the beginning of fiscal year 2018 or of the results of our future operations of the combined business.</w:t>
      </w:r>
    </w:p>
    <w:p>
      <w:pPr>
        <w:spacing w:after="0" w:line="20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supplemental pro forma financial information for the periods presented is as follows:</w:t>
      </w:r>
    </w:p>
    <w:p>
      <w:pPr>
        <w:spacing w:after="0" w:line="200" w:lineRule="exact"/>
        <w:rPr>
          <w:sz w:val="20"/>
          <w:szCs w:val="20"/>
          <w:color w:val="auto"/>
        </w:rPr>
      </w:pPr>
    </w:p>
    <w:p>
      <w:pPr>
        <w:spacing w:after="0" w:line="260"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480" w:type="dxa"/>
            <w:vAlign w:val="bottom"/>
          </w:tcPr>
          <w:p>
            <w:pPr>
              <w:spacing w:after="0"/>
              <w:rPr>
                <w:sz w:val="16"/>
                <w:szCs w:val="16"/>
                <w:color w:val="auto"/>
              </w:rPr>
            </w:pPr>
          </w:p>
        </w:tc>
        <w:tc>
          <w:tcPr>
            <w:tcW w:w="1820" w:type="dxa"/>
            <w:vAlign w:val="bottom"/>
            <w:tcBorders>
              <w:bottom w:val="single" w:sz="8" w:color="auto"/>
            </w:tcBorders>
          </w:tcPr>
          <w:p>
            <w:pPr>
              <w:spacing w:after="0"/>
              <w:rPr>
                <w:sz w:val="16"/>
                <w:szCs w:val="16"/>
                <w:color w:val="auto"/>
              </w:rPr>
            </w:pPr>
          </w:p>
        </w:tc>
        <w:tc>
          <w:tcPr>
            <w:tcW w:w="2300" w:type="dxa"/>
            <w:vAlign w:val="bottom"/>
            <w:tcBorders>
              <w:bottom w:val="single" w:sz="8" w:color="auto"/>
            </w:tcBorders>
            <w:gridSpan w:val="2"/>
          </w:tcPr>
          <w:p>
            <w:pPr>
              <w:jc w:val="right"/>
              <w:ind w:right="530"/>
              <w:spacing w:after="0"/>
              <w:rPr>
                <w:sz w:val="20"/>
                <w:szCs w:val="20"/>
                <w:color w:val="auto"/>
              </w:rPr>
            </w:pPr>
            <w:r>
              <w:rPr>
                <w:rFonts w:ascii="Arial" w:cs="Arial" w:eastAsia="Arial" w:hAnsi="Arial"/>
                <w:sz w:val="14"/>
                <w:szCs w:val="14"/>
                <w:b w:val="1"/>
                <w:bCs w:val="1"/>
                <w:color w:val="auto"/>
              </w:rPr>
              <w:t>Six months ended</w:t>
            </w:r>
          </w:p>
        </w:tc>
        <w:tc>
          <w:tcPr>
            <w:tcW w:w="1780" w:type="dxa"/>
            <w:vAlign w:val="bottom"/>
            <w:tcBorders>
              <w:bottom w:val="single" w:sz="8" w:color="auto"/>
            </w:tcBorders>
          </w:tcPr>
          <w:p>
            <w:pPr>
              <w:spacing w:after="0"/>
              <w:rPr>
                <w:sz w:val="16"/>
                <w:szCs w:val="16"/>
                <w:color w:val="auto"/>
              </w:rPr>
            </w:pPr>
          </w:p>
        </w:tc>
      </w:tr>
      <w:tr>
        <w:trPr>
          <w:trHeight w:val="264"/>
        </w:trPr>
        <w:tc>
          <w:tcPr>
            <w:tcW w:w="5480" w:type="dxa"/>
            <w:vAlign w:val="bottom"/>
          </w:tcPr>
          <w:p>
            <w:pPr>
              <w:spacing w:after="0"/>
              <w:rPr>
                <w:sz w:val="22"/>
                <w:szCs w:val="22"/>
                <w:color w:val="auto"/>
              </w:rPr>
            </w:pPr>
          </w:p>
        </w:tc>
        <w:tc>
          <w:tcPr>
            <w:tcW w:w="182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August 4, 2018</w:t>
            </w:r>
          </w:p>
        </w:tc>
        <w:tc>
          <w:tcPr>
            <w:tcW w:w="1100" w:type="dxa"/>
            <w:vAlign w:val="bottom"/>
            <w:tcBorders>
              <w:bottom w:val="single" w:sz="8" w:color="auto"/>
            </w:tcBorders>
          </w:tcPr>
          <w:p>
            <w:pPr>
              <w:spacing w:after="0"/>
              <w:rPr>
                <w:sz w:val="22"/>
                <w:szCs w:val="22"/>
                <w:color w:val="auto"/>
              </w:rPr>
            </w:pPr>
          </w:p>
        </w:tc>
        <w:tc>
          <w:tcPr>
            <w:tcW w:w="1200" w:type="dxa"/>
            <w:vAlign w:val="bottom"/>
            <w:tcBorders>
              <w:bottom w:val="single" w:sz="8" w:color="auto"/>
            </w:tcBorders>
          </w:tcPr>
          <w:p>
            <w:pPr>
              <w:spacing w:after="0"/>
              <w:rPr>
                <w:sz w:val="22"/>
                <w:szCs w:val="22"/>
                <w:color w:val="auto"/>
              </w:rPr>
            </w:pPr>
          </w:p>
        </w:tc>
        <w:tc>
          <w:tcPr>
            <w:tcW w:w="1780" w:type="dxa"/>
            <w:vAlign w:val="bottom"/>
            <w:tcBorders>
              <w:bottom w:val="single" w:sz="8" w:color="auto"/>
            </w:tcBorders>
          </w:tcPr>
          <w:p>
            <w:pPr>
              <w:jc w:val="right"/>
              <w:ind w:right="874"/>
              <w:spacing w:after="0"/>
              <w:rPr>
                <w:sz w:val="20"/>
                <w:szCs w:val="20"/>
                <w:color w:val="auto"/>
              </w:rPr>
            </w:pPr>
            <w:r>
              <w:rPr>
                <w:rFonts w:ascii="Arial" w:cs="Arial" w:eastAsia="Arial" w:hAnsi="Arial"/>
                <w:sz w:val="14"/>
                <w:szCs w:val="14"/>
                <w:b w:val="1"/>
                <w:bCs w:val="1"/>
                <w:color w:val="auto"/>
                <w:w w:val="92"/>
              </w:rPr>
              <w:t>July 29, 2017</w:t>
            </w:r>
          </w:p>
        </w:tc>
      </w:tr>
      <w:tr>
        <w:trPr>
          <w:trHeight w:val="250"/>
        </w:trPr>
        <w:tc>
          <w:tcPr>
            <w:tcW w:w="548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300" w:type="dxa"/>
            <w:vAlign w:val="bottom"/>
            <w:gridSpan w:val="2"/>
          </w:tcPr>
          <w:p>
            <w:pPr>
              <w:jc w:val="right"/>
              <w:spacing w:after="0"/>
              <w:rPr>
                <w:sz w:val="20"/>
                <w:szCs w:val="20"/>
                <w:color w:val="auto"/>
              </w:rPr>
            </w:pPr>
            <w:r>
              <w:rPr>
                <w:rFonts w:ascii="Arial" w:cs="Arial" w:eastAsia="Arial" w:hAnsi="Arial"/>
                <w:sz w:val="14"/>
                <w:szCs w:val="14"/>
                <w:b w:val="1"/>
                <w:bCs w:val="1"/>
                <w:color w:val="auto"/>
                <w:w w:val="91"/>
              </w:rPr>
              <w:t>(in thousands, except per share data)</w:t>
            </w:r>
          </w:p>
        </w:tc>
        <w:tc>
          <w:tcPr>
            <w:tcW w:w="1780" w:type="dxa"/>
            <w:vAlign w:val="bottom"/>
          </w:tcPr>
          <w:p>
            <w:pPr>
              <w:spacing w:after="0"/>
              <w:rPr>
                <w:sz w:val="21"/>
                <w:szCs w:val="21"/>
                <w:color w:val="auto"/>
              </w:rPr>
            </w:pPr>
          </w:p>
        </w:tc>
      </w:tr>
      <w:tr>
        <w:trPr>
          <w:trHeight w:val="256"/>
        </w:trPr>
        <w:tc>
          <w:tcPr>
            <w:tcW w:w="54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1820" w:type="dxa"/>
            <w:vAlign w:val="bottom"/>
            <w:tcBorders>
              <w:bottom w:val="single" w:sz="8" w:color="CCEEFF"/>
            </w:tcBorders>
            <w:shd w:val="clear" w:color="auto" w:fill="CCEEFF"/>
          </w:tcPr>
          <w:p>
            <w:pPr>
              <w:jc w:val="right"/>
              <w:ind w:right="1636"/>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216"/>
              <w:spacing w:after="0"/>
              <w:rPr>
                <w:sz w:val="20"/>
                <w:szCs w:val="20"/>
                <w:color w:val="auto"/>
              </w:rPr>
            </w:pPr>
            <w:r>
              <w:rPr>
                <w:rFonts w:ascii="Arial" w:cs="Arial" w:eastAsia="Arial" w:hAnsi="Arial"/>
                <w:sz w:val="18"/>
                <w:szCs w:val="18"/>
                <w:color w:val="auto"/>
                <w:w w:val="97"/>
              </w:rPr>
              <w:t>1,612,873</w:t>
            </w:r>
          </w:p>
        </w:tc>
        <w:tc>
          <w:tcPr>
            <w:tcW w:w="1200" w:type="dxa"/>
            <w:vAlign w:val="bottom"/>
            <w:tcBorders>
              <w:bottom w:val="single" w:sz="8" w:color="CCEEFF"/>
            </w:tcBorders>
            <w:shd w:val="clear" w:color="auto" w:fill="CCEEFF"/>
          </w:tcPr>
          <w:p>
            <w:pPr>
              <w:jc w:val="right"/>
              <w:ind w:right="730"/>
              <w:spacing w:after="0"/>
              <w:rPr>
                <w:sz w:val="20"/>
                <w:szCs w:val="20"/>
                <w:color w:val="auto"/>
              </w:rPr>
            </w:pPr>
            <w:r>
              <w:rPr>
                <w:rFonts w:ascii="Arial" w:cs="Arial" w:eastAsia="Arial" w:hAnsi="Arial"/>
                <w:sz w:val="18"/>
                <w:szCs w:val="18"/>
                <w:color w:val="auto"/>
              </w:rPr>
              <w:t>$</w:t>
            </w:r>
          </w:p>
        </w:tc>
        <w:tc>
          <w:tcPr>
            <w:tcW w:w="17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1,649,129</w:t>
            </w:r>
          </w:p>
        </w:tc>
      </w:tr>
      <w:tr>
        <w:trPr>
          <w:trHeight w:val="243"/>
        </w:trPr>
        <w:tc>
          <w:tcPr>
            <w:tcW w:w="5480" w:type="dxa"/>
            <w:vAlign w:val="bottom"/>
          </w:tcPr>
          <w:p>
            <w:pPr>
              <w:ind w:left="20"/>
              <w:spacing w:after="0"/>
              <w:rPr>
                <w:sz w:val="20"/>
                <w:szCs w:val="20"/>
                <w:color w:val="auto"/>
              </w:rPr>
            </w:pPr>
            <w:r>
              <w:rPr>
                <w:rFonts w:ascii="Arial" w:cs="Arial" w:eastAsia="Arial" w:hAnsi="Arial"/>
                <w:sz w:val="18"/>
                <w:szCs w:val="18"/>
                <w:color w:val="auto"/>
              </w:rPr>
              <w:t>Pro forma net income (loss)</w:t>
            </w:r>
          </w:p>
        </w:tc>
        <w:tc>
          <w:tcPr>
            <w:tcW w:w="1820" w:type="dxa"/>
            <w:vAlign w:val="bottom"/>
          </w:tcPr>
          <w:p>
            <w:pPr>
              <w:spacing w:after="0"/>
              <w:rPr>
                <w:sz w:val="21"/>
                <w:szCs w:val="21"/>
                <w:color w:val="auto"/>
              </w:rPr>
            </w:pPr>
          </w:p>
        </w:tc>
        <w:tc>
          <w:tcPr>
            <w:tcW w:w="1100" w:type="dxa"/>
            <w:vAlign w:val="bottom"/>
          </w:tcPr>
          <w:p>
            <w:pPr>
              <w:jc w:val="right"/>
              <w:ind w:right="216"/>
              <w:spacing w:after="0"/>
              <w:rPr>
                <w:sz w:val="20"/>
                <w:szCs w:val="20"/>
                <w:color w:val="auto"/>
              </w:rPr>
            </w:pPr>
            <w:r>
              <w:rPr>
                <w:rFonts w:ascii="Arial" w:cs="Arial" w:eastAsia="Arial" w:hAnsi="Arial"/>
                <w:sz w:val="18"/>
                <w:szCs w:val="18"/>
                <w:color w:val="auto"/>
              </w:rPr>
              <w:t>57,453</w:t>
            </w:r>
          </w:p>
        </w:tc>
        <w:tc>
          <w:tcPr>
            <w:tcW w:w="1200" w:type="dxa"/>
            <w:vAlign w:val="bottom"/>
          </w:tcPr>
          <w:p>
            <w:pPr>
              <w:spacing w:after="0"/>
              <w:rPr>
                <w:sz w:val="21"/>
                <w:szCs w:val="21"/>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(204,632)</w:t>
            </w:r>
          </w:p>
        </w:tc>
      </w:tr>
      <w:tr>
        <w:trPr>
          <w:trHeight w:val="27"/>
        </w:trPr>
        <w:tc>
          <w:tcPr>
            <w:tcW w:w="5480" w:type="dxa"/>
            <w:vAlign w:val="bottom"/>
          </w:tcPr>
          <w:p>
            <w:pPr>
              <w:spacing w:after="0"/>
              <w:rPr>
                <w:sz w:val="2"/>
                <w:szCs w:val="2"/>
                <w:color w:val="auto"/>
              </w:rPr>
            </w:pPr>
          </w:p>
        </w:tc>
        <w:tc>
          <w:tcPr>
            <w:tcW w:w="18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780" w:type="dxa"/>
            <w:vAlign w:val="bottom"/>
          </w:tcPr>
          <w:p>
            <w:pPr>
              <w:spacing w:after="0"/>
              <w:rPr>
                <w:sz w:val="2"/>
                <w:szCs w:val="2"/>
                <w:color w:val="auto"/>
              </w:rPr>
            </w:pPr>
          </w:p>
        </w:tc>
      </w:tr>
      <w:tr>
        <w:trPr>
          <w:trHeight w:val="324"/>
        </w:trPr>
        <w:tc>
          <w:tcPr>
            <w:tcW w:w="5480" w:type="dxa"/>
            <w:vAlign w:val="bottom"/>
            <w:shd w:val="clear" w:color="auto" w:fill="CCEEFF"/>
          </w:tcPr>
          <w:p>
            <w:pPr>
              <w:spacing w:after="0"/>
              <w:rPr>
                <w:sz w:val="24"/>
                <w:szCs w:val="24"/>
                <w:color w:val="auto"/>
              </w:rPr>
            </w:pPr>
          </w:p>
        </w:tc>
        <w:tc>
          <w:tcPr>
            <w:tcW w:w="182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780" w:type="dxa"/>
            <w:vAlign w:val="bottom"/>
            <w:shd w:val="clear" w:color="auto" w:fill="CCEEFF"/>
          </w:tcPr>
          <w:p>
            <w:pPr>
              <w:spacing w:after="0"/>
              <w:rPr>
                <w:sz w:val="24"/>
                <w:szCs w:val="24"/>
                <w:color w:val="auto"/>
              </w:rPr>
            </w:pPr>
          </w:p>
        </w:tc>
      </w:tr>
      <w:tr>
        <w:trPr>
          <w:trHeight w:val="243"/>
        </w:trPr>
        <w:tc>
          <w:tcPr>
            <w:tcW w:w="5480" w:type="dxa"/>
            <w:vAlign w:val="bottom"/>
          </w:tcPr>
          <w:p>
            <w:pPr>
              <w:ind w:left="20"/>
              <w:spacing w:after="0"/>
              <w:rPr>
                <w:sz w:val="20"/>
                <w:szCs w:val="20"/>
                <w:color w:val="auto"/>
              </w:rPr>
            </w:pPr>
            <w:r>
              <w:rPr>
                <w:rFonts w:ascii="Arial" w:cs="Arial" w:eastAsia="Arial" w:hAnsi="Arial"/>
                <w:sz w:val="18"/>
                <w:szCs w:val="18"/>
                <w:color w:val="auto"/>
              </w:rPr>
              <w:t>Pro forma net income (loss) per share, basic</w:t>
            </w:r>
          </w:p>
        </w:tc>
        <w:tc>
          <w:tcPr>
            <w:tcW w:w="1820" w:type="dxa"/>
            <w:vAlign w:val="bottom"/>
          </w:tcPr>
          <w:p>
            <w:pPr>
              <w:jc w:val="right"/>
              <w:ind w:right="1636"/>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216"/>
              <w:spacing w:after="0"/>
              <w:rPr>
                <w:sz w:val="20"/>
                <w:szCs w:val="20"/>
                <w:color w:val="auto"/>
              </w:rPr>
            </w:pPr>
            <w:r>
              <w:rPr>
                <w:rFonts w:ascii="Arial" w:cs="Arial" w:eastAsia="Arial" w:hAnsi="Arial"/>
                <w:sz w:val="18"/>
                <w:szCs w:val="18"/>
                <w:color w:val="auto"/>
              </w:rPr>
              <w:t>0.09</w:t>
            </w:r>
          </w:p>
        </w:tc>
        <w:tc>
          <w:tcPr>
            <w:tcW w:w="1200" w:type="dxa"/>
            <w:vAlign w:val="bottom"/>
          </w:tcPr>
          <w:p>
            <w:pPr>
              <w:jc w:val="right"/>
              <w:ind w:right="730"/>
              <w:spacing w:after="0"/>
              <w:rPr>
                <w:sz w:val="20"/>
                <w:szCs w:val="20"/>
                <w:color w:val="auto"/>
              </w:rPr>
            </w:pPr>
            <w:r>
              <w:rPr>
                <w:rFonts w:ascii="Arial" w:cs="Arial" w:eastAsia="Arial" w:hAnsi="Arial"/>
                <w:sz w:val="18"/>
                <w:szCs w:val="18"/>
                <w:color w:val="auto"/>
              </w:rPr>
              <w:t>$</w:t>
            </w:r>
          </w:p>
        </w:tc>
        <w:tc>
          <w:tcPr>
            <w:tcW w:w="1780" w:type="dxa"/>
            <w:vAlign w:val="bottom"/>
          </w:tcPr>
          <w:p>
            <w:pPr>
              <w:jc w:val="right"/>
              <w:spacing w:after="0"/>
              <w:rPr>
                <w:sz w:val="20"/>
                <w:szCs w:val="20"/>
                <w:color w:val="auto"/>
              </w:rPr>
            </w:pPr>
            <w:r>
              <w:rPr>
                <w:rFonts w:ascii="Arial" w:cs="Arial" w:eastAsia="Arial" w:hAnsi="Arial"/>
                <w:sz w:val="18"/>
                <w:szCs w:val="18"/>
                <w:color w:val="auto"/>
              </w:rPr>
              <w:t>(0.31)</w:t>
            </w:r>
          </w:p>
        </w:tc>
      </w:tr>
      <w:tr>
        <w:trPr>
          <w:trHeight w:val="27"/>
        </w:trPr>
        <w:tc>
          <w:tcPr>
            <w:tcW w:w="5480" w:type="dxa"/>
            <w:vAlign w:val="bottom"/>
          </w:tcPr>
          <w:p>
            <w:pPr>
              <w:spacing w:after="0"/>
              <w:rPr>
                <w:sz w:val="2"/>
                <w:szCs w:val="2"/>
                <w:color w:val="auto"/>
              </w:rPr>
            </w:pPr>
          </w:p>
        </w:tc>
        <w:tc>
          <w:tcPr>
            <w:tcW w:w="18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780" w:type="dxa"/>
            <w:vAlign w:val="bottom"/>
          </w:tcPr>
          <w:p>
            <w:pPr>
              <w:spacing w:after="0"/>
              <w:rPr>
                <w:sz w:val="2"/>
                <w:szCs w:val="2"/>
                <w:color w:val="auto"/>
              </w:rPr>
            </w:pPr>
          </w:p>
        </w:tc>
      </w:tr>
      <w:tr>
        <w:trPr>
          <w:trHeight w:val="243"/>
        </w:trPr>
        <w:tc>
          <w:tcPr>
            <w:tcW w:w="5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 forma net income (loss) per share, diluted</w:t>
            </w:r>
          </w:p>
        </w:tc>
        <w:tc>
          <w:tcPr>
            <w:tcW w:w="1820" w:type="dxa"/>
            <w:vAlign w:val="bottom"/>
            <w:shd w:val="clear" w:color="auto" w:fill="CCEEFF"/>
          </w:tcPr>
          <w:p>
            <w:pPr>
              <w:spacing w:after="0"/>
              <w:rPr>
                <w:sz w:val="21"/>
                <w:szCs w:val="21"/>
                <w:color w:val="auto"/>
              </w:rPr>
            </w:pPr>
          </w:p>
        </w:tc>
        <w:tc>
          <w:tcPr>
            <w:tcW w:w="1100" w:type="dxa"/>
            <w:vAlign w:val="bottom"/>
            <w:shd w:val="clear" w:color="auto" w:fill="CCEEFF"/>
          </w:tcPr>
          <w:p>
            <w:pPr>
              <w:jc w:val="right"/>
              <w:ind w:right="216"/>
              <w:spacing w:after="0"/>
              <w:rPr>
                <w:sz w:val="20"/>
                <w:szCs w:val="20"/>
                <w:color w:val="auto"/>
              </w:rPr>
            </w:pPr>
            <w:r>
              <w:rPr>
                <w:rFonts w:ascii="Arial" w:cs="Arial" w:eastAsia="Arial" w:hAnsi="Arial"/>
                <w:sz w:val="18"/>
                <w:szCs w:val="18"/>
                <w:color w:val="auto"/>
              </w:rPr>
              <w:t>0.09</w:t>
            </w:r>
          </w:p>
        </w:tc>
        <w:tc>
          <w:tcPr>
            <w:tcW w:w="1200" w:type="dxa"/>
            <w:vAlign w:val="bottom"/>
            <w:shd w:val="clear" w:color="auto" w:fill="CCEEFF"/>
          </w:tcPr>
          <w:p>
            <w:pPr>
              <w:spacing w:after="0"/>
              <w:rPr>
                <w:sz w:val="21"/>
                <w:szCs w:val="21"/>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r>
      <w:tr>
        <w:trPr>
          <w:trHeight w:val="27"/>
        </w:trPr>
        <w:tc>
          <w:tcPr>
            <w:tcW w:w="5480" w:type="dxa"/>
            <w:vAlign w:val="bottom"/>
            <w:shd w:val="clear" w:color="auto" w:fill="CCEEFF"/>
          </w:tcPr>
          <w:p>
            <w:pPr>
              <w:spacing w:after="0"/>
              <w:rPr>
                <w:sz w:val="2"/>
                <w:szCs w:val="2"/>
                <w:color w:val="auto"/>
              </w:rPr>
            </w:pPr>
          </w:p>
        </w:tc>
        <w:tc>
          <w:tcPr>
            <w:tcW w:w="1820" w:type="dxa"/>
            <w:vAlign w:val="bottom"/>
            <w:shd w:val="clear" w:color="auto" w:fill="CCEEFF"/>
          </w:tcPr>
          <w:p>
            <w:pPr>
              <w:spacing w:after="0"/>
              <w:rPr>
                <w:sz w:val="2"/>
                <w:szCs w:val="2"/>
                <w:color w:val="auto"/>
              </w:rPr>
            </w:pPr>
          </w:p>
        </w:tc>
        <w:tc>
          <w:tcPr>
            <w:tcW w:w="110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c>
          <w:tcPr>
            <w:tcW w:w="1780" w:type="dxa"/>
            <w:vAlign w:val="bottom"/>
            <w:shd w:val="clear" w:color="auto" w:fill="CCEEFF"/>
          </w:tcPr>
          <w:p>
            <w:pPr>
              <w:spacing w:after="0"/>
              <w:rPr>
                <w:sz w:val="2"/>
                <w:szCs w:val="2"/>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130" w:right="259" w:bottom="1440" w:gutter="0" w:footer="0" w:header="0"/>
        </w:sectPr>
      </w:pPr>
    </w:p>
    <w:bookmarkStart w:id="13" w:name="page14"/>
    <w:bookmarkEnd w:id="1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Debt</w:t>
      </w:r>
    </w:p>
    <w:p>
      <w:pPr>
        <w:spacing w:after="0" w:line="121"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On July 6, 2018, the Company completed its acquisition of Cavium. In connection with the acquisition (see "Note 3 - Business Combination"), the Company executed debt agreements in June 2018 to obtain a $900 million term loan, a $500 million revolving credit facility and $1.0 billion of senior unsecured notes. Upon completion of the offering of the senior unsecured notes in June 2018, the Company terminated an $850 million bridge loan commitment. This bridge loan commitment was provided by the underwriting bankers at the time of the Merger Agreement executed in November 2017. The bridge loan was never drawn upon.</w:t>
      </w:r>
    </w:p>
    <w:p>
      <w:pPr>
        <w:spacing w:after="0" w:line="8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117"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On June 13, 2018, the Company entered into a credit agreement (“Credit Agreement”) with certain lenders and Goldman Sachs Bank USA, as the general administrative agent and the term facility agent, and Bank of America, N.A., as the revolving facility agent. The Credit Agreement provides for borrowings of: (i) up to $500.0 million in the form of a revolving line of credit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is intended for general corporate purposes of the Company and its subsidiaries, which may include, among other things, the financing of acquisitions, the refinancing of other indebtedness and the payment of transaction expenses related to the foregoing. As of August 4, 2018, the Revolving Credit Facility has not been drawn upon. Following is further detail of the terms of the various debt agreements.</w:t>
      </w:r>
    </w:p>
    <w:p>
      <w:pPr>
        <w:spacing w:after="0" w:line="71" w:lineRule="exact"/>
        <w:rPr>
          <w:sz w:val="20"/>
          <w:szCs w:val="20"/>
          <w:color w:val="auto"/>
        </w:rPr>
      </w:pPr>
    </w:p>
    <w:p>
      <w:pPr>
        <w:ind w:right="60" w:firstLine="405"/>
        <w:spacing w:after="0" w:line="272" w:lineRule="auto"/>
        <w:rPr>
          <w:sz w:val="20"/>
          <w:szCs w:val="20"/>
          <w:color w:val="auto"/>
        </w:rPr>
      </w:pPr>
      <w:r>
        <w:rPr>
          <w:rFonts w:ascii="Arial" w:cs="Arial" w:eastAsia="Arial" w:hAnsi="Arial"/>
          <w:sz w:val="17"/>
          <w:szCs w:val="17"/>
          <w:color w:val="auto"/>
        </w:rPr>
        <w:t>The Term Loan has a three year term which matures on June 13, 2021 and has a stated floating interest rate which equates to reserve-adjusted LIBOR + 137.5 bps as of August 4, 2018. The effective interest rate for the Term Loan was 3.912% as of August 4, 2018. As of August 4, 2018, the entire principal balance of $900.0 million Term Loan was outstanding. The Term Loan does not require any scheduled principal payments prior to final maturity. The Revolving Credit Facility has a five year term and has a stated floating interest rate which equates to reserve-adjusted LIBOR + 150.0 bps. As of August 4, 2018, the full amount of the Revolving Credit Facility of $500 million was undrawn and will be available for draw down through June 13, 2023. An unused commitment fee is payable quarterly based on unused balances at a rate that is based on the ratings of the Company's senior unsecured long-term indebtedness. This rate was initially 0.175% per year.</w:t>
      </w:r>
    </w:p>
    <w:p>
      <w:pPr>
        <w:spacing w:after="0" w:line="70"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not to exceed 3 to 1 as of the end of any fiscal quarter. As of August 4, 2018, the Company was in compliance with all of its debt covenants.</w:t>
      </w:r>
    </w:p>
    <w:p>
      <w:pPr>
        <w:spacing w:after="0" w:line="8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117" w:lineRule="exact"/>
        <w:rPr>
          <w:sz w:val="20"/>
          <w:szCs w:val="20"/>
          <w:color w:val="auto"/>
        </w:rPr>
      </w:pPr>
    </w:p>
    <w:p>
      <w:pPr>
        <w:jc w:val="both"/>
        <w:ind w:right="220" w:firstLine="405"/>
        <w:spacing w:after="0" w:line="264" w:lineRule="auto"/>
        <w:rPr>
          <w:sz w:val="20"/>
          <w:szCs w:val="20"/>
          <w:color w:val="auto"/>
        </w:rPr>
      </w:pPr>
      <w:r>
        <w:rPr>
          <w:rFonts w:ascii="Arial" w:cs="Arial" w:eastAsia="Arial" w:hAnsi="Arial"/>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2023 Notes mature on June 22, 2023 and the 2028 Notes mature on June 22, 2028. The stated and effective interest rates for the 2023 Notes are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4.200% and 4.423%, respectively. The stated and effective interest rates for the 2028 Notes are 4.875% and 5.012%, respectively. The Company may redeem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Senior Notes, in whole or in part, at any time prior to their maturity at the redemption prices set forth in Senior Notes. In addition, upon the occurrence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change of control repurchase event (which involves the occurrence of both a change of control and a ratings event involving the Senior Notes being rated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below investment grade), the Company will be required to make an offer to repurchase the Senior Notes at a price equal to 101% of the principal amount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notes, plus accrued and unpaid interest to, but excluding, the repurchase date. The indenture governing the Senior Notes also contains certain limited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covenants restricting the Company’s ability to incur certain liens, enter into certain sale and leaseback transactions and merge or consolidate with any other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entity or convey, transfer or lease all or substantially all of the Company’s properties or assets to another person, which, in each case, are subject to certain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qualifications and exceptions.</w:t>
      </w:r>
    </w:p>
    <w:p>
      <w:pPr>
        <w:spacing w:after="0" w:line="200" w:lineRule="exact"/>
        <w:rPr>
          <w:sz w:val="20"/>
          <w:szCs w:val="20"/>
          <w:color w:val="auto"/>
        </w:rPr>
      </w:pP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130" w:right="259" w:bottom="1440" w:gutter="0" w:footer="0" w:header="0"/>
        </w:sectPr>
      </w:pPr>
    </w:p>
    <w:bookmarkStart w:id="14" w:name="page15"/>
    <w:bookmarkEnd w:id="1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33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following table summarizes the Company's outstanding debt at August 4, 2018 (in thousands):</w:t>
      </w:r>
    </w:p>
    <w:p>
      <w:pPr>
        <w:spacing w:after="0" w:line="230"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tcBorders>
              <w:bottom w:val="single" w:sz="8" w:color="CCEEFF"/>
            </w:tcBorders>
          </w:tcPr>
          <w:p>
            <w:pPr>
              <w:spacing w:after="0"/>
              <w:rPr>
                <w:sz w:val="16"/>
                <w:szCs w:val="16"/>
                <w:color w:val="auto"/>
              </w:rPr>
            </w:pPr>
          </w:p>
        </w:tc>
        <w:tc>
          <w:tcPr>
            <w:tcW w:w="760" w:type="dxa"/>
            <w:vAlign w:val="bottom"/>
            <w:tcBorders>
              <w:bottom w:val="single" w:sz="8" w:color="auto"/>
            </w:tcBorders>
          </w:tcPr>
          <w:p>
            <w:pPr>
              <w:spacing w:after="0"/>
              <w:rPr>
                <w:sz w:val="16"/>
                <w:szCs w:val="16"/>
                <w:color w:val="auto"/>
              </w:rPr>
            </w:pPr>
          </w:p>
        </w:tc>
        <w:tc>
          <w:tcPr>
            <w:tcW w:w="2980" w:type="dxa"/>
            <w:vAlign w:val="bottom"/>
            <w:tcBorders>
              <w:bottom w:val="single" w:sz="8" w:color="auto"/>
            </w:tcBorders>
          </w:tcPr>
          <w:p>
            <w:pPr>
              <w:jc w:val="right"/>
              <w:ind w:right="1332"/>
              <w:spacing w:after="0"/>
              <w:rPr>
                <w:sz w:val="20"/>
                <w:szCs w:val="20"/>
                <w:color w:val="auto"/>
              </w:rPr>
            </w:pPr>
            <w:r>
              <w:rPr>
                <w:rFonts w:ascii="Arial" w:cs="Arial" w:eastAsia="Arial" w:hAnsi="Arial"/>
                <w:sz w:val="14"/>
                <w:szCs w:val="14"/>
                <w:b w:val="1"/>
                <w:bCs w:val="1"/>
                <w:color w:val="auto"/>
              </w:rPr>
              <w:t>August 4, 2018</w:t>
            </w: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760" w:type="dxa"/>
            <w:vAlign w:val="bottom"/>
            <w:tcBorders>
              <w:bottom w:val="single" w:sz="8" w:color="CCEEFF"/>
            </w:tcBorders>
            <w:shd w:val="clear" w:color="auto" w:fill="CCEEFF"/>
          </w:tcPr>
          <w:p>
            <w:pPr>
              <w:spacing w:after="0"/>
              <w:rPr>
                <w:sz w:val="21"/>
                <w:szCs w:val="21"/>
                <w:color w:val="auto"/>
              </w:rPr>
            </w:pPr>
          </w:p>
        </w:tc>
        <w:tc>
          <w:tcPr>
            <w:tcW w:w="2980" w:type="dxa"/>
            <w:vAlign w:val="bottom"/>
            <w:tcBorders>
              <w:bottom w:val="single" w:sz="8" w:color="CCEEFF"/>
            </w:tcBorders>
            <w:shd w:val="clear" w:color="auto" w:fill="CCEEFF"/>
          </w:tcPr>
          <w:p>
            <w:pPr>
              <w:spacing w:after="0"/>
              <w:rPr>
                <w:sz w:val="21"/>
                <w:szCs w:val="21"/>
                <w:color w:val="auto"/>
              </w:rPr>
            </w:pP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Term Loan</w:t>
            </w:r>
          </w:p>
        </w:tc>
        <w:tc>
          <w:tcPr>
            <w:tcW w:w="760" w:type="dxa"/>
            <w:vAlign w:val="bottom"/>
          </w:tcPr>
          <w:p>
            <w:pPr>
              <w:jc w:val="right"/>
              <w:ind w:right="570"/>
              <w:spacing w:after="0"/>
              <w:rPr>
                <w:sz w:val="20"/>
                <w:szCs w:val="20"/>
                <w:color w:val="auto"/>
              </w:rPr>
            </w:pPr>
            <w:r>
              <w:rPr>
                <w:rFonts w:ascii="Arial" w:cs="Arial" w:eastAsia="Arial" w:hAnsi="Arial"/>
                <w:sz w:val="18"/>
                <w:szCs w:val="18"/>
                <w:color w:val="auto"/>
                <w:w w:val="79"/>
              </w:rPr>
              <w:t>$</w:t>
            </w:r>
          </w:p>
        </w:tc>
        <w:tc>
          <w:tcPr>
            <w:tcW w:w="2980" w:type="dxa"/>
            <w:vAlign w:val="bottom"/>
          </w:tcPr>
          <w:p>
            <w:pPr>
              <w:jc w:val="right"/>
              <w:ind w:right="12"/>
              <w:spacing w:after="0"/>
              <w:rPr>
                <w:sz w:val="20"/>
                <w:szCs w:val="20"/>
                <w:color w:val="auto"/>
              </w:rPr>
            </w:pPr>
            <w:r>
              <w:rPr>
                <w:rFonts w:ascii="Arial" w:cs="Arial" w:eastAsia="Arial" w:hAnsi="Arial"/>
                <w:sz w:val="18"/>
                <w:szCs w:val="18"/>
                <w:color w:val="auto"/>
              </w:rPr>
              <w:t>900,000</w:t>
            </w:r>
          </w:p>
        </w:tc>
      </w:tr>
      <w:tr>
        <w:trPr>
          <w:trHeight w:val="27"/>
        </w:trPr>
        <w:tc>
          <w:tcPr>
            <w:tcW w:w="7640" w:type="dxa"/>
            <w:vAlign w:val="bottom"/>
          </w:tcPr>
          <w:p>
            <w:pPr>
              <w:spacing w:after="0"/>
              <w:rPr>
                <w:sz w:val="2"/>
                <w:szCs w:val="2"/>
                <w:color w:val="auto"/>
              </w:rPr>
            </w:pPr>
          </w:p>
        </w:tc>
        <w:tc>
          <w:tcPr>
            <w:tcW w:w="760" w:type="dxa"/>
            <w:vAlign w:val="bottom"/>
          </w:tcPr>
          <w:p>
            <w:pPr>
              <w:spacing w:after="0"/>
              <w:rPr>
                <w:sz w:val="2"/>
                <w:szCs w:val="2"/>
                <w:color w:val="auto"/>
              </w:rPr>
            </w:pPr>
          </w:p>
        </w:tc>
        <w:tc>
          <w:tcPr>
            <w:tcW w:w="298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 Notes</w:t>
            </w:r>
          </w:p>
        </w:tc>
        <w:tc>
          <w:tcPr>
            <w:tcW w:w="760" w:type="dxa"/>
            <w:vAlign w:val="bottom"/>
            <w:tcBorders>
              <w:bottom w:val="single" w:sz="8" w:color="CCEEFF"/>
            </w:tcBorders>
            <w:shd w:val="clear" w:color="auto" w:fill="CCEEFF"/>
          </w:tcPr>
          <w:p>
            <w:pPr>
              <w:spacing w:after="0"/>
              <w:rPr>
                <w:sz w:val="21"/>
                <w:szCs w:val="21"/>
                <w:color w:val="auto"/>
              </w:rPr>
            </w:pPr>
          </w:p>
        </w:tc>
        <w:tc>
          <w:tcPr>
            <w:tcW w:w="2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2028 Notes</w:t>
            </w:r>
          </w:p>
        </w:tc>
        <w:tc>
          <w:tcPr>
            <w:tcW w:w="760" w:type="dxa"/>
            <w:vAlign w:val="bottom"/>
          </w:tcPr>
          <w:p>
            <w:pPr>
              <w:spacing w:after="0"/>
              <w:rPr>
                <w:sz w:val="21"/>
                <w:szCs w:val="21"/>
                <w:color w:val="auto"/>
              </w:rPr>
            </w:pPr>
          </w:p>
        </w:tc>
        <w:tc>
          <w:tcPr>
            <w:tcW w:w="298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7640" w:type="dxa"/>
            <w:vAlign w:val="bottom"/>
            <w:tcBorders>
              <w:bottom w:val="single" w:sz="8" w:color="CCEEFF"/>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98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760" w:type="dxa"/>
            <w:vAlign w:val="bottom"/>
            <w:tcBorders>
              <w:bottom w:val="single" w:sz="8" w:color="CCEEFF"/>
            </w:tcBorders>
            <w:shd w:val="clear" w:color="auto" w:fill="CCEEFF"/>
          </w:tcPr>
          <w:p>
            <w:pPr>
              <w:jc w:val="right"/>
              <w:ind w:right="570"/>
              <w:spacing w:after="0"/>
              <w:rPr>
                <w:sz w:val="20"/>
                <w:szCs w:val="20"/>
                <w:color w:val="auto"/>
              </w:rPr>
            </w:pPr>
            <w:r>
              <w:rPr>
                <w:rFonts w:ascii="Arial" w:cs="Arial" w:eastAsia="Arial" w:hAnsi="Arial"/>
                <w:sz w:val="18"/>
                <w:szCs w:val="18"/>
                <w:color w:val="auto"/>
                <w:w w:val="79"/>
              </w:rPr>
              <w:t>$</w:t>
            </w:r>
          </w:p>
        </w:tc>
        <w:tc>
          <w:tcPr>
            <w:tcW w:w="2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1,900,000</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760" w:type="dxa"/>
            <w:vAlign w:val="bottom"/>
          </w:tcPr>
          <w:p>
            <w:pPr>
              <w:spacing w:after="0"/>
              <w:rPr>
                <w:sz w:val="21"/>
                <w:szCs w:val="21"/>
                <w:color w:val="auto"/>
              </w:rPr>
            </w:pPr>
          </w:p>
        </w:tc>
        <w:tc>
          <w:tcPr>
            <w:tcW w:w="2980" w:type="dxa"/>
            <w:vAlign w:val="bottom"/>
          </w:tcPr>
          <w:p>
            <w:pPr>
              <w:jc w:val="right"/>
              <w:spacing w:after="0"/>
              <w:rPr>
                <w:sz w:val="20"/>
                <w:szCs w:val="20"/>
                <w:color w:val="auto"/>
              </w:rPr>
            </w:pPr>
            <w:r>
              <w:rPr>
                <w:rFonts w:ascii="Arial" w:cs="Arial" w:eastAsia="Arial" w:hAnsi="Arial"/>
                <w:sz w:val="18"/>
                <w:szCs w:val="18"/>
                <w:color w:val="auto"/>
              </w:rPr>
              <w:t>(21,383)</w:t>
            </w:r>
          </w:p>
        </w:tc>
      </w:tr>
      <w:tr>
        <w:trPr>
          <w:trHeight w:val="27"/>
        </w:trPr>
        <w:tc>
          <w:tcPr>
            <w:tcW w:w="7640" w:type="dxa"/>
            <w:vAlign w:val="bottom"/>
            <w:tcBorders>
              <w:bottom w:val="single" w:sz="8" w:color="CCEEFF"/>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98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760" w:type="dxa"/>
            <w:vAlign w:val="bottom"/>
            <w:tcBorders>
              <w:bottom w:val="single" w:sz="8" w:color="CCEEFF"/>
            </w:tcBorders>
            <w:shd w:val="clear" w:color="auto" w:fill="CCEEFF"/>
          </w:tcPr>
          <w:p>
            <w:pPr>
              <w:jc w:val="right"/>
              <w:ind w:right="570"/>
              <w:spacing w:after="0"/>
              <w:rPr>
                <w:sz w:val="20"/>
                <w:szCs w:val="20"/>
                <w:color w:val="auto"/>
              </w:rPr>
            </w:pPr>
            <w:r>
              <w:rPr>
                <w:rFonts w:ascii="Arial" w:cs="Arial" w:eastAsia="Arial" w:hAnsi="Arial"/>
                <w:sz w:val="18"/>
                <w:szCs w:val="18"/>
                <w:color w:val="auto"/>
                <w:w w:val="79"/>
              </w:rPr>
              <w:t>$</w:t>
            </w:r>
          </w:p>
        </w:tc>
        <w:tc>
          <w:tcPr>
            <w:tcW w:w="2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1,878,617</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Less: Current portion</w:t>
            </w:r>
          </w:p>
        </w:tc>
        <w:tc>
          <w:tcPr>
            <w:tcW w:w="760" w:type="dxa"/>
            <w:vAlign w:val="bottom"/>
          </w:tcPr>
          <w:p>
            <w:pPr>
              <w:jc w:val="right"/>
              <w:ind w:right="570"/>
              <w:spacing w:after="0"/>
              <w:rPr>
                <w:sz w:val="20"/>
                <w:szCs w:val="20"/>
                <w:color w:val="auto"/>
              </w:rPr>
            </w:pPr>
            <w:r>
              <w:rPr>
                <w:rFonts w:ascii="Arial" w:cs="Arial" w:eastAsia="Arial" w:hAnsi="Arial"/>
                <w:sz w:val="18"/>
                <w:szCs w:val="18"/>
                <w:color w:val="auto"/>
                <w:w w:val="79"/>
              </w:rPr>
              <w:t>$</w:t>
            </w:r>
          </w:p>
        </w:tc>
        <w:tc>
          <w:tcPr>
            <w:tcW w:w="29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640" w:type="dxa"/>
            <w:vAlign w:val="bottom"/>
            <w:tcBorders>
              <w:bottom w:val="single" w:sz="8" w:color="CCEEFF"/>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98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760" w:type="dxa"/>
            <w:vAlign w:val="bottom"/>
            <w:tcBorders>
              <w:bottom w:val="single" w:sz="8" w:color="auto"/>
            </w:tcBorders>
            <w:shd w:val="clear" w:color="auto" w:fill="CCEEFF"/>
          </w:tcPr>
          <w:p>
            <w:pPr>
              <w:jc w:val="right"/>
              <w:ind w:right="570"/>
              <w:spacing w:after="0"/>
              <w:rPr>
                <w:sz w:val="20"/>
                <w:szCs w:val="20"/>
                <w:color w:val="auto"/>
              </w:rPr>
            </w:pPr>
            <w:r>
              <w:rPr>
                <w:rFonts w:ascii="Arial" w:cs="Arial" w:eastAsia="Arial" w:hAnsi="Arial"/>
                <w:sz w:val="18"/>
                <w:szCs w:val="18"/>
                <w:color w:val="auto"/>
                <w:w w:val="79"/>
              </w:rPr>
              <w:t>$</w:t>
            </w:r>
          </w:p>
        </w:tc>
        <w:tc>
          <w:tcPr>
            <w:tcW w:w="29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1,878,617</w:t>
            </w:r>
          </w:p>
        </w:tc>
      </w:tr>
      <w:tr>
        <w:trPr>
          <w:trHeight w:val="20"/>
        </w:trPr>
        <w:tc>
          <w:tcPr>
            <w:tcW w:w="764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98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jc w:val="both"/>
        <w:ind w:right="420" w:firstLine="648"/>
        <w:spacing w:after="0" w:line="264" w:lineRule="auto"/>
        <w:rPr>
          <w:sz w:val="20"/>
          <w:szCs w:val="20"/>
          <w:color w:val="auto"/>
        </w:rPr>
      </w:pPr>
      <w:r>
        <w:rPr>
          <w:rFonts w:ascii="Arial" w:cs="Arial" w:eastAsia="Arial" w:hAnsi="Arial"/>
          <w:sz w:val="18"/>
          <w:szCs w:val="18"/>
          <w:color w:val="auto"/>
        </w:rPr>
        <w:t>During the three and six months ended August 4, 2018, the Company recognized $9.1 million interest expense in its consolidated statements of operations related to interest, amortization of debt issuance costs and accretion of discount associated with the outstanding Term Loan and Senior Notes, respectively.</w:t>
      </w:r>
    </w:p>
    <w:p>
      <w:pPr>
        <w:spacing w:after="0" w:line="73"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As of August 4, 2018, the aggregate future contractual maturities of the Company's outstanding debt, at face value, were as follows (in thousands):</w:t>
      </w:r>
    </w:p>
    <w:p>
      <w:pPr>
        <w:spacing w:after="0" w:line="361"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60" w:type="dxa"/>
            <w:vAlign w:val="bottom"/>
          </w:tcPr>
          <w:p>
            <w:pPr>
              <w:spacing w:after="0"/>
              <w:rPr>
                <w:sz w:val="16"/>
                <w:szCs w:val="16"/>
                <w:color w:val="auto"/>
              </w:rPr>
            </w:pPr>
          </w:p>
        </w:tc>
        <w:tc>
          <w:tcPr>
            <w:tcW w:w="2880" w:type="dxa"/>
            <w:vAlign w:val="bottom"/>
          </w:tcPr>
          <w:p>
            <w:pPr>
              <w:jc w:val="right"/>
              <w:ind w:right="1533"/>
              <w:spacing w:after="0"/>
              <w:rPr>
                <w:sz w:val="20"/>
                <w:szCs w:val="20"/>
                <w:color w:val="auto"/>
              </w:rPr>
            </w:pPr>
            <w:r>
              <w:rPr>
                <w:rFonts w:ascii="Arial" w:cs="Arial" w:eastAsia="Arial" w:hAnsi="Arial"/>
                <w:sz w:val="14"/>
                <w:szCs w:val="14"/>
                <w:b w:val="1"/>
                <w:bCs w:val="1"/>
                <w:color w:val="auto"/>
              </w:rPr>
              <w:t>Amount</w:t>
            </w:r>
          </w:p>
        </w:tc>
      </w:tr>
      <w:tr>
        <w:trPr>
          <w:trHeight w:val="250"/>
        </w:trPr>
        <w:tc>
          <w:tcPr>
            <w:tcW w:w="74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2019</w:t>
            </w:r>
          </w:p>
        </w:tc>
        <w:tc>
          <w:tcPr>
            <w:tcW w:w="240" w:type="dxa"/>
            <w:vAlign w:val="bottom"/>
            <w:tcBorders>
              <w:top w:val="single" w:sz="8" w:color="CCEEFF"/>
              <w:bottom w:val="single" w:sz="8" w:color="CCEEFF"/>
            </w:tcBorders>
            <w:shd w:val="clear" w:color="auto" w:fill="CCEEFF"/>
          </w:tcPr>
          <w:p>
            <w:pPr>
              <w:spacing w:after="0"/>
              <w:rPr>
                <w:sz w:val="21"/>
                <w:szCs w:val="21"/>
                <w:color w:val="auto"/>
              </w:rPr>
            </w:pPr>
          </w:p>
        </w:tc>
        <w:tc>
          <w:tcPr>
            <w:tcW w:w="860" w:type="dxa"/>
            <w:vAlign w:val="bottom"/>
            <w:tcBorders>
              <w:top w:val="single" w:sz="8" w:color="auto"/>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2020</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3"/>
              <w:spacing w:after="0"/>
              <w:rPr>
                <w:sz w:val="20"/>
                <w:szCs w:val="20"/>
                <w:color w:val="auto"/>
              </w:rPr>
            </w:pPr>
            <w:r>
              <w:rPr>
                <w:rFonts w:ascii="Arial" w:cs="Arial" w:eastAsia="Arial" w:hAnsi="Arial"/>
                <w:sz w:val="18"/>
                <w:szCs w:val="18"/>
                <w:color w:val="auto"/>
              </w:rPr>
              <w:t>900,000</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Pr>
          <w:p>
            <w:pPr>
              <w:jc w:val="right"/>
              <w:ind w:right="13"/>
              <w:spacing w:after="0"/>
              <w:rPr>
                <w:sz w:val="20"/>
                <w:szCs w:val="20"/>
                <w:color w:val="auto"/>
              </w:rPr>
            </w:pPr>
            <w:r>
              <w:rPr>
                <w:rFonts w:ascii="Arial" w:cs="Arial" w:eastAsia="Arial" w:hAnsi="Arial"/>
                <w:sz w:val="18"/>
                <w:szCs w:val="18"/>
                <w:color w:val="auto"/>
              </w:rPr>
              <w:t>1,000,000</w:t>
            </w:r>
          </w:p>
        </w:tc>
      </w:tr>
    </w:tbl>
    <w:p>
      <w:pPr>
        <w:spacing w:after="0" w:line="337"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Repayment of Debt and Termination of Credit Facility of Cavium</w:t>
      </w:r>
    </w:p>
    <w:p>
      <w:pPr>
        <w:spacing w:after="0" w:line="117" w:lineRule="exact"/>
        <w:rPr>
          <w:sz w:val="20"/>
          <w:szCs w:val="20"/>
          <w:color w:val="auto"/>
        </w:rPr>
      </w:pPr>
    </w:p>
    <w:p>
      <w:pPr>
        <w:ind w:right="440" w:firstLine="648"/>
        <w:spacing w:after="0" w:line="264" w:lineRule="auto"/>
        <w:rPr>
          <w:sz w:val="20"/>
          <w:szCs w:val="20"/>
          <w:color w:val="auto"/>
        </w:rPr>
      </w:pPr>
      <w:r>
        <w:rPr>
          <w:rFonts w:ascii="Arial" w:cs="Arial" w:eastAsia="Arial" w:hAnsi="Arial"/>
          <w:sz w:val="18"/>
          <w:szCs w:val="18"/>
          <w:color w:val="auto"/>
        </w:rPr>
        <w:t>On July 6, 2018, concurrent with completing the acquisition of Cavium as further described in “Note 3 - Business Combination,” the Company assumed and paid all of Cavium's outstanding debt and accrued interest of $606.6 million. Cavium's debt was governed under a credit agreement dated August 16, 2016, which was terminated following the repayment.</w:t>
      </w: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130" w:right="259" w:bottom="1440" w:gutter="0" w:footer="0" w:header="0"/>
        </w:sectPr>
      </w:pPr>
    </w:p>
    <w:bookmarkStart w:id="15" w:name="page16"/>
    <w:bookmarkEnd w:id="1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Revenue</w:t>
      </w:r>
    </w:p>
    <w:p>
      <w:pPr>
        <w:spacing w:after="0" w:line="175"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Effect of the Adoption of the New Revenue Standard</w:t>
      </w:r>
    </w:p>
    <w:p>
      <w:pPr>
        <w:spacing w:after="0" w:line="185" w:lineRule="exact"/>
        <w:rPr>
          <w:sz w:val="20"/>
          <w:szCs w:val="20"/>
          <w:color w:val="auto"/>
        </w:rPr>
      </w:pPr>
    </w:p>
    <w:p>
      <w:pPr>
        <w:ind w:right="40" w:firstLine="378"/>
        <w:spacing w:after="0" w:line="289" w:lineRule="auto"/>
        <w:rPr>
          <w:sz w:val="20"/>
          <w:szCs w:val="20"/>
          <w:color w:val="auto"/>
        </w:rPr>
      </w:pPr>
      <w:r>
        <w:rPr>
          <w:rFonts w:ascii="Arial" w:cs="Arial" w:eastAsia="Arial" w:hAnsi="Arial"/>
          <w:sz w:val="16"/>
          <w:szCs w:val="16"/>
          <w:color w:val="auto"/>
        </w:rPr>
        <w:t>At the beginning of fiscal year 2019, the Company adopted the new revenue recognition standard on a modified retrospective basis, with the cumulative effect recognized in retained earnings at the date of adoption. The Company elected to apply the new revenue standard retrospectively to all contracts that are not completed contracts at the date of the initial adoption. Based on the Company’s assessment of this new accounting standard, a change in revenue recognition timing on its component sales made to distributors was made in the first quarter of fiscal year 2019 and the Company started to recognize revenue when the Company transfers control to the distributor rather than deferring recognition until the distributor sells the components. In addition, the Company established accruals for the variable consideration aspect of sales, estimated based on historical experience, which include estimates for price discounts, price protection, rebates, returns and stock rotation programs. On the date of initial adoption, the Company removed the deferred income on component sales made to distributors and recorded estimates of the accruals for variable consideration through a cumulative adjustment to retained earnings. The net impact to the opening balance of retained earnings related to the adoption of the new standard was an increase of $34.2 million.</w:t>
      </w:r>
    </w:p>
    <w:p>
      <w:pPr>
        <w:spacing w:after="0" w:line="167" w:lineRule="exact"/>
        <w:rPr>
          <w:sz w:val="20"/>
          <w:szCs w:val="20"/>
          <w:color w:val="auto"/>
        </w:rPr>
      </w:pPr>
    </w:p>
    <w:p>
      <w:pPr>
        <w:ind w:right="280" w:firstLine="378"/>
        <w:spacing w:after="0" w:line="277" w:lineRule="auto"/>
        <w:rPr>
          <w:sz w:val="20"/>
          <w:szCs w:val="20"/>
          <w:color w:val="auto"/>
        </w:rPr>
      </w:pPr>
      <w:r>
        <w:rPr>
          <w:rFonts w:ascii="Arial" w:cs="Arial" w:eastAsia="Arial" w:hAnsi="Arial"/>
          <w:sz w:val="18"/>
          <w:szCs w:val="18"/>
          <w:color w:val="auto"/>
        </w:rPr>
        <w:t>The following table summarizes the effects of adopting the new revenue standard on the Company's financial statements for the fiscal year beginning February 4, 2018 as an adjustment to the opening balance. Such adjustments were of a non-cash 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66040</wp:posOffset>
            </wp:positionV>
            <wp:extent cx="33274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8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300" w:type="dxa"/>
            <w:vAlign w:val="bottom"/>
            <w:gridSpan w:val="2"/>
          </w:tcPr>
          <w:p>
            <w:pPr>
              <w:jc w:val="right"/>
              <w:ind w:right="93"/>
              <w:spacing w:after="0"/>
              <w:rPr>
                <w:sz w:val="20"/>
                <w:szCs w:val="20"/>
                <w:color w:val="auto"/>
              </w:rPr>
            </w:pPr>
            <w:r>
              <w:rPr>
                <w:rFonts w:ascii="Arial" w:cs="Arial" w:eastAsia="Arial" w:hAnsi="Arial"/>
                <w:sz w:val="14"/>
                <w:szCs w:val="14"/>
                <w:b w:val="1"/>
                <w:bCs w:val="1"/>
                <w:color w:val="auto"/>
              </w:rPr>
              <w:t>Balance as of February</w:t>
            </w:r>
          </w:p>
        </w:tc>
        <w:tc>
          <w:tcPr>
            <w:tcW w:w="400" w:type="dxa"/>
            <w:vAlign w:val="bottom"/>
          </w:tcPr>
          <w:p>
            <w:pPr>
              <w:spacing w:after="0"/>
              <w:rPr>
                <w:sz w:val="14"/>
                <w:szCs w:val="14"/>
                <w:color w:val="auto"/>
              </w:rPr>
            </w:pPr>
          </w:p>
        </w:tc>
        <w:tc>
          <w:tcPr>
            <w:tcW w:w="1420" w:type="dxa"/>
            <w:vAlign w:val="bottom"/>
            <w:vMerge w:val="restart"/>
          </w:tcPr>
          <w:p>
            <w:pPr>
              <w:jc w:val="right"/>
              <w:ind w:right="413"/>
              <w:spacing w:after="0"/>
              <w:rPr>
                <w:sz w:val="20"/>
                <w:szCs w:val="20"/>
                <w:color w:val="auto"/>
              </w:rPr>
            </w:pPr>
            <w:r>
              <w:rPr>
                <w:rFonts w:ascii="Arial" w:cs="Arial" w:eastAsia="Arial" w:hAnsi="Arial"/>
                <w:sz w:val="14"/>
                <w:szCs w:val="14"/>
                <w:b w:val="1"/>
                <w:bCs w:val="1"/>
                <w:color w:val="auto"/>
              </w:rPr>
              <w:t>Adjustments</w:t>
            </w:r>
          </w:p>
        </w:tc>
        <w:tc>
          <w:tcPr>
            <w:tcW w:w="1720" w:type="dxa"/>
            <w:vAlign w:val="bottom"/>
            <w:gridSpan w:val="2"/>
          </w:tcPr>
          <w:p>
            <w:pPr>
              <w:jc w:val="right"/>
              <w:ind w:right="33"/>
              <w:spacing w:after="0"/>
              <w:rPr>
                <w:sz w:val="20"/>
                <w:szCs w:val="20"/>
                <w:color w:val="auto"/>
              </w:rPr>
            </w:pPr>
            <w:r>
              <w:rPr>
                <w:rFonts w:ascii="Arial" w:cs="Arial" w:eastAsia="Arial" w:hAnsi="Arial"/>
                <w:sz w:val="14"/>
                <w:szCs w:val="14"/>
                <w:b w:val="1"/>
                <w:bCs w:val="1"/>
                <w:color w:val="auto"/>
              </w:rPr>
              <w:t>Opening Balance as of</w:t>
            </w:r>
          </w:p>
        </w:tc>
        <w:tc>
          <w:tcPr>
            <w:tcW w:w="0" w:type="dxa"/>
            <w:vAlign w:val="bottom"/>
          </w:tcPr>
          <w:p>
            <w:pPr>
              <w:spacing w:after="0"/>
              <w:rPr>
                <w:sz w:val="1"/>
                <w:szCs w:val="1"/>
                <w:color w:val="auto"/>
              </w:rPr>
            </w:pPr>
          </w:p>
        </w:tc>
      </w:tr>
      <w:tr>
        <w:trPr>
          <w:trHeight w:val="105"/>
        </w:trPr>
        <w:tc>
          <w:tcPr>
            <w:tcW w:w="4580" w:type="dxa"/>
            <w:vAlign w:val="bottom"/>
            <w:vMerge w:val="restart"/>
          </w:tcPr>
          <w:p>
            <w:pPr>
              <w:ind w:left="40"/>
              <w:spacing w:after="0"/>
              <w:rPr>
                <w:sz w:val="20"/>
                <w:szCs w:val="20"/>
                <w:color w:val="auto"/>
              </w:rPr>
            </w:pPr>
            <w:r>
              <w:rPr>
                <w:rFonts w:ascii="Arial" w:cs="Arial" w:eastAsia="Arial" w:hAnsi="Arial"/>
                <w:sz w:val="14"/>
                <w:szCs w:val="14"/>
                <w:color w:val="auto"/>
              </w:rPr>
              <w:t>(In thousands)</w:t>
            </w:r>
          </w:p>
        </w:tc>
        <w:tc>
          <w:tcPr>
            <w:tcW w:w="1960" w:type="dxa"/>
            <w:vAlign w:val="bottom"/>
          </w:tcPr>
          <w:p>
            <w:pPr>
              <w:spacing w:after="0"/>
              <w:rPr>
                <w:sz w:val="9"/>
                <w:szCs w:val="9"/>
                <w:color w:val="auto"/>
              </w:rPr>
            </w:pPr>
          </w:p>
        </w:tc>
        <w:tc>
          <w:tcPr>
            <w:tcW w:w="1340" w:type="dxa"/>
            <w:vAlign w:val="bottom"/>
            <w:vMerge w:val="restart"/>
          </w:tcPr>
          <w:p>
            <w:pPr>
              <w:jc w:val="right"/>
              <w:ind w:right="593"/>
              <w:spacing w:after="0"/>
              <w:rPr>
                <w:sz w:val="20"/>
                <w:szCs w:val="20"/>
                <w:color w:val="auto"/>
              </w:rPr>
            </w:pPr>
            <w:r>
              <w:rPr>
                <w:rFonts w:ascii="Arial" w:cs="Arial" w:eastAsia="Arial" w:hAnsi="Arial"/>
                <w:sz w:val="14"/>
                <w:szCs w:val="14"/>
                <w:b w:val="1"/>
                <w:bCs w:val="1"/>
                <w:color w:val="auto"/>
              </w:rPr>
              <w:t>3, 2018</w:t>
            </w:r>
          </w:p>
        </w:tc>
        <w:tc>
          <w:tcPr>
            <w:tcW w:w="400" w:type="dxa"/>
            <w:vAlign w:val="bottom"/>
          </w:tcPr>
          <w:p>
            <w:pPr>
              <w:spacing w:after="0"/>
              <w:rPr>
                <w:sz w:val="9"/>
                <w:szCs w:val="9"/>
                <w:color w:val="auto"/>
              </w:rPr>
            </w:pPr>
          </w:p>
        </w:tc>
        <w:tc>
          <w:tcPr>
            <w:tcW w:w="142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vMerge w:val="restart"/>
          </w:tcPr>
          <w:p>
            <w:pPr>
              <w:jc w:val="right"/>
              <w:ind w:right="193"/>
              <w:spacing w:after="0"/>
              <w:rPr>
                <w:sz w:val="20"/>
                <w:szCs w:val="20"/>
                <w:color w:val="auto"/>
              </w:rPr>
            </w:pPr>
            <w:r>
              <w:rPr>
                <w:rFonts w:ascii="Arial" w:cs="Arial" w:eastAsia="Arial" w:hAnsi="Arial"/>
                <w:sz w:val="14"/>
                <w:szCs w:val="14"/>
                <w:b w:val="1"/>
                <w:bCs w:val="1"/>
                <w:color w:val="auto"/>
                <w:w w:val="99"/>
              </w:rPr>
              <w:t>February 4, 2018</w:t>
            </w:r>
          </w:p>
        </w:tc>
        <w:tc>
          <w:tcPr>
            <w:tcW w:w="0" w:type="dxa"/>
            <w:vAlign w:val="bottom"/>
          </w:tcPr>
          <w:p>
            <w:pPr>
              <w:spacing w:after="0"/>
              <w:rPr>
                <w:sz w:val="1"/>
                <w:szCs w:val="1"/>
                <w:color w:val="auto"/>
              </w:rPr>
            </w:pPr>
          </w:p>
        </w:tc>
      </w:tr>
      <w:tr>
        <w:trPr>
          <w:trHeight w:val="87"/>
        </w:trPr>
        <w:tc>
          <w:tcPr>
            <w:tcW w:w="4580" w:type="dxa"/>
            <w:vAlign w:val="bottom"/>
            <w:tcBorders>
              <w:bottom w:val="single" w:sz="8" w:color="auto"/>
            </w:tcBorders>
            <w:vMerge w:val="continue"/>
          </w:tcPr>
          <w:p>
            <w:pPr>
              <w:spacing w:after="0"/>
              <w:rPr>
                <w:sz w:val="7"/>
                <w:szCs w:val="7"/>
                <w:color w:val="auto"/>
              </w:rPr>
            </w:pPr>
          </w:p>
        </w:tc>
        <w:tc>
          <w:tcPr>
            <w:tcW w:w="1960" w:type="dxa"/>
            <w:vAlign w:val="bottom"/>
            <w:tcBorders>
              <w:bottom w:val="single" w:sz="8" w:color="auto"/>
            </w:tcBorders>
          </w:tcPr>
          <w:p>
            <w:pPr>
              <w:spacing w:after="0"/>
              <w:rPr>
                <w:sz w:val="7"/>
                <w:szCs w:val="7"/>
                <w:color w:val="auto"/>
              </w:rPr>
            </w:pPr>
          </w:p>
        </w:tc>
        <w:tc>
          <w:tcPr>
            <w:tcW w:w="1340" w:type="dxa"/>
            <w:vAlign w:val="bottom"/>
            <w:tcBorders>
              <w:bottom w:val="single" w:sz="8" w:color="auto"/>
            </w:tcBorders>
            <w:vMerge w:val="continue"/>
          </w:tcPr>
          <w:p>
            <w:pPr>
              <w:spacing w:after="0"/>
              <w:rPr>
                <w:sz w:val="7"/>
                <w:szCs w:val="7"/>
                <w:color w:val="auto"/>
              </w:rPr>
            </w:pPr>
          </w:p>
        </w:tc>
        <w:tc>
          <w:tcPr>
            <w:tcW w:w="400" w:type="dxa"/>
            <w:vAlign w:val="bottom"/>
            <w:tcBorders>
              <w:bottom w:val="single" w:sz="8" w:color="auto"/>
            </w:tcBorders>
          </w:tcPr>
          <w:p>
            <w:pPr>
              <w:spacing w:after="0"/>
              <w:rPr>
                <w:sz w:val="7"/>
                <w:szCs w:val="7"/>
                <w:color w:val="auto"/>
              </w:rPr>
            </w:pPr>
          </w:p>
        </w:tc>
        <w:tc>
          <w:tcPr>
            <w:tcW w:w="142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40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Consolidated balance sheet:</w:t>
            </w:r>
          </w:p>
        </w:tc>
        <w:tc>
          <w:tcPr>
            <w:tcW w:w="19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80" w:type="dxa"/>
            <w:vAlign w:val="bottom"/>
          </w:tcPr>
          <w:p>
            <w:pPr>
              <w:ind w:left="180"/>
              <w:spacing w:after="0"/>
              <w:rPr>
                <w:sz w:val="20"/>
                <w:szCs w:val="20"/>
                <w:color w:val="auto"/>
              </w:rPr>
            </w:pPr>
            <w:r>
              <w:rPr>
                <w:rFonts w:ascii="Arial" w:cs="Arial" w:eastAsia="Arial" w:hAnsi="Arial"/>
                <w:sz w:val="18"/>
                <w:szCs w:val="18"/>
                <w:b w:val="1"/>
                <w:bCs w:val="1"/>
                <w:color w:val="auto"/>
              </w:rPr>
              <w:t>Assets</w:t>
            </w:r>
          </w:p>
        </w:tc>
        <w:tc>
          <w:tcPr>
            <w:tcW w:w="196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Accounts receivable, net</w:t>
            </w:r>
          </w:p>
        </w:tc>
        <w:tc>
          <w:tcPr>
            <w:tcW w:w="196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w:t>
            </w:r>
          </w:p>
        </w:tc>
        <w:tc>
          <w:tcPr>
            <w:tcW w:w="134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280,395</w:t>
            </w:r>
          </w:p>
        </w:tc>
        <w:tc>
          <w:tcPr>
            <w:tcW w:w="40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42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1,862</w:t>
            </w:r>
          </w:p>
        </w:tc>
        <w:tc>
          <w:tcPr>
            <w:tcW w:w="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282,257</w:t>
            </w:r>
          </w:p>
        </w:tc>
        <w:tc>
          <w:tcPr>
            <w:tcW w:w="0" w:type="dxa"/>
            <w:vAlign w:val="bottom"/>
          </w:tcPr>
          <w:p>
            <w:pPr>
              <w:spacing w:after="0"/>
              <w:rPr>
                <w:sz w:val="1"/>
                <w:szCs w:val="1"/>
                <w:color w:val="auto"/>
              </w:rPr>
            </w:pPr>
          </w:p>
        </w:tc>
      </w:tr>
      <w:tr>
        <w:trPr>
          <w:trHeight w:val="243"/>
        </w:trPr>
        <w:tc>
          <w:tcPr>
            <w:tcW w:w="4580" w:type="dxa"/>
            <w:vAlign w:val="bottom"/>
          </w:tcPr>
          <w:p>
            <w:pPr>
              <w:ind w:left="500"/>
              <w:spacing w:after="0"/>
              <w:rPr>
                <w:sz w:val="20"/>
                <w:szCs w:val="20"/>
                <w:color w:val="auto"/>
              </w:rPr>
            </w:pPr>
            <w:r>
              <w:rPr>
                <w:rFonts w:ascii="Arial" w:cs="Arial" w:eastAsia="Arial" w:hAnsi="Arial"/>
                <w:sz w:val="18"/>
                <w:szCs w:val="18"/>
                <w:color w:val="auto"/>
              </w:rPr>
              <w:t>Inventory</w:t>
            </w:r>
          </w:p>
        </w:tc>
        <w:tc>
          <w:tcPr>
            <w:tcW w:w="1960" w:type="dxa"/>
            <w:vAlign w:val="bottom"/>
          </w:tcPr>
          <w:p>
            <w:pPr>
              <w:spacing w:after="0"/>
              <w:rPr>
                <w:sz w:val="21"/>
                <w:szCs w:val="21"/>
                <w:color w:val="auto"/>
              </w:rPr>
            </w:pPr>
          </w:p>
        </w:tc>
        <w:tc>
          <w:tcPr>
            <w:tcW w:w="1340" w:type="dxa"/>
            <w:vAlign w:val="bottom"/>
          </w:tcPr>
          <w:p>
            <w:pPr>
              <w:jc w:val="right"/>
              <w:ind w:right="93"/>
              <w:spacing w:after="0"/>
              <w:rPr>
                <w:sz w:val="20"/>
                <w:szCs w:val="20"/>
                <w:color w:val="auto"/>
              </w:rPr>
            </w:pPr>
            <w:r>
              <w:rPr>
                <w:rFonts w:ascii="Arial" w:cs="Arial" w:eastAsia="Arial" w:hAnsi="Arial"/>
                <w:sz w:val="18"/>
                <w:szCs w:val="18"/>
                <w:color w:val="auto"/>
              </w:rPr>
              <w:t>170,039</w:t>
            </w:r>
          </w:p>
        </w:tc>
        <w:tc>
          <w:tcPr>
            <w:tcW w:w="400" w:type="dxa"/>
            <w:vAlign w:val="bottom"/>
          </w:tcPr>
          <w:p>
            <w:pPr>
              <w:spacing w:after="0"/>
              <w:rPr>
                <w:sz w:val="21"/>
                <w:szCs w:val="21"/>
                <w:color w:val="auto"/>
              </w:rPr>
            </w:pPr>
          </w:p>
        </w:tc>
        <w:tc>
          <w:tcPr>
            <w:tcW w:w="1420" w:type="dxa"/>
            <w:vAlign w:val="bottom"/>
          </w:tcPr>
          <w:p>
            <w:pPr>
              <w:jc w:val="right"/>
              <w:ind w:right="113"/>
              <w:spacing w:after="0"/>
              <w:rPr>
                <w:sz w:val="20"/>
                <w:szCs w:val="20"/>
                <w:color w:val="auto"/>
              </w:rPr>
            </w:pPr>
            <w:r>
              <w:rPr>
                <w:rFonts w:ascii="Arial" w:cs="Arial" w:eastAsia="Arial" w:hAnsi="Arial"/>
                <w:sz w:val="18"/>
                <w:szCs w:val="18"/>
                <w:color w:val="auto"/>
              </w:rPr>
              <w:t>2,016</w:t>
            </w:r>
          </w:p>
        </w:tc>
        <w:tc>
          <w:tcPr>
            <w:tcW w:w="320" w:type="dxa"/>
            <w:vAlign w:val="bottom"/>
          </w:tcPr>
          <w:p>
            <w:pPr>
              <w:spacing w:after="0"/>
              <w:rPr>
                <w:sz w:val="21"/>
                <w:szCs w:val="21"/>
                <w:color w:val="auto"/>
              </w:rPr>
            </w:pPr>
          </w:p>
        </w:tc>
        <w:tc>
          <w:tcPr>
            <w:tcW w:w="1400" w:type="dxa"/>
            <w:vAlign w:val="bottom"/>
          </w:tcPr>
          <w:p>
            <w:pPr>
              <w:jc w:val="right"/>
              <w:ind w:right="13"/>
              <w:spacing w:after="0"/>
              <w:rPr>
                <w:sz w:val="20"/>
                <w:szCs w:val="20"/>
                <w:color w:val="auto"/>
              </w:rPr>
            </w:pPr>
            <w:r>
              <w:rPr>
                <w:rFonts w:ascii="Arial" w:cs="Arial" w:eastAsia="Arial" w:hAnsi="Arial"/>
                <w:sz w:val="18"/>
                <w:szCs w:val="18"/>
                <w:color w:val="auto"/>
              </w:rPr>
              <w:t>172,055</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Other non-current assets</w:t>
            </w:r>
          </w:p>
        </w:tc>
        <w:tc>
          <w:tcPr>
            <w:tcW w:w="19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148,800</w:t>
            </w:r>
          </w:p>
        </w:tc>
        <w:tc>
          <w:tcPr>
            <w:tcW w:w="4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42,116</w:t>
            </w: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190,916</w:t>
            </w:r>
          </w:p>
        </w:tc>
        <w:tc>
          <w:tcPr>
            <w:tcW w:w="0" w:type="dxa"/>
            <w:vAlign w:val="bottom"/>
          </w:tcPr>
          <w:p>
            <w:pPr>
              <w:spacing w:after="0"/>
              <w:rPr>
                <w:sz w:val="1"/>
                <w:szCs w:val="1"/>
                <w:color w:val="auto"/>
              </w:rPr>
            </w:pPr>
          </w:p>
        </w:tc>
      </w:tr>
      <w:tr>
        <w:trPr>
          <w:trHeight w:val="243"/>
        </w:trPr>
        <w:tc>
          <w:tcPr>
            <w:tcW w:w="4580" w:type="dxa"/>
            <w:vAlign w:val="bottom"/>
          </w:tcPr>
          <w:p>
            <w:pPr>
              <w:ind w:left="180"/>
              <w:spacing w:after="0"/>
              <w:rPr>
                <w:sz w:val="20"/>
                <w:szCs w:val="20"/>
                <w:color w:val="auto"/>
              </w:rPr>
            </w:pPr>
            <w:r>
              <w:rPr>
                <w:rFonts w:ascii="Arial" w:cs="Arial" w:eastAsia="Arial" w:hAnsi="Arial"/>
                <w:sz w:val="18"/>
                <w:szCs w:val="18"/>
                <w:b w:val="1"/>
                <w:bCs w:val="1"/>
                <w:color w:val="auto"/>
              </w:rPr>
              <w:t>Liabilities and shareholders' equity:</w:t>
            </w:r>
          </w:p>
        </w:tc>
        <w:tc>
          <w:tcPr>
            <w:tcW w:w="196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Accrued liabilities</w:t>
            </w:r>
          </w:p>
        </w:tc>
        <w:tc>
          <w:tcPr>
            <w:tcW w:w="19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86,958</w:t>
            </w:r>
          </w:p>
        </w:tc>
        <w:tc>
          <w:tcPr>
            <w:tcW w:w="4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70,336</w:t>
            </w: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157,294</w:t>
            </w:r>
          </w:p>
        </w:tc>
        <w:tc>
          <w:tcPr>
            <w:tcW w:w="0" w:type="dxa"/>
            <w:vAlign w:val="bottom"/>
          </w:tcPr>
          <w:p>
            <w:pPr>
              <w:spacing w:after="0"/>
              <w:rPr>
                <w:sz w:val="1"/>
                <w:szCs w:val="1"/>
                <w:color w:val="auto"/>
              </w:rPr>
            </w:pPr>
          </w:p>
        </w:tc>
      </w:tr>
      <w:tr>
        <w:trPr>
          <w:trHeight w:val="243"/>
        </w:trPr>
        <w:tc>
          <w:tcPr>
            <w:tcW w:w="4580" w:type="dxa"/>
            <w:vAlign w:val="bottom"/>
          </w:tcPr>
          <w:p>
            <w:pPr>
              <w:ind w:left="500"/>
              <w:spacing w:after="0"/>
              <w:rPr>
                <w:sz w:val="20"/>
                <w:szCs w:val="20"/>
                <w:color w:val="auto"/>
              </w:rPr>
            </w:pPr>
            <w:r>
              <w:rPr>
                <w:rFonts w:ascii="Arial" w:cs="Arial" w:eastAsia="Arial" w:hAnsi="Arial"/>
                <w:sz w:val="18"/>
                <w:szCs w:val="18"/>
                <w:color w:val="auto"/>
              </w:rPr>
              <w:t>Deferred income</w:t>
            </w:r>
          </w:p>
        </w:tc>
        <w:tc>
          <w:tcPr>
            <w:tcW w:w="1960" w:type="dxa"/>
            <w:vAlign w:val="bottom"/>
          </w:tcPr>
          <w:p>
            <w:pPr>
              <w:spacing w:after="0"/>
              <w:rPr>
                <w:sz w:val="21"/>
                <w:szCs w:val="21"/>
                <w:color w:val="auto"/>
              </w:rPr>
            </w:pPr>
          </w:p>
        </w:tc>
        <w:tc>
          <w:tcPr>
            <w:tcW w:w="1340" w:type="dxa"/>
            <w:vAlign w:val="bottom"/>
          </w:tcPr>
          <w:p>
            <w:pPr>
              <w:jc w:val="right"/>
              <w:ind w:right="93"/>
              <w:spacing w:after="0"/>
              <w:rPr>
                <w:sz w:val="20"/>
                <w:szCs w:val="20"/>
                <w:color w:val="auto"/>
              </w:rPr>
            </w:pPr>
            <w:r>
              <w:rPr>
                <w:rFonts w:ascii="Arial" w:cs="Arial" w:eastAsia="Arial" w:hAnsi="Arial"/>
                <w:sz w:val="18"/>
                <w:szCs w:val="18"/>
                <w:color w:val="auto"/>
              </w:rPr>
              <w:t>61,237</w:t>
            </w:r>
          </w:p>
        </w:tc>
        <w:tc>
          <w:tcPr>
            <w:tcW w:w="400" w:type="dxa"/>
            <w:vAlign w:val="bottom"/>
          </w:tcPr>
          <w:p>
            <w:pPr>
              <w:spacing w:after="0"/>
              <w:rPr>
                <w:sz w:val="21"/>
                <w:szCs w:val="21"/>
                <w:color w:val="auto"/>
              </w:rPr>
            </w:pPr>
          </w:p>
        </w:tc>
        <w:tc>
          <w:tcPr>
            <w:tcW w:w="1420" w:type="dxa"/>
            <w:vAlign w:val="bottom"/>
          </w:tcPr>
          <w:p>
            <w:pPr>
              <w:jc w:val="right"/>
              <w:ind w:right="53"/>
              <w:spacing w:after="0"/>
              <w:rPr>
                <w:sz w:val="20"/>
                <w:szCs w:val="20"/>
                <w:color w:val="auto"/>
              </w:rPr>
            </w:pPr>
            <w:r>
              <w:rPr>
                <w:rFonts w:ascii="Arial" w:cs="Arial" w:eastAsia="Arial" w:hAnsi="Arial"/>
                <w:sz w:val="18"/>
                <w:szCs w:val="18"/>
                <w:color w:val="auto"/>
              </w:rPr>
              <w:t>(58,560)</w:t>
            </w:r>
          </w:p>
        </w:tc>
        <w:tc>
          <w:tcPr>
            <w:tcW w:w="320" w:type="dxa"/>
            <w:vAlign w:val="bottom"/>
          </w:tcPr>
          <w:p>
            <w:pPr>
              <w:spacing w:after="0"/>
              <w:rPr>
                <w:sz w:val="21"/>
                <w:szCs w:val="21"/>
                <w:color w:val="auto"/>
              </w:rPr>
            </w:pPr>
          </w:p>
        </w:tc>
        <w:tc>
          <w:tcPr>
            <w:tcW w:w="1400" w:type="dxa"/>
            <w:vAlign w:val="bottom"/>
          </w:tcPr>
          <w:p>
            <w:pPr>
              <w:jc w:val="right"/>
              <w:ind w:right="13"/>
              <w:spacing w:after="0"/>
              <w:rPr>
                <w:sz w:val="20"/>
                <w:szCs w:val="20"/>
                <w:color w:val="auto"/>
              </w:rPr>
            </w:pPr>
            <w:r>
              <w:rPr>
                <w:rFonts w:ascii="Arial" w:cs="Arial" w:eastAsia="Arial" w:hAnsi="Arial"/>
                <w:sz w:val="18"/>
                <w:szCs w:val="18"/>
                <w:color w:val="auto"/>
              </w:rPr>
              <w:t>2,677</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4580" w:type="dxa"/>
            <w:vAlign w:val="bottom"/>
            <w:shd w:val="clear" w:color="auto" w:fill="CCEEFF"/>
          </w:tcPr>
          <w:p>
            <w:pPr>
              <w:ind w:left="500"/>
              <w:spacing w:after="0"/>
              <w:rPr>
                <w:sz w:val="20"/>
                <w:szCs w:val="20"/>
                <w:color w:val="auto"/>
              </w:rPr>
            </w:pPr>
            <w:r>
              <w:rPr>
                <w:rFonts w:ascii="Arial" w:cs="Arial" w:eastAsia="Arial" w:hAnsi="Arial"/>
                <w:sz w:val="18"/>
                <w:szCs w:val="18"/>
                <w:color w:val="auto"/>
              </w:rPr>
              <w:t>Retained earnings</w:t>
            </w:r>
          </w:p>
        </w:tc>
        <w:tc>
          <w:tcPr>
            <w:tcW w:w="1960" w:type="dxa"/>
            <w:vAlign w:val="bottom"/>
            <w:shd w:val="clear" w:color="auto" w:fill="CCEEFF"/>
          </w:tcPr>
          <w:p>
            <w:pPr>
              <w:jc w:val="right"/>
              <w:ind w:right="156"/>
              <w:spacing w:after="0"/>
              <w:rPr>
                <w:sz w:val="20"/>
                <w:szCs w:val="20"/>
                <w:color w:val="auto"/>
              </w:rPr>
            </w:pPr>
            <w:r>
              <w:rPr>
                <w:rFonts w:ascii="Arial" w:cs="Arial" w:eastAsia="Arial" w:hAnsi="Arial"/>
                <w:sz w:val="18"/>
                <w:szCs w:val="18"/>
                <w:color w:val="auto"/>
              </w:rPr>
              <w:t>$</w:t>
            </w:r>
          </w:p>
        </w:tc>
        <w:tc>
          <w:tcPr>
            <w:tcW w:w="134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1,409,452</w:t>
            </w:r>
          </w:p>
        </w:tc>
        <w:tc>
          <w:tcPr>
            <w:tcW w:w="40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420" w:type="dxa"/>
            <w:vAlign w:val="bottom"/>
            <w:shd w:val="clear" w:color="auto" w:fill="CCEEFF"/>
          </w:tcPr>
          <w:p>
            <w:pPr>
              <w:jc w:val="right"/>
              <w:ind w:right="113"/>
              <w:spacing w:after="0"/>
              <w:rPr>
                <w:sz w:val="20"/>
                <w:szCs w:val="20"/>
                <w:color w:val="auto"/>
              </w:rPr>
            </w:pPr>
            <w:r>
              <w:rPr>
                <w:rFonts w:ascii="Arial" w:cs="Arial" w:eastAsia="Arial" w:hAnsi="Arial"/>
                <w:sz w:val="18"/>
                <w:szCs w:val="18"/>
                <w:color w:val="auto"/>
              </w:rPr>
              <w:t>34,218</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1,443,670</w:t>
            </w:r>
          </w:p>
        </w:tc>
        <w:tc>
          <w:tcPr>
            <w:tcW w:w="0" w:type="dxa"/>
            <w:vAlign w:val="bottom"/>
          </w:tcPr>
          <w:p>
            <w:pPr>
              <w:spacing w:after="0"/>
              <w:rPr>
                <w:sz w:val="1"/>
                <w:szCs w:val="1"/>
                <w:color w:val="auto"/>
              </w:rPr>
            </w:pPr>
          </w:p>
        </w:tc>
      </w:tr>
      <w:tr>
        <w:trPr>
          <w:trHeight w:val="27"/>
        </w:trPr>
        <w:tc>
          <w:tcPr>
            <w:tcW w:w="4580" w:type="dxa"/>
            <w:vAlign w:val="bottom"/>
            <w:shd w:val="clear" w:color="auto" w:fill="CCEEFF"/>
          </w:tcPr>
          <w:p>
            <w:pPr>
              <w:spacing w:after="0"/>
              <w:rPr>
                <w:sz w:val="2"/>
                <w:szCs w:val="2"/>
                <w:color w:val="auto"/>
              </w:rPr>
            </w:pPr>
          </w:p>
        </w:tc>
        <w:tc>
          <w:tcPr>
            <w:tcW w:w="1960" w:type="dxa"/>
            <w:vAlign w:val="bottom"/>
            <w:shd w:val="clear" w:color="auto" w:fill="CCEEFF"/>
          </w:tcPr>
          <w:p>
            <w:pPr>
              <w:spacing w:after="0"/>
              <w:rPr>
                <w:sz w:val="2"/>
                <w:szCs w:val="2"/>
                <w:color w:val="auto"/>
              </w:rPr>
            </w:pPr>
          </w:p>
        </w:tc>
        <w:tc>
          <w:tcPr>
            <w:tcW w:w="1340" w:type="dxa"/>
            <w:vAlign w:val="bottom"/>
            <w:shd w:val="clear" w:color="auto" w:fill="CCEEFF"/>
          </w:tcPr>
          <w:p>
            <w:pPr>
              <w:spacing w:after="0"/>
              <w:rPr>
                <w:sz w:val="2"/>
                <w:szCs w:val="2"/>
                <w:color w:val="auto"/>
              </w:rPr>
            </w:pPr>
          </w:p>
        </w:tc>
        <w:tc>
          <w:tcPr>
            <w:tcW w:w="40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320" w:type="dxa"/>
            <w:vAlign w:val="bottom"/>
            <w:shd w:val="clear" w:color="auto" w:fill="CCEEFF"/>
          </w:tcPr>
          <w:p>
            <w:pPr>
              <w:spacing w:after="0"/>
              <w:rPr>
                <w:sz w:val="2"/>
                <w:szCs w:val="2"/>
                <w:color w:val="auto"/>
              </w:rPr>
            </w:pPr>
          </w:p>
        </w:tc>
        <w:tc>
          <w:tcPr>
            <w:tcW w:w="140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jc w:val="both"/>
        <w:ind w:right="360" w:firstLine="405"/>
        <w:spacing w:after="0" w:line="264" w:lineRule="auto"/>
        <w:rPr>
          <w:sz w:val="20"/>
          <w:szCs w:val="20"/>
          <w:color w:val="auto"/>
        </w:rPr>
      </w:pPr>
      <w:r>
        <w:rPr>
          <w:rFonts w:ascii="Arial" w:cs="Arial" w:eastAsia="Arial" w:hAnsi="Arial"/>
          <w:sz w:val="18"/>
          <w:szCs w:val="18"/>
          <w:color w:val="auto"/>
        </w:rPr>
        <w:t>The following tables summarize financial statement line items that are affected in the current reporting period by the application of the new revenue recognition policy as compared with the previous revenue recognition policy which was in effect in prior periods in accordance with ASC 605, Revenue Recognition:</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130" w:right="239" w:bottom="1440" w:gutter="0" w:footer="0" w:header="0"/>
        </w:sectPr>
      </w:pPr>
    </w:p>
    <w:bookmarkStart w:id="16" w:name="page17"/>
    <w:bookmarkEnd w:id="1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1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tcPr>
          <w:p>
            <w:pPr>
              <w:jc w:val="right"/>
              <w:ind w:right="354"/>
              <w:spacing w:after="0"/>
              <w:rPr>
                <w:sz w:val="20"/>
                <w:szCs w:val="20"/>
                <w:color w:val="auto"/>
              </w:rPr>
            </w:pPr>
            <w:r>
              <w:rPr>
                <w:rFonts w:ascii="Arial" w:cs="Arial" w:eastAsia="Arial" w:hAnsi="Arial"/>
                <w:sz w:val="14"/>
                <w:szCs w:val="14"/>
                <w:b w:val="1"/>
                <w:bCs w:val="1"/>
                <w:color w:val="auto"/>
              </w:rPr>
              <w:t>August 4, 2018</w:t>
            </w:r>
          </w:p>
        </w:tc>
        <w:tc>
          <w:tcPr>
            <w:tcW w:w="32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1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60" w:type="dxa"/>
            <w:vAlign w:val="bottom"/>
            <w:vMerge w:val="restart"/>
          </w:tcPr>
          <w:p>
            <w:pPr>
              <w:jc w:val="right"/>
              <w:ind w:right="113"/>
              <w:spacing w:after="0"/>
              <w:rPr>
                <w:sz w:val="20"/>
                <w:szCs w:val="20"/>
                <w:color w:val="auto"/>
              </w:rPr>
            </w:pPr>
            <w:r>
              <w:rPr>
                <w:rFonts w:ascii="Arial" w:cs="Arial" w:eastAsia="Arial" w:hAnsi="Arial"/>
                <w:sz w:val="14"/>
                <w:szCs w:val="14"/>
                <w:b w:val="1"/>
                <w:bCs w:val="1"/>
                <w:color w:val="auto"/>
                <w:w w:val="94"/>
              </w:rPr>
              <w:t>As currently reported</w:t>
            </w:r>
          </w:p>
        </w:tc>
        <w:tc>
          <w:tcPr>
            <w:tcW w:w="380" w:type="dxa"/>
            <w:vAlign w:val="bottom"/>
          </w:tcPr>
          <w:p>
            <w:pPr>
              <w:spacing w:after="0"/>
              <w:rPr>
                <w:sz w:val="13"/>
                <w:szCs w:val="13"/>
                <w:color w:val="auto"/>
              </w:rPr>
            </w:pPr>
          </w:p>
        </w:tc>
        <w:tc>
          <w:tcPr>
            <w:tcW w:w="1460" w:type="dxa"/>
            <w:vAlign w:val="bottom"/>
            <w:vMerge w:val="restart"/>
          </w:tcPr>
          <w:p>
            <w:pPr>
              <w:jc w:val="right"/>
              <w:ind w:right="414"/>
              <w:spacing w:after="0"/>
              <w:rPr>
                <w:sz w:val="20"/>
                <w:szCs w:val="20"/>
                <w:color w:val="auto"/>
              </w:rPr>
            </w:pPr>
            <w:r>
              <w:rPr>
                <w:rFonts w:ascii="Arial" w:cs="Arial" w:eastAsia="Arial" w:hAnsi="Arial"/>
                <w:sz w:val="14"/>
                <w:szCs w:val="14"/>
                <w:b w:val="1"/>
                <w:bCs w:val="1"/>
                <w:color w:val="auto"/>
              </w:rPr>
              <w:t>Adjustments</w:t>
            </w:r>
          </w:p>
        </w:tc>
        <w:tc>
          <w:tcPr>
            <w:tcW w:w="320" w:type="dxa"/>
            <w:vAlign w:val="bottom"/>
          </w:tcPr>
          <w:p>
            <w:pPr>
              <w:spacing w:after="0"/>
              <w:rPr>
                <w:sz w:val="13"/>
                <w:szCs w:val="13"/>
                <w:color w:val="auto"/>
              </w:rPr>
            </w:pPr>
          </w:p>
        </w:tc>
        <w:tc>
          <w:tcPr>
            <w:tcW w:w="1400" w:type="dxa"/>
            <w:vAlign w:val="bottom"/>
          </w:tcPr>
          <w:p>
            <w:pPr>
              <w:jc w:val="right"/>
              <w:ind w:right="194"/>
              <w:spacing w:after="0" w:line="153" w:lineRule="exact"/>
              <w:rPr>
                <w:sz w:val="20"/>
                <w:szCs w:val="20"/>
                <w:color w:val="auto"/>
              </w:rPr>
            </w:pPr>
            <w:r>
              <w:rPr>
                <w:rFonts w:ascii="Arial" w:cs="Arial" w:eastAsia="Arial" w:hAnsi="Arial"/>
                <w:sz w:val="14"/>
                <w:szCs w:val="14"/>
                <w:b w:val="1"/>
                <w:bCs w:val="1"/>
                <w:color w:val="auto"/>
                <w:w w:val="95"/>
              </w:rPr>
              <w:t>Balances without</w:t>
            </w:r>
          </w:p>
        </w:tc>
        <w:tc>
          <w:tcPr>
            <w:tcW w:w="0" w:type="dxa"/>
            <w:vAlign w:val="bottom"/>
          </w:tcPr>
          <w:p>
            <w:pPr>
              <w:spacing w:after="0"/>
              <w:rPr>
                <w:sz w:val="1"/>
                <w:szCs w:val="1"/>
                <w:color w:val="auto"/>
              </w:rPr>
            </w:pPr>
          </w:p>
        </w:tc>
      </w:tr>
      <w:tr>
        <w:trPr>
          <w:trHeight w:val="149"/>
        </w:trPr>
        <w:tc>
          <w:tcPr>
            <w:tcW w:w="6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560" w:type="dxa"/>
            <w:vAlign w:val="bottom"/>
            <w:vMerge w:val="continue"/>
          </w:tcPr>
          <w:p>
            <w:pPr>
              <w:spacing w:after="0"/>
              <w:rPr>
                <w:sz w:val="12"/>
                <w:szCs w:val="12"/>
                <w:color w:val="auto"/>
              </w:rPr>
            </w:pPr>
          </w:p>
        </w:tc>
        <w:tc>
          <w:tcPr>
            <w:tcW w:w="380" w:type="dxa"/>
            <w:vAlign w:val="bottom"/>
          </w:tcPr>
          <w:p>
            <w:pPr>
              <w:spacing w:after="0"/>
              <w:rPr>
                <w:sz w:val="12"/>
                <w:szCs w:val="12"/>
                <w:color w:val="auto"/>
              </w:rPr>
            </w:pPr>
          </w:p>
        </w:tc>
        <w:tc>
          <w:tcPr>
            <w:tcW w:w="1460" w:type="dxa"/>
            <w:vAlign w:val="bottom"/>
            <w:vMerge w:val="continue"/>
          </w:tcPr>
          <w:p>
            <w:pPr>
              <w:spacing w:after="0"/>
              <w:rPr>
                <w:sz w:val="12"/>
                <w:szCs w:val="12"/>
                <w:color w:val="auto"/>
              </w:rPr>
            </w:pPr>
          </w:p>
        </w:tc>
        <w:tc>
          <w:tcPr>
            <w:tcW w:w="172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w w:val="92"/>
              </w:rPr>
              <w:t>adoption of new revenue</w:t>
            </w:r>
          </w:p>
        </w:tc>
        <w:tc>
          <w:tcPr>
            <w:tcW w:w="0" w:type="dxa"/>
            <w:vAlign w:val="bottom"/>
          </w:tcPr>
          <w:p>
            <w:pPr>
              <w:spacing w:after="0"/>
              <w:rPr>
                <w:sz w:val="1"/>
                <w:szCs w:val="1"/>
                <w:color w:val="auto"/>
              </w:rPr>
            </w:pPr>
          </w:p>
        </w:tc>
      </w:tr>
      <w:tr>
        <w:trPr>
          <w:trHeight w:val="192"/>
        </w:trPr>
        <w:tc>
          <w:tcPr>
            <w:tcW w:w="6180" w:type="dxa"/>
            <w:vAlign w:val="bottom"/>
            <w:tcBorders>
              <w:bottom w:val="single" w:sz="8" w:color="auto"/>
            </w:tcBorders>
          </w:tcPr>
          <w:p>
            <w:pPr>
              <w:ind w:left="40"/>
              <w:spacing w:after="0"/>
              <w:rPr>
                <w:sz w:val="20"/>
                <w:szCs w:val="20"/>
                <w:color w:val="auto"/>
              </w:rPr>
            </w:pPr>
            <w:r>
              <w:rPr>
                <w:rFonts w:ascii="Arial" w:cs="Arial" w:eastAsia="Arial" w:hAnsi="Arial"/>
                <w:sz w:val="14"/>
                <w:szCs w:val="14"/>
                <w:color w:val="auto"/>
              </w:rPr>
              <w:t>(In thousands)</w:t>
            </w:r>
          </w:p>
        </w:tc>
        <w:tc>
          <w:tcPr>
            <w:tcW w:w="12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standard</w:t>
            </w:r>
          </w:p>
        </w:tc>
        <w:tc>
          <w:tcPr>
            <w:tcW w:w="0" w:type="dxa"/>
            <w:vAlign w:val="bottom"/>
          </w:tcPr>
          <w:p>
            <w:pPr>
              <w:spacing w:after="0"/>
              <w:rPr>
                <w:sz w:val="1"/>
                <w:szCs w:val="1"/>
                <w:color w:val="auto"/>
              </w:rPr>
            </w:pPr>
          </w:p>
        </w:tc>
      </w:tr>
      <w:tr>
        <w:trPr>
          <w:trHeight w:val="250"/>
        </w:trPr>
        <w:tc>
          <w:tcPr>
            <w:tcW w:w="61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Consolidated balance sheet:</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180" w:type="dxa"/>
            <w:vAlign w:val="bottom"/>
          </w:tcPr>
          <w:p>
            <w:pPr>
              <w:ind w:left="180"/>
              <w:spacing w:after="0"/>
              <w:rPr>
                <w:sz w:val="20"/>
                <w:szCs w:val="20"/>
                <w:color w:val="auto"/>
              </w:rPr>
            </w:pPr>
            <w:r>
              <w:rPr>
                <w:rFonts w:ascii="Arial" w:cs="Arial" w:eastAsia="Arial" w:hAnsi="Arial"/>
                <w:sz w:val="18"/>
                <w:szCs w:val="18"/>
                <w:b w:val="1"/>
                <w:bCs w:val="1"/>
                <w:color w:val="auto"/>
              </w:rPr>
              <w:t>Assets</w:t>
            </w:r>
          </w:p>
        </w:tc>
        <w:tc>
          <w:tcPr>
            <w:tcW w:w="12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18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Accounts receivable,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443,276</w:t>
            </w:r>
          </w:p>
        </w:tc>
        <w:tc>
          <w:tcPr>
            <w:tcW w:w="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4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4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443,276</w:t>
            </w:r>
          </w:p>
        </w:tc>
        <w:tc>
          <w:tcPr>
            <w:tcW w:w="0" w:type="dxa"/>
            <w:vAlign w:val="bottom"/>
          </w:tcPr>
          <w:p>
            <w:pPr>
              <w:spacing w:after="0"/>
              <w:rPr>
                <w:sz w:val="1"/>
                <w:szCs w:val="1"/>
                <w:color w:val="auto"/>
              </w:rPr>
            </w:pPr>
          </w:p>
        </w:tc>
      </w:tr>
      <w:tr>
        <w:trPr>
          <w:trHeight w:val="243"/>
        </w:trPr>
        <w:tc>
          <w:tcPr>
            <w:tcW w:w="6180" w:type="dxa"/>
            <w:vAlign w:val="bottom"/>
          </w:tcPr>
          <w:p>
            <w:pPr>
              <w:ind w:left="500"/>
              <w:spacing w:after="0"/>
              <w:rPr>
                <w:sz w:val="20"/>
                <w:szCs w:val="20"/>
                <w:color w:val="auto"/>
              </w:rPr>
            </w:pPr>
            <w:r>
              <w:rPr>
                <w:rFonts w:ascii="Arial" w:cs="Arial" w:eastAsia="Arial" w:hAnsi="Arial"/>
                <w:sz w:val="18"/>
                <w:szCs w:val="18"/>
                <w:color w:val="auto"/>
              </w:rPr>
              <w:t>Inventory</w:t>
            </w:r>
          </w:p>
        </w:tc>
        <w:tc>
          <w:tcPr>
            <w:tcW w:w="120" w:type="dxa"/>
            <w:vAlign w:val="bottom"/>
          </w:tcPr>
          <w:p>
            <w:pPr>
              <w:spacing w:after="0"/>
              <w:rPr>
                <w:sz w:val="21"/>
                <w:szCs w:val="21"/>
                <w:color w:val="auto"/>
              </w:rPr>
            </w:pPr>
          </w:p>
        </w:tc>
        <w:tc>
          <w:tcPr>
            <w:tcW w:w="1560" w:type="dxa"/>
            <w:vAlign w:val="bottom"/>
          </w:tcPr>
          <w:p>
            <w:pPr>
              <w:jc w:val="right"/>
              <w:ind w:right="73"/>
              <w:spacing w:after="0"/>
              <w:rPr>
                <w:sz w:val="20"/>
                <w:szCs w:val="20"/>
                <w:color w:val="auto"/>
              </w:rPr>
            </w:pPr>
            <w:r>
              <w:rPr>
                <w:rFonts w:ascii="Arial" w:cs="Arial" w:eastAsia="Arial" w:hAnsi="Arial"/>
                <w:sz w:val="18"/>
                <w:szCs w:val="18"/>
                <w:color w:val="auto"/>
              </w:rPr>
              <w:t>473,429</w:t>
            </w:r>
          </w:p>
        </w:tc>
        <w:tc>
          <w:tcPr>
            <w:tcW w:w="380" w:type="dxa"/>
            <w:vAlign w:val="bottom"/>
          </w:tcPr>
          <w:p>
            <w:pPr>
              <w:spacing w:after="0"/>
              <w:rPr>
                <w:sz w:val="21"/>
                <w:szCs w:val="21"/>
                <w:color w:val="auto"/>
              </w:rPr>
            </w:pPr>
          </w:p>
        </w:tc>
        <w:tc>
          <w:tcPr>
            <w:tcW w:w="1460" w:type="dxa"/>
            <w:vAlign w:val="bottom"/>
          </w:tcPr>
          <w:p>
            <w:pPr>
              <w:jc w:val="right"/>
              <w:ind w:right="54"/>
              <w:spacing w:after="0"/>
              <w:rPr>
                <w:sz w:val="20"/>
                <w:szCs w:val="20"/>
                <w:color w:val="auto"/>
              </w:rPr>
            </w:pPr>
            <w:r>
              <w:rPr>
                <w:rFonts w:ascii="Arial" w:cs="Arial" w:eastAsia="Arial" w:hAnsi="Arial"/>
                <w:sz w:val="18"/>
                <w:szCs w:val="18"/>
                <w:color w:val="auto"/>
              </w:rPr>
              <w:t>(1,478)</w:t>
            </w:r>
          </w:p>
        </w:tc>
        <w:tc>
          <w:tcPr>
            <w:tcW w:w="320" w:type="dxa"/>
            <w:vAlign w:val="bottom"/>
          </w:tcPr>
          <w:p>
            <w:pPr>
              <w:spacing w:after="0"/>
              <w:rPr>
                <w:sz w:val="21"/>
                <w:szCs w:val="21"/>
                <w:color w:val="auto"/>
              </w:rPr>
            </w:pPr>
          </w:p>
        </w:tc>
        <w:tc>
          <w:tcPr>
            <w:tcW w:w="1400" w:type="dxa"/>
            <w:vAlign w:val="bottom"/>
          </w:tcPr>
          <w:p>
            <w:pPr>
              <w:jc w:val="right"/>
              <w:ind w:right="14"/>
              <w:spacing w:after="0"/>
              <w:rPr>
                <w:sz w:val="20"/>
                <w:szCs w:val="20"/>
                <w:color w:val="auto"/>
              </w:rPr>
            </w:pPr>
            <w:r>
              <w:rPr>
                <w:rFonts w:ascii="Arial" w:cs="Arial" w:eastAsia="Arial" w:hAnsi="Arial"/>
                <w:sz w:val="18"/>
                <w:szCs w:val="18"/>
                <w:color w:val="auto"/>
              </w:rPr>
              <w:t>471,951</w:t>
            </w:r>
          </w:p>
        </w:tc>
        <w:tc>
          <w:tcPr>
            <w:tcW w:w="0" w:type="dxa"/>
            <w:vAlign w:val="bottom"/>
          </w:tcPr>
          <w:p>
            <w:pPr>
              <w:spacing w:after="0"/>
              <w:rPr>
                <w:sz w:val="1"/>
                <w:szCs w:val="1"/>
                <w:color w:val="auto"/>
              </w:rPr>
            </w:pPr>
          </w:p>
        </w:tc>
      </w:tr>
      <w:tr>
        <w:trPr>
          <w:trHeight w:val="27"/>
        </w:trPr>
        <w:tc>
          <w:tcPr>
            <w:tcW w:w="6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18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Other non-current assets</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275,598</w:t>
            </w:r>
          </w:p>
        </w:tc>
        <w:tc>
          <w:tcPr>
            <w:tcW w:w="38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(59,174)</w:t>
            </w: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216,424</w:t>
            </w:r>
          </w:p>
        </w:tc>
        <w:tc>
          <w:tcPr>
            <w:tcW w:w="0" w:type="dxa"/>
            <w:vAlign w:val="bottom"/>
          </w:tcPr>
          <w:p>
            <w:pPr>
              <w:spacing w:after="0"/>
              <w:rPr>
                <w:sz w:val="1"/>
                <w:szCs w:val="1"/>
                <w:color w:val="auto"/>
              </w:rPr>
            </w:pPr>
          </w:p>
        </w:tc>
      </w:tr>
      <w:tr>
        <w:trPr>
          <w:trHeight w:val="243"/>
        </w:trPr>
        <w:tc>
          <w:tcPr>
            <w:tcW w:w="6180" w:type="dxa"/>
            <w:vAlign w:val="bottom"/>
          </w:tcPr>
          <w:p>
            <w:pPr>
              <w:ind w:left="180"/>
              <w:spacing w:after="0"/>
              <w:rPr>
                <w:sz w:val="20"/>
                <w:szCs w:val="20"/>
                <w:color w:val="auto"/>
              </w:rPr>
            </w:pPr>
            <w:r>
              <w:rPr>
                <w:rFonts w:ascii="Arial" w:cs="Arial" w:eastAsia="Arial" w:hAnsi="Arial"/>
                <w:sz w:val="18"/>
                <w:szCs w:val="18"/>
                <w:b w:val="1"/>
                <w:bCs w:val="1"/>
                <w:color w:val="auto"/>
              </w:rPr>
              <w:t>Liabilities and shareholders' equity:</w:t>
            </w:r>
          </w:p>
        </w:tc>
        <w:tc>
          <w:tcPr>
            <w:tcW w:w="12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18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Accrued liabilities</w:t>
            </w:r>
          </w:p>
        </w:tc>
        <w:tc>
          <w:tcPr>
            <w:tcW w:w="12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277,098</w:t>
            </w:r>
          </w:p>
        </w:tc>
        <w:tc>
          <w:tcPr>
            <w:tcW w:w="38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jc w:val="right"/>
              <w:ind w:right="54"/>
              <w:spacing w:after="0"/>
              <w:rPr>
                <w:sz w:val="20"/>
                <w:szCs w:val="20"/>
                <w:color w:val="auto"/>
              </w:rPr>
            </w:pPr>
            <w:r>
              <w:rPr>
                <w:rFonts w:ascii="Arial" w:cs="Arial" w:eastAsia="Arial" w:hAnsi="Arial"/>
                <w:sz w:val="18"/>
                <w:szCs w:val="18"/>
                <w:color w:val="auto"/>
              </w:rPr>
              <w:t>(92,890)</w:t>
            </w: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184,208</w:t>
            </w:r>
          </w:p>
        </w:tc>
        <w:tc>
          <w:tcPr>
            <w:tcW w:w="0" w:type="dxa"/>
            <w:vAlign w:val="bottom"/>
          </w:tcPr>
          <w:p>
            <w:pPr>
              <w:spacing w:after="0"/>
              <w:rPr>
                <w:sz w:val="1"/>
                <w:szCs w:val="1"/>
                <w:color w:val="auto"/>
              </w:rPr>
            </w:pPr>
          </w:p>
        </w:tc>
      </w:tr>
      <w:tr>
        <w:trPr>
          <w:trHeight w:val="243"/>
        </w:trPr>
        <w:tc>
          <w:tcPr>
            <w:tcW w:w="6180" w:type="dxa"/>
            <w:vAlign w:val="bottom"/>
          </w:tcPr>
          <w:p>
            <w:pPr>
              <w:ind w:left="500"/>
              <w:spacing w:after="0"/>
              <w:rPr>
                <w:sz w:val="20"/>
                <w:szCs w:val="20"/>
                <w:color w:val="auto"/>
              </w:rPr>
            </w:pPr>
            <w:r>
              <w:rPr>
                <w:rFonts w:ascii="Arial" w:cs="Arial" w:eastAsia="Arial" w:hAnsi="Arial"/>
                <w:sz w:val="18"/>
                <w:szCs w:val="18"/>
                <w:color w:val="auto"/>
              </w:rPr>
              <w:t>Deferred income</w:t>
            </w:r>
          </w:p>
        </w:tc>
        <w:tc>
          <w:tcPr>
            <w:tcW w:w="120" w:type="dxa"/>
            <w:vAlign w:val="bottom"/>
          </w:tcPr>
          <w:p>
            <w:pPr>
              <w:spacing w:after="0"/>
              <w:rPr>
                <w:sz w:val="21"/>
                <w:szCs w:val="21"/>
                <w:color w:val="auto"/>
              </w:rPr>
            </w:pPr>
          </w:p>
        </w:tc>
        <w:tc>
          <w:tcPr>
            <w:tcW w:w="1560" w:type="dxa"/>
            <w:vAlign w:val="bottom"/>
          </w:tcPr>
          <w:p>
            <w:pPr>
              <w:jc w:val="right"/>
              <w:ind w:right="73"/>
              <w:spacing w:after="0"/>
              <w:rPr>
                <w:sz w:val="20"/>
                <w:szCs w:val="20"/>
                <w:color w:val="auto"/>
              </w:rPr>
            </w:pPr>
            <w:r>
              <w:rPr>
                <w:rFonts w:ascii="Arial" w:cs="Arial" w:eastAsia="Arial" w:hAnsi="Arial"/>
                <w:sz w:val="18"/>
                <w:szCs w:val="18"/>
                <w:color w:val="auto"/>
              </w:rPr>
              <w:t>3,511</w:t>
            </w:r>
          </w:p>
        </w:tc>
        <w:tc>
          <w:tcPr>
            <w:tcW w:w="380" w:type="dxa"/>
            <w:vAlign w:val="bottom"/>
          </w:tcPr>
          <w:p>
            <w:pPr>
              <w:spacing w:after="0"/>
              <w:rPr>
                <w:sz w:val="21"/>
                <w:szCs w:val="21"/>
                <w:color w:val="auto"/>
              </w:rPr>
            </w:pPr>
          </w:p>
        </w:tc>
        <w:tc>
          <w:tcPr>
            <w:tcW w:w="1460" w:type="dxa"/>
            <w:vAlign w:val="bottom"/>
          </w:tcPr>
          <w:p>
            <w:pPr>
              <w:jc w:val="right"/>
              <w:ind w:right="114"/>
              <w:spacing w:after="0"/>
              <w:rPr>
                <w:sz w:val="20"/>
                <w:szCs w:val="20"/>
                <w:color w:val="auto"/>
              </w:rPr>
            </w:pPr>
            <w:r>
              <w:rPr>
                <w:rFonts w:ascii="Arial" w:cs="Arial" w:eastAsia="Arial" w:hAnsi="Arial"/>
                <w:sz w:val="18"/>
                <w:szCs w:val="18"/>
                <w:color w:val="auto"/>
              </w:rPr>
              <w:t>78,492</w:t>
            </w:r>
          </w:p>
        </w:tc>
        <w:tc>
          <w:tcPr>
            <w:tcW w:w="320" w:type="dxa"/>
            <w:vAlign w:val="bottom"/>
          </w:tcPr>
          <w:p>
            <w:pPr>
              <w:spacing w:after="0"/>
              <w:rPr>
                <w:sz w:val="21"/>
                <w:szCs w:val="21"/>
                <w:color w:val="auto"/>
              </w:rPr>
            </w:pPr>
          </w:p>
        </w:tc>
        <w:tc>
          <w:tcPr>
            <w:tcW w:w="1400" w:type="dxa"/>
            <w:vAlign w:val="bottom"/>
          </w:tcPr>
          <w:p>
            <w:pPr>
              <w:jc w:val="right"/>
              <w:ind w:right="14"/>
              <w:spacing w:after="0"/>
              <w:rPr>
                <w:sz w:val="20"/>
                <w:szCs w:val="20"/>
                <w:color w:val="auto"/>
              </w:rPr>
            </w:pPr>
            <w:r>
              <w:rPr>
                <w:rFonts w:ascii="Arial" w:cs="Arial" w:eastAsia="Arial" w:hAnsi="Arial"/>
                <w:sz w:val="18"/>
                <w:szCs w:val="18"/>
                <w:color w:val="auto"/>
              </w:rPr>
              <w:t>82,003</w:t>
            </w:r>
          </w:p>
        </w:tc>
        <w:tc>
          <w:tcPr>
            <w:tcW w:w="0" w:type="dxa"/>
            <w:vAlign w:val="bottom"/>
          </w:tcPr>
          <w:p>
            <w:pPr>
              <w:spacing w:after="0"/>
              <w:rPr>
                <w:sz w:val="1"/>
                <w:szCs w:val="1"/>
                <w:color w:val="auto"/>
              </w:rPr>
            </w:pPr>
          </w:p>
        </w:tc>
      </w:tr>
      <w:tr>
        <w:trPr>
          <w:trHeight w:val="27"/>
        </w:trPr>
        <w:tc>
          <w:tcPr>
            <w:tcW w:w="6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4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6180" w:type="dxa"/>
            <w:vAlign w:val="bottom"/>
            <w:shd w:val="clear" w:color="auto" w:fill="CCEEFF"/>
          </w:tcPr>
          <w:p>
            <w:pPr>
              <w:ind w:left="500"/>
              <w:spacing w:after="0"/>
              <w:rPr>
                <w:sz w:val="20"/>
                <w:szCs w:val="20"/>
                <w:color w:val="auto"/>
              </w:rPr>
            </w:pPr>
            <w:r>
              <w:rPr>
                <w:rFonts w:ascii="Arial" w:cs="Arial" w:eastAsia="Arial" w:hAnsi="Arial"/>
                <w:sz w:val="18"/>
                <w:szCs w:val="18"/>
                <w:color w:val="auto"/>
              </w:rPr>
              <w:t>Retained earnings</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60" w:type="dxa"/>
            <w:vAlign w:val="bottom"/>
            <w:shd w:val="clear" w:color="auto" w:fill="CCEEFF"/>
          </w:tcPr>
          <w:p>
            <w:pPr>
              <w:jc w:val="right"/>
              <w:ind w:right="73"/>
              <w:spacing w:after="0"/>
              <w:rPr>
                <w:sz w:val="20"/>
                <w:szCs w:val="20"/>
                <w:color w:val="auto"/>
              </w:rPr>
            </w:pPr>
            <w:r>
              <w:rPr>
                <w:rFonts w:ascii="Arial" w:cs="Arial" w:eastAsia="Arial" w:hAnsi="Arial"/>
                <w:sz w:val="18"/>
                <w:szCs w:val="18"/>
                <w:color w:val="auto"/>
              </w:rPr>
              <w:t>1,509,860</w:t>
            </w:r>
          </w:p>
        </w:tc>
        <w:tc>
          <w:tcPr>
            <w:tcW w:w="3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460" w:type="dxa"/>
            <w:vAlign w:val="bottom"/>
            <w:shd w:val="clear" w:color="auto" w:fill="CCEEFF"/>
          </w:tcPr>
          <w:p>
            <w:pPr>
              <w:jc w:val="right"/>
              <w:ind w:right="54"/>
              <w:spacing w:after="0"/>
              <w:rPr>
                <w:sz w:val="20"/>
                <w:szCs w:val="20"/>
                <w:color w:val="auto"/>
              </w:rPr>
            </w:pPr>
            <w:r>
              <w:rPr>
                <w:rFonts w:ascii="Arial" w:cs="Arial" w:eastAsia="Arial" w:hAnsi="Arial"/>
                <w:sz w:val="18"/>
                <w:szCs w:val="18"/>
                <w:color w:val="auto"/>
              </w:rPr>
              <w:t>(46,254)</w:t>
            </w:r>
          </w:p>
        </w:tc>
        <w:tc>
          <w:tcPr>
            <w:tcW w:w="3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40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1,463,606</w:t>
            </w:r>
          </w:p>
        </w:tc>
        <w:tc>
          <w:tcPr>
            <w:tcW w:w="0" w:type="dxa"/>
            <w:vAlign w:val="bottom"/>
          </w:tcPr>
          <w:p>
            <w:pPr>
              <w:spacing w:after="0"/>
              <w:rPr>
                <w:sz w:val="1"/>
                <w:szCs w:val="1"/>
                <w:color w:val="auto"/>
              </w:rPr>
            </w:pPr>
          </w:p>
        </w:tc>
      </w:tr>
      <w:tr>
        <w:trPr>
          <w:trHeight w:val="27"/>
        </w:trPr>
        <w:tc>
          <w:tcPr>
            <w:tcW w:w="61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560" w:type="dxa"/>
            <w:vAlign w:val="bottom"/>
            <w:shd w:val="clear" w:color="auto" w:fill="CCEEFF"/>
          </w:tcPr>
          <w:p>
            <w:pPr>
              <w:spacing w:after="0"/>
              <w:rPr>
                <w:sz w:val="2"/>
                <w:szCs w:val="2"/>
                <w:color w:val="auto"/>
              </w:rPr>
            </w:pPr>
          </w:p>
        </w:tc>
        <w:tc>
          <w:tcPr>
            <w:tcW w:w="380" w:type="dxa"/>
            <w:vAlign w:val="bottom"/>
            <w:shd w:val="clear" w:color="auto" w:fill="CCEEFF"/>
          </w:tcPr>
          <w:p>
            <w:pPr>
              <w:spacing w:after="0"/>
              <w:rPr>
                <w:sz w:val="2"/>
                <w:szCs w:val="2"/>
                <w:color w:val="auto"/>
              </w:rPr>
            </w:pPr>
          </w:p>
        </w:tc>
        <w:tc>
          <w:tcPr>
            <w:tcW w:w="1460" w:type="dxa"/>
            <w:vAlign w:val="bottom"/>
            <w:shd w:val="clear" w:color="auto" w:fill="CCEEFF"/>
          </w:tcPr>
          <w:p>
            <w:pPr>
              <w:spacing w:after="0"/>
              <w:rPr>
                <w:sz w:val="2"/>
                <w:szCs w:val="2"/>
                <w:color w:val="auto"/>
              </w:rPr>
            </w:pPr>
          </w:p>
        </w:tc>
        <w:tc>
          <w:tcPr>
            <w:tcW w:w="320" w:type="dxa"/>
            <w:vAlign w:val="bottom"/>
            <w:shd w:val="clear" w:color="auto" w:fill="CCEEFF"/>
          </w:tcPr>
          <w:p>
            <w:pPr>
              <w:spacing w:after="0"/>
              <w:rPr>
                <w:sz w:val="2"/>
                <w:szCs w:val="2"/>
                <w:color w:val="auto"/>
              </w:rPr>
            </w:pPr>
          </w:p>
        </w:tc>
        <w:tc>
          <w:tcPr>
            <w:tcW w:w="140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3420" w:type="dxa"/>
            <w:vAlign w:val="bottom"/>
            <w:tcBorders>
              <w:bottom w:val="single" w:sz="8" w:color="auto"/>
            </w:tcBorders>
            <w:gridSpan w:val="5"/>
          </w:tcPr>
          <w:p>
            <w:pPr>
              <w:jc w:val="right"/>
              <w:ind w:right="579"/>
              <w:spacing w:after="0"/>
              <w:rPr>
                <w:sz w:val="20"/>
                <w:szCs w:val="20"/>
                <w:color w:val="auto"/>
              </w:rPr>
            </w:pPr>
            <w:r>
              <w:rPr>
                <w:rFonts w:ascii="Arial" w:cs="Arial" w:eastAsia="Arial" w:hAnsi="Arial"/>
                <w:sz w:val="14"/>
                <w:szCs w:val="14"/>
                <w:b w:val="1"/>
                <w:bCs w:val="1"/>
                <w:color w:val="auto"/>
              </w:rPr>
              <w:t>Three Months Ended August 4, 2018</w:t>
            </w:r>
          </w:p>
        </w:tc>
        <w:tc>
          <w:tcPr>
            <w:tcW w:w="1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3460" w:type="dxa"/>
            <w:vAlign w:val="bottom"/>
            <w:tcBorders>
              <w:bottom w:val="single" w:sz="8" w:color="auto"/>
            </w:tcBorders>
            <w:gridSpan w:val="5"/>
          </w:tcPr>
          <w:p>
            <w:pPr>
              <w:jc w:val="right"/>
              <w:ind w:right="670"/>
              <w:spacing w:after="0"/>
              <w:rPr>
                <w:sz w:val="20"/>
                <w:szCs w:val="20"/>
                <w:color w:val="auto"/>
              </w:rPr>
            </w:pPr>
            <w:r>
              <w:rPr>
                <w:rFonts w:ascii="Arial" w:cs="Arial" w:eastAsia="Arial" w:hAnsi="Arial"/>
                <w:sz w:val="14"/>
                <w:szCs w:val="14"/>
                <w:b w:val="1"/>
                <w:bCs w:val="1"/>
                <w:color w:val="auto"/>
              </w:rPr>
              <w:t>Six Months Ended August 4, 2018</w:t>
            </w:r>
          </w:p>
        </w:tc>
        <w:tc>
          <w:tcPr>
            <w:tcW w:w="0" w:type="dxa"/>
            <w:vAlign w:val="bottom"/>
          </w:tcPr>
          <w:p>
            <w:pPr>
              <w:spacing w:after="0"/>
              <w:rPr>
                <w:sz w:val="1"/>
                <w:szCs w:val="1"/>
                <w:color w:val="auto"/>
              </w:rPr>
            </w:pPr>
          </w:p>
        </w:tc>
      </w:tr>
      <w:tr>
        <w:trPr>
          <w:trHeight w:val="152"/>
        </w:trPr>
        <w:tc>
          <w:tcPr>
            <w:tcW w:w="41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20" w:type="dxa"/>
            <w:vAlign w:val="bottom"/>
            <w:gridSpan w:val="2"/>
          </w:tcPr>
          <w:p>
            <w:pPr>
              <w:jc w:val="center"/>
              <w:ind w:right="220"/>
              <w:spacing w:after="0" w:line="153" w:lineRule="exact"/>
              <w:rPr>
                <w:sz w:val="20"/>
                <w:szCs w:val="20"/>
                <w:color w:val="auto"/>
              </w:rPr>
            </w:pPr>
            <w:r>
              <w:rPr>
                <w:rFonts w:ascii="Arial" w:cs="Arial" w:eastAsia="Arial" w:hAnsi="Arial"/>
                <w:sz w:val="14"/>
                <w:szCs w:val="14"/>
                <w:b w:val="1"/>
                <w:bCs w:val="1"/>
                <w:color w:val="auto"/>
                <w:w w:val="91"/>
              </w:rPr>
              <w:t>Balances</w:t>
            </w:r>
          </w:p>
        </w:tc>
        <w:tc>
          <w:tcPr>
            <w:tcW w:w="1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20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w w:val="93"/>
              </w:rPr>
              <w:t>Balances without</w:t>
            </w:r>
          </w:p>
        </w:tc>
        <w:tc>
          <w:tcPr>
            <w:tcW w:w="0" w:type="dxa"/>
            <w:vAlign w:val="bottom"/>
          </w:tcPr>
          <w:p>
            <w:pPr>
              <w:spacing w:after="0"/>
              <w:rPr>
                <w:sz w:val="1"/>
                <w:szCs w:val="1"/>
                <w:color w:val="auto"/>
              </w:rPr>
            </w:pPr>
          </w:p>
        </w:tc>
      </w:tr>
      <w:tr>
        <w:trPr>
          <w:trHeight w:val="149"/>
        </w:trPr>
        <w:tc>
          <w:tcPr>
            <w:tcW w:w="4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40" w:type="dxa"/>
            <w:vAlign w:val="bottom"/>
            <w:vMerge w:val="restart"/>
          </w:tcPr>
          <w:p>
            <w:pPr>
              <w:jc w:val="right"/>
              <w:ind w:right="137"/>
              <w:spacing w:after="0"/>
              <w:rPr>
                <w:sz w:val="20"/>
                <w:szCs w:val="20"/>
                <w:color w:val="auto"/>
              </w:rPr>
            </w:pPr>
            <w:r>
              <w:rPr>
                <w:rFonts w:ascii="Arial" w:cs="Arial" w:eastAsia="Arial" w:hAnsi="Arial"/>
                <w:sz w:val="14"/>
                <w:szCs w:val="14"/>
                <w:b w:val="1"/>
                <w:bCs w:val="1"/>
                <w:color w:val="auto"/>
                <w:w w:val="97"/>
              </w:rPr>
              <w:t>As currently</w:t>
            </w:r>
          </w:p>
        </w:tc>
        <w:tc>
          <w:tcPr>
            <w:tcW w:w="2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6"/>
              </w:rPr>
              <w:t>without</w:t>
            </w:r>
          </w:p>
        </w:tc>
        <w:tc>
          <w:tcPr>
            <w:tcW w:w="160" w:type="dxa"/>
            <w:vAlign w:val="bottom"/>
          </w:tcPr>
          <w:p>
            <w:pPr>
              <w:spacing w:after="0"/>
              <w:rPr>
                <w:sz w:val="12"/>
                <w:szCs w:val="12"/>
                <w:color w:val="auto"/>
              </w:rPr>
            </w:pPr>
          </w:p>
        </w:tc>
        <w:tc>
          <w:tcPr>
            <w:tcW w:w="980" w:type="dxa"/>
            <w:vAlign w:val="bottom"/>
            <w:vMerge w:val="restart"/>
          </w:tcPr>
          <w:p>
            <w:pPr>
              <w:jc w:val="right"/>
              <w:ind w:right="97"/>
              <w:spacing w:after="0"/>
              <w:rPr>
                <w:sz w:val="20"/>
                <w:szCs w:val="20"/>
                <w:color w:val="auto"/>
              </w:rPr>
            </w:pPr>
            <w:r>
              <w:rPr>
                <w:rFonts w:ascii="Arial" w:cs="Arial" w:eastAsia="Arial" w:hAnsi="Arial"/>
                <w:sz w:val="14"/>
                <w:szCs w:val="14"/>
                <w:b w:val="1"/>
                <w:bCs w:val="1"/>
                <w:color w:val="auto"/>
                <w:w w:val="95"/>
              </w:rPr>
              <w:t>As currently</w:t>
            </w:r>
          </w:p>
        </w:tc>
        <w:tc>
          <w:tcPr>
            <w:tcW w:w="2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41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040" w:type="dxa"/>
            <w:vAlign w:val="bottom"/>
            <w:vMerge w:val="continue"/>
          </w:tcPr>
          <w:p>
            <w:pPr>
              <w:spacing w:after="0"/>
              <w:rPr>
                <w:sz w:val="5"/>
                <w:szCs w:val="5"/>
                <w:color w:val="auto"/>
              </w:rPr>
            </w:pPr>
          </w:p>
        </w:tc>
        <w:tc>
          <w:tcPr>
            <w:tcW w:w="240" w:type="dxa"/>
            <w:vAlign w:val="bottom"/>
          </w:tcPr>
          <w:p>
            <w:pPr>
              <w:spacing w:after="0"/>
              <w:rPr>
                <w:sz w:val="5"/>
                <w:szCs w:val="5"/>
                <w:color w:val="auto"/>
              </w:rPr>
            </w:pPr>
          </w:p>
        </w:tc>
        <w:tc>
          <w:tcPr>
            <w:tcW w:w="1040" w:type="dxa"/>
            <w:vAlign w:val="bottom"/>
            <w:vMerge w:val="restart"/>
          </w:tcPr>
          <w:p>
            <w:pPr>
              <w:jc w:val="right"/>
              <w:ind w:right="133"/>
              <w:spacing w:after="0" w:line="149" w:lineRule="exact"/>
              <w:rPr>
                <w:sz w:val="20"/>
                <w:szCs w:val="20"/>
                <w:color w:val="auto"/>
              </w:rPr>
            </w:pPr>
            <w:r>
              <w:rPr>
                <w:rFonts w:ascii="Arial" w:cs="Arial" w:eastAsia="Arial" w:hAnsi="Arial"/>
                <w:sz w:val="14"/>
                <w:szCs w:val="14"/>
                <w:b w:val="1"/>
                <w:bCs w:val="1"/>
                <w:color w:val="auto"/>
                <w:w w:val="94"/>
              </w:rPr>
              <w:t>Adjustments</w:t>
            </w:r>
          </w:p>
        </w:tc>
        <w:tc>
          <w:tcPr>
            <w:tcW w:w="180" w:type="dxa"/>
            <w:vAlign w:val="bottom"/>
          </w:tcPr>
          <w:p>
            <w:pPr>
              <w:spacing w:after="0"/>
              <w:rPr>
                <w:sz w:val="5"/>
                <w:szCs w:val="5"/>
                <w:color w:val="auto"/>
              </w:rPr>
            </w:pPr>
          </w:p>
        </w:tc>
        <w:tc>
          <w:tcPr>
            <w:tcW w:w="1020" w:type="dxa"/>
            <w:vAlign w:val="bottom"/>
            <w:gridSpan w:val="2"/>
            <w:vMerge w:val="restart"/>
          </w:tcPr>
          <w:p>
            <w:pPr>
              <w:jc w:val="center"/>
              <w:ind w:right="240"/>
              <w:spacing w:after="0" w:line="149" w:lineRule="exact"/>
              <w:rPr>
                <w:sz w:val="20"/>
                <w:szCs w:val="20"/>
                <w:color w:val="auto"/>
              </w:rPr>
            </w:pPr>
            <w:r>
              <w:rPr>
                <w:rFonts w:ascii="Arial" w:cs="Arial" w:eastAsia="Arial" w:hAnsi="Arial"/>
                <w:sz w:val="14"/>
                <w:szCs w:val="14"/>
                <w:b w:val="1"/>
                <w:bCs w:val="1"/>
                <w:color w:val="auto"/>
                <w:w w:val="91"/>
              </w:rPr>
              <w:t>adoption of</w:t>
            </w:r>
          </w:p>
        </w:tc>
        <w:tc>
          <w:tcPr>
            <w:tcW w:w="160" w:type="dxa"/>
            <w:vAlign w:val="bottom"/>
          </w:tcPr>
          <w:p>
            <w:pPr>
              <w:spacing w:after="0"/>
              <w:rPr>
                <w:sz w:val="5"/>
                <w:szCs w:val="5"/>
                <w:color w:val="auto"/>
              </w:rPr>
            </w:pPr>
          </w:p>
        </w:tc>
        <w:tc>
          <w:tcPr>
            <w:tcW w:w="980" w:type="dxa"/>
            <w:vAlign w:val="bottom"/>
            <w:vMerge w:val="continue"/>
          </w:tcPr>
          <w:p>
            <w:pPr>
              <w:spacing w:after="0"/>
              <w:rPr>
                <w:sz w:val="5"/>
                <w:szCs w:val="5"/>
                <w:color w:val="auto"/>
              </w:rPr>
            </w:pPr>
          </w:p>
        </w:tc>
        <w:tc>
          <w:tcPr>
            <w:tcW w:w="240" w:type="dxa"/>
            <w:vAlign w:val="bottom"/>
          </w:tcPr>
          <w:p>
            <w:pPr>
              <w:spacing w:after="0"/>
              <w:rPr>
                <w:sz w:val="5"/>
                <w:szCs w:val="5"/>
                <w:color w:val="auto"/>
              </w:rPr>
            </w:pPr>
          </w:p>
        </w:tc>
        <w:tc>
          <w:tcPr>
            <w:tcW w:w="1040" w:type="dxa"/>
            <w:vAlign w:val="bottom"/>
            <w:vMerge w:val="restart"/>
          </w:tcPr>
          <w:p>
            <w:pPr>
              <w:jc w:val="right"/>
              <w:ind w:right="133"/>
              <w:spacing w:after="0" w:line="149" w:lineRule="exact"/>
              <w:rPr>
                <w:sz w:val="20"/>
                <w:szCs w:val="20"/>
                <w:color w:val="auto"/>
              </w:rPr>
            </w:pPr>
            <w:r>
              <w:rPr>
                <w:rFonts w:ascii="Arial" w:cs="Arial" w:eastAsia="Arial" w:hAnsi="Arial"/>
                <w:sz w:val="14"/>
                <w:szCs w:val="14"/>
                <w:b w:val="1"/>
                <w:bCs w:val="1"/>
                <w:color w:val="auto"/>
                <w:w w:val="94"/>
              </w:rPr>
              <w:t>Adjustments</w:t>
            </w:r>
          </w:p>
        </w:tc>
        <w:tc>
          <w:tcPr>
            <w:tcW w:w="1200" w:type="dxa"/>
            <w:vAlign w:val="bottom"/>
            <w:gridSpan w:val="2"/>
            <w:vMerge w:val="restart"/>
          </w:tcPr>
          <w:p>
            <w:pPr>
              <w:jc w:val="right"/>
              <w:spacing w:after="0" w:line="149" w:lineRule="exact"/>
              <w:rPr>
                <w:sz w:val="20"/>
                <w:szCs w:val="20"/>
                <w:color w:val="auto"/>
              </w:rPr>
            </w:pPr>
            <w:r>
              <w:rPr>
                <w:rFonts w:ascii="Arial" w:cs="Arial" w:eastAsia="Arial" w:hAnsi="Arial"/>
                <w:sz w:val="14"/>
                <w:szCs w:val="14"/>
                <w:b w:val="1"/>
                <w:bCs w:val="1"/>
                <w:color w:val="auto"/>
              </w:rPr>
              <w:t>adoption of new</w:t>
            </w:r>
          </w:p>
        </w:tc>
        <w:tc>
          <w:tcPr>
            <w:tcW w:w="0" w:type="dxa"/>
            <w:vAlign w:val="bottom"/>
          </w:tcPr>
          <w:p>
            <w:pPr>
              <w:spacing w:after="0"/>
              <w:rPr>
                <w:sz w:val="1"/>
                <w:szCs w:val="1"/>
                <w:color w:val="auto"/>
              </w:rPr>
            </w:pPr>
          </w:p>
        </w:tc>
      </w:tr>
      <w:tr>
        <w:trPr>
          <w:trHeight w:val="81"/>
        </w:trPr>
        <w:tc>
          <w:tcPr>
            <w:tcW w:w="4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1040" w:type="dxa"/>
            <w:vAlign w:val="bottom"/>
            <w:vMerge w:val="restart"/>
          </w:tcPr>
          <w:p>
            <w:pPr>
              <w:jc w:val="right"/>
              <w:ind w:right="257"/>
              <w:spacing w:after="0"/>
              <w:rPr>
                <w:sz w:val="20"/>
                <w:szCs w:val="20"/>
                <w:color w:val="auto"/>
              </w:rPr>
            </w:pPr>
            <w:r>
              <w:rPr>
                <w:rFonts w:ascii="Arial" w:cs="Arial" w:eastAsia="Arial" w:hAnsi="Arial"/>
                <w:sz w:val="14"/>
                <w:szCs w:val="14"/>
                <w:b w:val="1"/>
                <w:bCs w:val="1"/>
                <w:color w:val="auto"/>
              </w:rPr>
              <w:t>reported</w:t>
            </w:r>
          </w:p>
        </w:tc>
        <w:tc>
          <w:tcPr>
            <w:tcW w:w="24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1020" w:type="dxa"/>
            <w:vAlign w:val="bottom"/>
            <w:gridSpan w:val="2"/>
            <w:vMerge w:val="continue"/>
          </w:tcPr>
          <w:p>
            <w:pPr>
              <w:spacing w:after="0"/>
              <w:rPr>
                <w:sz w:val="7"/>
                <w:szCs w:val="7"/>
                <w:color w:val="auto"/>
              </w:rPr>
            </w:pPr>
          </w:p>
        </w:tc>
        <w:tc>
          <w:tcPr>
            <w:tcW w:w="160" w:type="dxa"/>
            <w:vAlign w:val="bottom"/>
          </w:tcPr>
          <w:p>
            <w:pPr>
              <w:spacing w:after="0"/>
              <w:rPr>
                <w:sz w:val="7"/>
                <w:szCs w:val="7"/>
                <w:color w:val="auto"/>
              </w:rPr>
            </w:pPr>
          </w:p>
        </w:tc>
        <w:tc>
          <w:tcPr>
            <w:tcW w:w="980" w:type="dxa"/>
            <w:vAlign w:val="bottom"/>
            <w:vMerge w:val="restart"/>
          </w:tcPr>
          <w:p>
            <w:pPr>
              <w:jc w:val="right"/>
              <w:ind w:right="217"/>
              <w:spacing w:after="0"/>
              <w:rPr>
                <w:sz w:val="20"/>
                <w:szCs w:val="20"/>
                <w:color w:val="auto"/>
              </w:rPr>
            </w:pPr>
            <w:r>
              <w:rPr>
                <w:rFonts w:ascii="Arial" w:cs="Arial" w:eastAsia="Arial" w:hAnsi="Arial"/>
                <w:sz w:val="14"/>
                <w:szCs w:val="14"/>
                <w:b w:val="1"/>
                <w:bCs w:val="1"/>
                <w:color w:val="auto"/>
              </w:rPr>
              <w:t>reported</w:t>
            </w:r>
          </w:p>
        </w:tc>
        <w:tc>
          <w:tcPr>
            <w:tcW w:w="24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05"/>
        </w:trPr>
        <w:tc>
          <w:tcPr>
            <w:tcW w:w="41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40" w:type="dxa"/>
            <w:vAlign w:val="bottom"/>
            <w:vMerge w:val="continue"/>
          </w:tcPr>
          <w:p>
            <w:pPr>
              <w:spacing w:after="0"/>
              <w:rPr>
                <w:sz w:val="9"/>
                <w:szCs w:val="9"/>
                <w:color w:val="auto"/>
              </w:rPr>
            </w:pPr>
          </w:p>
        </w:tc>
        <w:tc>
          <w:tcPr>
            <w:tcW w:w="2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gridSpan w:val="2"/>
            <w:vMerge w:val="restart"/>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new revenue</w:t>
            </w:r>
          </w:p>
        </w:tc>
        <w:tc>
          <w:tcPr>
            <w:tcW w:w="160" w:type="dxa"/>
            <w:vAlign w:val="bottom"/>
          </w:tcPr>
          <w:p>
            <w:pPr>
              <w:spacing w:after="0"/>
              <w:rPr>
                <w:sz w:val="9"/>
                <w:szCs w:val="9"/>
                <w:color w:val="auto"/>
              </w:rPr>
            </w:pPr>
          </w:p>
        </w:tc>
        <w:tc>
          <w:tcPr>
            <w:tcW w:w="980" w:type="dxa"/>
            <w:vAlign w:val="bottom"/>
            <w:vMerge w:val="continue"/>
          </w:tcPr>
          <w:p>
            <w:pPr>
              <w:spacing w:after="0"/>
              <w:rPr>
                <w:sz w:val="9"/>
                <w:szCs w:val="9"/>
                <w:color w:val="auto"/>
              </w:rPr>
            </w:pPr>
          </w:p>
        </w:tc>
        <w:tc>
          <w:tcPr>
            <w:tcW w:w="2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200" w:type="dxa"/>
            <w:vAlign w:val="bottom"/>
            <w:gridSpan w:val="2"/>
            <w:vMerge w:val="restart"/>
          </w:tcPr>
          <w:p>
            <w:pPr>
              <w:ind w:left="100"/>
              <w:spacing w:after="0" w:line="149" w:lineRule="exact"/>
              <w:rPr>
                <w:sz w:val="20"/>
                <w:szCs w:val="20"/>
                <w:color w:val="auto"/>
              </w:rPr>
            </w:pPr>
            <w:r>
              <w:rPr>
                <w:rFonts w:ascii="Arial" w:cs="Arial" w:eastAsia="Arial" w:hAnsi="Arial"/>
                <w:sz w:val="14"/>
                <w:szCs w:val="14"/>
                <w:b w:val="1"/>
                <w:bCs w:val="1"/>
                <w:color w:val="auto"/>
                <w:w w:val="92"/>
              </w:rPr>
              <w:t>revenue standard</w:t>
            </w:r>
          </w:p>
        </w:tc>
        <w:tc>
          <w:tcPr>
            <w:tcW w:w="0" w:type="dxa"/>
            <w:vAlign w:val="bottom"/>
          </w:tcPr>
          <w:p>
            <w:pPr>
              <w:spacing w:after="0"/>
              <w:rPr>
                <w:sz w:val="1"/>
                <w:szCs w:val="1"/>
                <w:color w:val="auto"/>
              </w:rPr>
            </w:pPr>
          </w:p>
        </w:tc>
      </w:tr>
      <w:tr>
        <w:trPr>
          <w:trHeight w:val="43"/>
        </w:trPr>
        <w:tc>
          <w:tcPr>
            <w:tcW w:w="41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20" w:type="dxa"/>
            <w:vAlign w:val="bottom"/>
            <w:gridSpan w:val="2"/>
            <w:vMerge w:val="continue"/>
          </w:tcPr>
          <w:p>
            <w:pPr>
              <w:spacing w:after="0"/>
              <w:rPr>
                <w:sz w:val="3"/>
                <w:szCs w:val="3"/>
                <w:color w:val="auto"/>
              </w:rPr>
            </w:pPr>
          </w:p>
        </w:tc>
        <w:tc>
          <w:tcPr>
            <w:tcW w:w="160" w:type="dxa"/>
            <w:vAlign w:val="bottom"/>
          </w:tcPr>
          <w:p>
            <w:pPr>
              <w:spacing w:after="0"/>
              <w:rPr>
                <w:sz w:val="3"/>
                <w:szCs w:val="3"/>
                <w:color w:val="auto"/>
              </w:rPr>
            </w:pPr>
          </w:p>
        </w:tc>
        <w:tc>
          <w:tcPr>
            <w:tcW w:w="980" w:type="dxa"/>
            <w:vAlign w:val="bottom"/>
          </w:tcPr>
          <w:p>
            <w:pPr>
              <w:spacing w:after="0"/>
              <w:rPr>
                <w:sz w:val="3"/>
                <w:szCs w:val="3"/>
                <w:color w:val="auto"/>
              </w:rPr>
            </w:pPr>
          </w:p>
        </w:tc>
        <w:tc>
          <w:tcPr>
            <w:tcW w:w="2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92"/>
        </w:trPr>
        <w:tc>
          <w:tcPr>
            <w:tcW w:w="4120" w:type="dxa"/>
            <w:vAlign w:val="bottom"/>
          </w:tcPr>
          <w:p>
            <w:pPr>
              <w:ind w:left="40"/>
              <w:spacing w:after="0"/>
              <w:rPr>
                <w:sz w:val="20"/>
                <w:szCs w:val="20"/>
                <w:color w:val="auto"/>
              </w:rPr>
            </w:pPr>
            <w:r>
              <w:rPr>
                <w:rFonts w:ascii="Arial" w:cs="Arial" w:eastAsia="Arial" w:hAnsi="Arial"/>
                <w:sz w:val="14"/>
                <w:szCs w:val="14"/>
                <w:color w:val="auto"/>
              </w:rPr>
              <w:t>(In thousands, except per share amounts)</w:t>
            </w:r>
          </w:p>
        </w:tc>
        <w:tc>
          <w:tcPr>
            <w:tcW w:w="1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4"/>
              </w:rPr>
              <w:t>standard</w:t>
            </w:r>
          </w:p>
        </w:tc>
        <w:tc>
          <w:tcPr>
            <w:tcW w:w="16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4120" w:type="dxa"/>
            <w:vAlign w:val="bottom"/>
            <w:tcBorders>
              <w:top w:val="single" w:sz="8" w:color="auto"/>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Consolidated statement of operation:</w:t>
            </w: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1040" w:type="dxa"/>
            <w:vAlign w:val="bottom"/>
            <w:tcBorders>
              <w:top w:val="single" w:sz="8" w:color="auto"/>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spacing w:after="0"/>
              <w:rPr>
                <w:sz w:val="21"/>
                <w:szCs w:val="21"/>
                <w:color w:val="auto"/>
              </w:rPr>
            </w:pPr>
          </w:p>
        </w:tc>
        <w:tc>
          <w:tcPr>
            <w:tcW w:w="1040" w:type="dxa"/>
            <w:vAlign w:val="bottom"/>
            <w:tcBorders>
              <w:top w:val="single" w:sz="8" w:color="auto"/>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980" w:type="dxa"/>
            <w:vAlign w:val="bottom"/>
            <w:tcBorders>
              <w:top w:val="single" w:sz="8" w:color="auto"/>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spacing w:after="0"/>
              <w:rPr>
                <w:sz w:val="21"/>
                <w:szCs w:val="21"/>
                <w:color w:val="auto"/>
              </w:rPr>
            </w:pPr>
          </w:p>
        </w:tc>
        <w:tc>
          <w:tcPr>
            <w:tcW w:w="1040" w:type="dxa"/>
            <w:vAlign w:val="bottom"/>
            <w:tcBorders>
              <w:top w:val="single" w:sz="8" w:color="auto"/>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120" w:type="dxa"/>
            <w:vAlign w:val="bottom"/>
          </w:tcPr>
          <w:p>
            <w:pPr>
              <w:ind w:left="500"/>
              <w:spacing w:after="0"/>
              <w:rPr>
                <w:sz w:val="20"/>
                <w:szCs w:val="20"/>
                <w:color w:val="auto"/>
              </w:rPr>
            </w:pPr>
            <w:r>
              <w:rPr>
                <w:rFonts w:ascii="Arial" w:cs="Arial" w:eastAsia="Arial" w:hAnsi="Arial"/>
                <w:sz w:val="18"/>
                <w:szCs w:val="18"/>
                <w:color w:val="auto"/>
              </w:rPr>
              <w:t>Net revenue</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7"/>
              <w:spacing w:after="0"/>
              <w:rPr>
                <w:sz w:val="20"/>
                <w:szCs w:val="20"/>
                <w:color w:val="auto"/>
              </w:rPr>
            </w:pPr>
            <w:r>
              <w:rPr>
                <w:rFonts w:ascii="Arial" w:cs="Arial" w:eastAsia="Arial" w:hAnsi="Arial"/>
                <w:sz w:val="18"/>
                <w:szCs w:val="18"/>
                <w:color w:val="auto"/>
              </w:rPr>
              <w:t>665,310</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(2,002)</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39"/>
              <w:spacing w:after="0"/>
              <w:rPr>
                <w:sz w:val="20"/>
                <w:szCs w:val="20"/>
                <w:color w:val="auto"/>
              </w:rPr>
            </w:pPr>
            <w:r>
              <w:rPr>
                <w:rFonts w:ascii="Arial" w:cs="Arial" w:eastAsia="Arial" w:hAnsi="Arial"/>
                <w:sz w:val="18"/>
                <w:szCs w:val="18"/>
                <w:color w:val="auto"/>
              </w:rPr>
              <w:t>663,308</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7"/>
              <w:spacing w:after="0"/>
              <w:rPr>
                <w:sz w:val="20"/>
                <w:szCs w:val="20"/>
                <w:color w:val="auto"/>
              </w:rPr>
            </w:pPr>
            <w:r>
              <w:rPr>
                <w:rFonts w:ascii="Arial" w:cs="Arial" w:eastAsia="Arial" w:hAnsi="Arial"/>
                <w:sz w:val="18"/>
                <w:szCs w:val="18"/>
                <w:color w:val="auto"/>
              </w:rPr>
              <w:t>1,269,941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13"/>
              <w:spacing w:after="0"/>
              <w:rPr>
                <w:sz w:val="20"/>
                <w:szCs w:val="20"/>
                <w:color w:val="auto"/>
              </w:rPr>
            </w:pPr>
            <w:r>
              <w:rPr>
                <w:rFonts w:ascii="Arial" w:cs="Arial" w:eastAsia="Arial" w:hAnsi="Arial"/>
                <w:sz w:val="18"/>
                <w:szCs w:val="18"/>
                <w:color w:val="auto"/>
              </w:rPr>
              <w:t>(17,531)</w:t>
            </w:r>
          </w:p>
        </w:tc>
        <w:tc>
          <w:tcPr>
            <w:tcW w:w="280" w:type="dxa"/>
            <w:vAlign w:val="bottom"/>
          </w:tcPr>
          <w:p>
            <w:pPr>
              <w:ind w:left="10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w w:val="99"/>
              </w:rPr>
              <w:t>1,252,410</w:t>
            </w: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Cost of goods sold</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7"/>
              <w:spacing w:after="0"/>
              <w:rPr>
                <w:sz w:val="20"/>
                <w:szCs w:val="20"/>
                <w:color w:val="auto"/>
              </w:rPr>
            </w:pPr>
            <w:r>
              <w:rPr>
                <w:rFonts w:ascii="Arial" w:cs="Arial" w:eastAsia="Arial" w:hAnsi="Arial"/>
                <w:sz w:val="18"/>
                <w:szCs w:val="18"/>
                <w:color w:val="auto"/>
              </w:rPr>
              <w:t>288,200</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(2,099)</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286,101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517,138</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(5,495)</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511,643</w:t>
            </w:r>
          </w:p>
        </w:tc>
        <w:tc>
          <w:tcPr>
            <w:tcW w:w="0" w:type="dxa"/>
            <w:vAlign w:val="bottom"/>
          </w:tcPr>
          <w:p>
            <w:pPr>
              <w:spacing w:after="0"/>
              <w:rPr>
                <w:sz w:val="1"/>
                <w:szCs w:val="1"/>
                <w:color w:val="auto"/>
              </w:rPr>
            </w:pPr>
          </w:p>
        </w:tc>
      </w:tr>
      <w:tr>
        <w:trPr>
          <w:trHeight w:val="243"/>
        </w:trPr>
        <w:tc>
          <w:tcPr>
            <w:tcW w:w="4120" w:type="dxa"/>
            <w:vAlign w:val="bottom"/>
          </w:tcPr>
          <w:p>
            <w:pPr>
              <w:ind w:left="500"/>
              <w:spacing w:after="0"/>
              <w:rPr>
                <w:sz w:val="20"/>
                <w:szCs w:val="20"/>
                <w:color w:val="auto"/>
              </w:rPr>
            </w:pPr>
            <w:r>
              <w:rPr>
                <w:rFonts w:ascii="Arial" w:cs="Arial" w:eastAsia="Arial" w:hAnsi="Arial"/>
                <w:sz w:val="18"/>
                <w:szCs w:val="18"/>
                <w:color w:val="auto"/>
              </w:rPr>
              <w:t>Net income (loss)</w:t>
            </w:r>
          </w:p>
        </w:tc>
        <w:tc>
          <w:tcPr>
            <w:tcW w:w="160" w:type="dxa"/>
            <w:vAlign w:val="bottom"/>
          </w:tcPr>
          <w:p>
            <w:pPr>
              <w:spacing w:after="0"/>
              <w:rPr>
                <w:sz w:val="21"/>
                <w:szCs w:val="21"/>
                <w:color w:val="auto"/>
              </w:rPr>
            </w:pPr>
          </w:p>
        </w:tc>
        <w:tc>
          <w:tcPr>
            <w:tcW w:w="1040" w:type="dxa"/>
            <w:vAlign w:val="bottom"/>
          </w:tcPr>
          <w:p>
            <w:pPr>
              <w:jc w:val="right"/>
              <w:ind w:right="57"/>
              <w:spacing w:after="0"/>
              <w:rPr>
                <w:sz w:val="20"/>
                <w:szCs w:val="20"/>
                <w:color w:val="auto"/>
              </w:rPr>
            </w:pPr>
            <w:r>
              <w:rPr>
                <w:rFonts w:ascii="Arial" w:cs="Arial" w:eastAsia="Arial" w:hAnsi="Arial"/>
                <w:sz w:val="18"/>
                <w:szCs w:val="18"/>
                <w:color w:val="auto"/>
              </w:rPr>
              <w:t>6,759</w:t>
            </w:r>
          </w:p>
        </w:tc>
        <w:tc>
          <w:tcPr>
            <w:tcW w:w="240" w:type="dxa"/>
            <w:vAlign w:val="bottom"/>
          </w:tcPr>
          <w:p>
            <w:pPr>
              <w:spacing w:after="0"/>
              <w:rPr>
                <w:sz w:val="21"/>
                <w:szCs w:val="21"/>
                <w:color w:val="auto"/>
              </w:rPr>
            </w:pPr>
          </w:p>
        </w:tc>
        <w:tc>
          <w:tcPr>
            <w:tcW w:w="1040" w:type="dxa"/>
            <w:vAlign w:val="bottom"/>
          </w:tcPr>
          <w:p>
            <w:pPr>
              <w:jc w:val="right"/>
              <w:ind w:right="53"/>
              <w:spacing w:after="0"/>
              <w:rPr>
                <w:sz w:val="20"/>
                <w:szCs w:val="20"/>
                <w:color w:val="auto"/>
              </w:rPr>
            </w:pPr>
            <w:r>
              <w:rPr>
                <w:rFonts w:ascii="Arial" w:cs="Arial" w:eastAsia="Arial" w:hAnsi="Arial"/>
                <w:sz w:val="18"/>
                <w:szCs w:val="18"/>
                <w:color w:val="auto"/>
              </w:rPr>
              <w:t>97</w:t>
            </w:r>
          </w:p>
        </w:tc>
        <w:tc>
          <w:tcPr>
            <w:tcW w:w="180" w:type="dxa"/>
            <w:vAlign w:val="bottom"/>
          </w:tcPr>
          <w:p>
            <w:pPr>
              <w:spacing w:after="0"/>
              <w:rPr>
                <w:sz w:val="21"/>
                <w:szCs w:val="21"/>
                <w:color w:val="auto"/>
              </w:rPr>
            </w:pPr>
          </w:p>
        </w:tc>
        <w:tc>
          <w:tcPr>
            <w:tcW w:w="920" w:type="dxa"/>
            <w:vAlign w:val="bottom"/>
          </w:tcPr>
          <w:p>
            <w:pPr>
              <w:jc w:val="right"/>
              <w:ind w:right="39"/>
              <w:spacing w:after="0"/>
              <w:rPr>
                <w:sz w:val="20"/>
                <w:szCs w:val="20"/>
                <w:color w:val="auto"/>
              </w:rPr>
            </w:pPr>
            <w:r>
              <w:rPr>
                <w:rFonts w:ascii="Arial" w:cs="Arial" w:eastAsia="Arial" w:hAnsi="Arial"/>
                <w:sz w:val="18"/>
                <w:szCs w:val="18"/>
                <w:color w:val="auto"/>
              </w:rPr>
              <w:t>6,856</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jc w:val="right"/>
              <w:ind w:right="37"/>
              <w:spacing w:after="0"/>
              <w:rPr>
                <w:sz w:val="20"/>
                <w:szCs w:val="20"/>
                <w:color w:val="auto"/>
              </w:rPr>
            </w:pPr>
            <w:r>
              <w:rPr>
                <w:rFonts w:ascii="Arial" w:cs="Arial" w:eastAsia="Arial" w:hAnsi="Arial"/>
                <w:sz w:val="18"/>
                <w:szCs w:val="18"/>
                <w:color w:val="auto"/>
              </w:rPr>
              <w:t>135,371</w:t>
            </w:r>
          </w:p>
        </w:tc>
        <w:tc>
          <w:tcPr>
            <w:tcW w:w="240" w:type="dxa"/>
            <w:vAlign w:val="bottom"/>
          </w:tcPr>
          <w:p>
            <w:pPr>
              <w:spacing w:after="0"/>
              <w:rPr>
                <w:sz w:val="21"/>
                <w:szCs w:val="21"/>
                <w:color w:val="auto"/>
              </w:rPr>
            </w:pPr>
          </w:p>
        </w:tc>
        <w:tc>
          <w:tcPr>
            <w:tcW w:w="1040" w:type="dxa"/>
            <w:vAlign w:val="bottom"/>
          </w:tcPr>
          <w:p>
            <w:pPr>
              <w:jc w:val="right"/>
              <w:ind w:right="13"/>
              <w:spacing w:after="0"/>
              <w:rPr>
                <w:sz w:val="20"/>
                <w:szCs w:val="20"/>
                <w:color w:val="auto"/>
              </w:rPr>
            </w:pPr>
            <w:r>
              <w:rPr>
                <w:rFonts w:ascii="Arial" w:cs="Arial" w:eastAsia="Arial" w:hAnsi="Arial"/>
                <w:sz w:val="18"/>
                <w:szCs w:val="18"/>
                <w:color w:val="auto"/>
              </w:rPr>
              <w:t>(12,036)</w:t>
            </w:r>
          </w:p>
        </w:tc>
        <w:tc>
          <w:tcPr>
            <w:tcW w:w="28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123,335</w:t>
            </w:r>
          </w:p>
        </w:tc>
        <w:tc>
          <w:tcPr>
            <w:tcW w:w="0" w:type="dxa"/>
            <w:vAlign w:val="bottom"/>
          </w:tcPr>
          <w:p>
            <w:pPr>
              <w:spacing w:after="0"/>
              <w:rPr>
                <w:sz w:val="1"/>
                <w:szCs w:val="1"/>
                <w:color w:val="auto"/>
              </w:rPr>
            </w:pPr>
          </w:p>
        </w:tc>
      </w:tr>
      <w:tr>
        <w:trPr>
          <w:trHeight w:val="27"/>
        </w:trPr>
        <w:tc>
          <w:tcPr>
            <w:tcW w:w="4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Net income (loss) per share - Basic</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7"/>
              <w:spacing w:after="0"/>
              <w:rPr>
                <w:sz w:val="20"/>
                <w:szCs w:val="20"/>
                <w:color w:val="auto"/>
              </w:rPr>
            </w:pPr>
            <w:r>
              <w:rPr>
                <w:rFonts w:ascii="Arial" w:cs="Arial" w:eastAsia="Arial" w:hAnsi="Arial"/>
                <w:sz w:val="18"/>
                <w:szCs w:val="18"/>
                <w:color w:val="auto"/>
              </w:rPr>
              <w:t>0.01</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0.26</w:t>
            </w:r>
          </w:p>
        </w:tc>
        <w:tc>
          <w:tcPr>
            <w:tcW w:w="2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(0.02)</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43"/>
        </w:trPr>
        <w:tc>
          <w:tcPr>
            <w:tcW w:w="4120" w:type="dxa"/>
            <w:vAlign w:val="bottom"/>
          </w:tcPr>
          <w:p>
            <w:pPr>
              <w:ind w:left="500"/>
              <w:spacing w:after="0"/>
              <w:rPr>
                <w:sz w:val="20"/>
                <w:szCs w:val="20"/>
                <w:color w:val="auto"/>
              </w:rPr>
            </w:pPr>
            <w:r>
              <w:rPr>
                <w:rFonts w:ascii="Arial" w:cs="Arial" w:eastAsia="Arial" w:hAnsi="Arial"/>
                <w:sz w:val="18"/>
                <w:szCs w:val="18"/>
                <w:color w:val="auto"/>
              </w:rPr>
              <w:t>Net income (loss) per share - Diluted</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57"/>
              <w:spacing w:after="0"/>
              <w:rPr>
                <w:sz w:val="20"/>
                <w:szCs w:val="20"/>
                <w:color w:val="auto"/>
              </w:rPr>
            </w:pPr>
            <w:r>
              <w:rPr>
                <w:rFonts w:ascii="Arial" w:cs="Arial" w:eastAsia="Arial" w:hAnsi="Arial"/>
                <w:sz w:val="18"/>
                <w:szCs w:val="18"/>
                <w:color w:val="auto"/>
              </w:rPr>
              <w:t>0.01</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39"/>
              <w:spacing w:after="0"/>
              <w:rPr>
                <w:sz w:val="20"/>
                <w:szCs w:val="20"/>
                <w:color w:val="auto"/>
              </w:rPr>
            </w:pPr>
            <w:r>
              <w:rPr>
                <w:rFonts w:ascii="Arial" w:cs="Arial" w:eastAsia="Arial" w:hAnsi="Arial"/>
                <w:sz w:val="18"/>
                <w:szCs w:val="18"/>
                <w:color w:val="auto"/>
              </w:rPr>
              <w:t>0.01</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7"/>
              <w:spacing w:after="0"/>
              <w:rPr>
                <w:sz w:val="20"/>
                <w:szCs w:val="20"/>
                <w:color w:val="auto"/>
              </w:rPr>
            </w:pPr>
            <w:r>
              <w:rPr>
                <w:rFonts w:ascii="Arial" w:cs="Arial" w:eastAsia="Arial" w:hAnsi="Arial"/>
                <w:sz w:val="18"/>
                <w:szCs w:val="18"/>
                <w:color w:val="auto"/>
              </w:rPr>
              <w:t>0.25</w:t>
            </w:r>
          </w:p>
        </w:tc>
        <w:tc>
          <w:tcPr>
            <w:tcW w:w="240" w:type="dxa"/>
            <w:vAlign w:val="bottom"/>
          </w:tcPr>
          <w:p>
            <w:pPr>
              <w:jc w:val="right"/>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13"/>
              <w:spacing w:after="0"/>
              <w:rPr>
                <w:sz w:val="20"/>
                <w:szCs w:val="20"/>
                <w:color w:val="auto"/>
              </w:rPr>
            </w:pPr>
            <w:r>
              <w:rPr>
                <w:rFonts w:ascii="Arial" w:cs="Arial" w:eastAsia="Arial" w:hAnsi="Arial"/>
                <w:sz w:val="18"/>
                <w:szCs w:val="18"/>
                <w:color w:val="auto"/>
              </w:rPr>
              <w:t>(0.02)</w:t>
            </w:r>
          </w:p>
        </w:tc>
        <w:tc>
          <w:tcPr>
            <w:tcW w:w="280" w:type="dxa"/>
            <w:vAlign w:val="bottom"/>
          </w:tcPr>
          <w:p>
            <w:pPr>
              <w:ind w:left="100"/>
              <w:spacing w:after="0"/>
              <w:rPr>
                <w:sz w:val="20"/>
                <w:szCs w:val="20"/>
                <w:color w:val="auto"/>
              </w:rPr>
            </w:pPr>
            <w:r>
              <w:rPr>
                <w:rFonts w:ascii="Arial" w:cs="Arial" w:eastAsia="Arial" w:hAnsi="Arial"/>
                <w:sz w:val="18"/>
                <w:szCs w:val="18"/>
                <w:color w:val="auto"/>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140" w:firstLine="378"/>
        <w:spacing w:after="0" w:line="277" w:lineRule="auto"/>
        <w:rPr>
          <w:sz w:val="20"/>
          <w:szCs w:val="20"/>
          <w:color w:val="auto"/>
        </w:rPr>
      </w:pPr>
      <w:r>
        <w:rPr>
          <w:rFonts w:ascii="Arial" w:cs="Arial" w:eastAsia="Arial" w:hAnsi="Arial"/>
          <w:sz w:val="18"/>
          <w:szCs w:val="18"/>
          <w:color w:val="auto"/>
        </w:rPr>
        <w:t>Adoption of the new revenue standard had no impact to cash from or used in operating, financing, or investing activities on the condensed consolidated statements of cash flow.</w:t>
      </w:r>
    </w:p>
    <w:p>
      <w:pPr>
        <w:spacing w:after="0" w:line="116"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New Revenue Recognition Policy Including Significant Judgments and Estimates</w:t>
      </w:r>
    </w:p>
    <w:p>
      <w:pPr>
        <w:spacing w:after="0" w:line="185" w:lineRule="exact"/>
        <w:rPr>
          <w:sz w:val="20"/>
          <w:szCs w:val="20"/>
          <w:color w:val="auto"/>
        </w:rPr>
      </w:pPr>
    </w:p>
    <w:p>
      <w:pPr>
        <w:ind w:right="140" w:firstLine="378"/>
        <w:spacing w:after="0" w:line="302" w:lineRule="auto"/>
        <w:rPr>
          <w:sz w:val="20"/>
          <w:szCs w:val="20"/>
          <w:color w:val="auto"/>
        </w:rPr>
      </w:pPr>
      <w:r>
        <w:rPr>
          <w:rFonts w:ascii="Arial" w:cs="Arial" w:eastAsia="Arial" w:hAnsi="Arial"/>
          <w:sz w:val="16"/>
          <w:szCs w:val="16"/>
          <w:color w:val="auto"/>
        </w:rPr>
        <w:t>Through the fiscal year ended February 3, 2018, in accordance with ASC 605, Revenue Recognition, the Company recognized revenue when there was persuasive evidence of an arrangement, delivery had occurred, the fee was fixed or determinable, and collection was reasonably assured. If the Company granted extended payment terms greater than its standard terms for a customer such that collectability was not assured, the revenue was deferred upon shipment and would be recognized when the payment became due provided all other revenue recognition criteria had been satisfied.</w:t>
      </w:r>
    </w:p>
    <w:p>
      <w:pPr>
        <w:spacing w:after="0" w:line="154" w:lineRule="exact"/>
        <w:rPr>
          <w:sz w:val="20"/>
          <w:szCs w:val="20"/>
          <w:color w:val="auto"/>
        </w:rPr>
      </w:pPr>
    </w:p>
    <w:p>
      <w:pPr>
        <w:ind w:right="40" w:firstLine="378"/>
        <w:spacing w:after="0" w:line="293" w:lineRule="auto"/>
        <w:rPr>
          <w:sz w:val="20"/>
          <w:szCs w:val="20"/>
          <w:color w:val="auto"/>
        </w:rPr>
      </w:pPr>
      <w:r>
        <w:rPr>
          <w:rFonts w:ascii="Arial" w:cs="Arial" w:eastAsia="Arial" w:hAnsi="Arial"/>
          <w:sz w:val="16"/>
          <w:szCs w:val="16"/>
          <w:color w:val="auto"/>
        </w:rPr>
        <w:t>Product revenue was generally recognized upon shipment of product to customers, net of accruals for estimated sales returns and rebates. However, some of the Company’s sales were made through distributors under agreements allowing for price protection and limited rights of stock rotation on products unsold by the distributors. Product revenue on sales made through distributors were deferred until the distributors sold the product to end customers. Deferred revenue less the related cost of the inventories was reported as deferred income. The Company did not believe that there was any significant exposure related to impairment of deferred cost of sales, as its historical returns had been minimal and inventory turnover for its distributors generally ranged from 60 to 90 days. The Company’s sales to direct customers were made primarily pursuant to standard purchase orders for delivery of products.</w:t>
      </w: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130" w:right="239" w:bottom="1440" w:gutter="0" w:footer="0" w:header="0"/>
        </w:sectPr>
      </w:pPr>
    </w:p>
    <w:bookmarkStart w:id="17" w:name="page18"/>
    <w:bookmarkEnd w:id="1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As a result of the adoption of the new revenue standard on February 4, 2018, at the beginning of the first quarter of fiscal year 2019, the Company revised its revenue recognition policy. The Company now recognizes revenue upon transfer of control of promised products or services to customers in an amount that reflects the consideration the Company expects to receive in exchange for those products or services. Under the new revenue recognition standard, the Company applies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193" w:lineRule="exact"/>
        <w:rPr>
          <w:sz w:val="20"/>
          <w:szCs w:val="20"/>
          <w:color w:val="auto"/>
        </w:rPr>
      </w:pPr>
    </w:p>
    <w:p>
      <w:pPr>
        <w:ind w:right="40" w:firstLine="378"/>
        <w:spacing w:after="0" w:line="286" w:lineRule="auto"/>
        <w:rPr>
          <w:sz w:val="20"/>
          <w:szCs w:val="20"/>
          <w:color w:val="auto"/>
        </w:rPr>
      </w:pPr>
      <w:r>
        <w:rPr>
          <w:rFonts w:ascii="Arial" w:cs="Arial" w:eastAsia="Arial" w:hAnsi="Arial"/>
          <w:sz w:val="16"/>
          <w:szCs w:val="16"/>
          <w:color w:val="auto"/>
        </w:rPr>
        <w:t>The Company enters into contracts that may include various combinations of products and services that are capable of being distinct and accounted for as separate performance obligations. To date, the majority of the revenue has been generated by sales associated with storage and networking products.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The Company recognizes revenue when it satisfies a performance obligation by transferring control of a product to a customer in an amount that reflects the consideration to which the entity expects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 Some of the Company’s sales are made to distributors under agreements allowing for price protection, price discounts and limited rights of stock rotation on products unsold by the distributors. Control passes to the distributor upon shipment, and terms and payment by the Company’s distributors is not contingent on resale of the product. Product revenue on sales made to distributors with price protection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w:t>
      </w:r>
    </w:p>
    <w:p>
      <w:pPr>
        <w:spacing w:after="0" w:line="172" w:lineRule="exact"/>
        <w:rPr>
          <w:sz w:val="20"/>
          <w:szCs w:val="20"/>
          <w:color w:val="auto"/>
        </w:rPr>
      </w:pPr>
    </w:p>
    <w:p>
      <w:pPr>
        <w:ind w:right="60" w:firstLine="378"/>
        <w:spacing w:after="0" w:line="276" w:lineRule="auto"/>
        <w:rPr>
          <w:sz w:val="20"/>
          <w:szCs w:val="20"/>
          <w:color w:val="auto"/>
        </w:rPr>
      </w:pPr>
      <w:r>
        <w:rPr>
          <w:rFonts w:ascii="Arial" w:cs="Arial" w:eastAsia="Arial" w:hAnsi="Arial"/>
          <w:sz w:val="17"/>
          <w:szCs w:val="17"/>
          <w:color w:val="auto"/>
        </w:rPr>
        <w:t>The Company’s products are generally subject to warranty, which provides for the estimated future costs of replacement upon shipment of the product. The Company’s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for the periods presented.</w:t>
      </w:r>
    </w:p>
    <w:p>
      <w:pPr>
        <w:spacing w:after="0" w:line="11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Disaggregation of Revenue</w:t>
      </w:r>
    </w:p>
    <w:p>
      <w:pPr>
        <w:spacing w:after="0" w:line="18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22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product group (in thousands, except percentages):</w:t>
      </w:r>
    </w:p>
    <w:p>
      <w:pPr>
        <w:spacing w:after="0" w:line="200" w:lineRule="exact"/>
        <w:rPr>
          <w:sz w:val="20"/>
          <w:szCs w:val="20"/>
          <w:color w:val="auto"/>
        </w:rPr>
      </w:pPr>
    </w:p>
    <w:p>
      <w:pPr>
        <w:spacing w:after="0" w:line="273"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86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jc w:val="right"/>
              <w:ind w:right="708"/>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jc w:val="right"/>
              <w:ind w:right="688"/>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58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100" w:type="dxa"/>
            <w:vAlign w:val="bottom"/>
          </w:tcPr>
          <w:p>
            <w:pPr>
              <w:jc w:val="right"/>
              <w:ind w:right="76"/>
              <w:spacing w:after="0"/>
              <w:rPr>
                <w:sz w:val="20"/>
                <w:szCs w:val="20"/>
                <w:color w:val="auto"/>
              </w:rPr>
            </w:pPr>
            <w:r>
              <w:rPr>
                <w:rFonts w:ascii="Arial" w:cs="Arial" w:eastAsia="Arial" w:hAnsi="Arial"/>
                <w:sz w:val="14"/>
                <w:szCs w:val="14"/>
                <w:b w:val="1"/>
                <w:bCs w:val="1"/>
                <w:color w:val="auto"/>
                <w:w w:val="93"/>
              </w:rPr>
              <w:t>August 4, 2018</w:t>
            </w:r>
          </w:p>
        </w:tc>
        <w:tc>
          <w:tcPr>
            <w:tcW w:w="220" w:type="dxa"/>
            <w:vAlign w:val="bottom"/>
          </w:tcPr>
          <w:p>
            <w:pPr>
              <w:spacing w:after="0"/>
              <w:rPr>
                <w:sz w:val="22"/>
                <w:szCs w:val="22"/>
                <w:color w:val="auto"/>
              </w:rPr>
            </w:pPr>
          </w:p>
        </w:tc>
        <w:tc>
          <w:tcPr>
            <w:tcW w:w="1420" w:type="dxa"/>
            <w:vAlign w:val="bottom"/>
            <w:gridSpan w:val="2"/>
          </w:tcPr>
          <w:p>
            <w:pPr>
              <w:ind w:left="28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22"/>
                <w:szCs w:val="22"/>
                <w:color w:val="auto"/>
              </w:rPr>
            </w:pPr>
          </w:p>
        </w:tc>
        <w:tc>
          <w:tcPr>
            <w:tcW w:w="1100" w:type="dxa"/>
            <w:vAlign w:val="bottom"/>
          </w:tcPr>
          <w:p>
            <w:pPr>
              <w:jc w:val="right"/>
              <w:ind w:right="96"/>
              <w:spacing w:after="0"/>
              <w:rPr>
                <w:sz w:val="20"/>
                <w:szCs w:val="20"/>
                <w:color w:val="auto"/>
              </w:rPr>
            </w:pPr>
            <w:r>
              <w:rPr>
                <w:rFonts w:ascii="Arial" w:cs="Arial" w:eastAsia="Arial" w:hAnsi="Arial"/>
                <w:sz w:val="14"/>
                <w:szCs w:val="14"/>
                <w:b w:val="1"/>
                <w:bCs w:val="1"/>
                <w:color w:val="auto"/>
                <w:w w:val="91"/>
              </w:rPr>
              <w:t>August 4, 2018</w:t>
            </w:r>
          </w:p>
        </w:tc>
        <w:tc>
          <w:tcPr>
            <w:tcW w:w="220" w:type="dxa"/>
            <w:vAlign w:val="bottom"/>
          </w:tcPr>
          <w:p>
            <w:pPr>
              <w:spacing w:after="0"/>
              <w:rPr>
                <w:sz w:val="22"/>
                <w:szCs w:val="22"/>
                <w:color w:val="auto"/>
              </w:rPr>
            </w:pPr>
          </w:p>
        </w:tc>
        <w:tc>
          <w:tcPr>
            <w:tcW w:w="1200" w:type="dxa"/>
            <w:vAlign w:val="bottom"/>
          </w:tcPr>
          <w:p>
            <w:pPr>
              <w:jc w:val="right"/>
              <w:ind w:right="208"/>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586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Net revenue by product group:</w:t>
            </w: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860" w:type="dxa"/>
            <w:vAlign w:val="bottom"/>
          </w:tcPr>
          <w:p>
            <w:pPr>
              <w:ind w:left="380"/>
              <w:spacing w:after="0"/>
              <w:rPr>
                <w:sz w:val="20"/>
                <w:szCs w:val="20"/>
                <w:color w:val="auto"/>
              </w:rPr>
            </w:pPr>
            <w:r>
              <w:rPr>
                <w:rFonts w:ascii="Arial" w:cs="Arial" w:eastAsia="Arial" w:hAnsi="Arial"/>
                <w:sz w:val="18"/>
                <w:szCs w:val="18"/>
                <w:color w:val="auto"/>
              </w:rPr>
              <w:t>Storage (1)</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6"/>
              <w:spacing w:after="0"/>
              <w:rPr>
                <w:sz w:val="20"/>
                <w:szCs w:val="20"/>
                <w:color w:val="auto"/>
              </w:rPr>
            </w:pPr>
            <w:r>
              <w:rPr>
                <w:rFonts w:ascii="Arial" w:cs="Arial" w:eastAsia="Arial" w:hAnsi="Arial"/>
                <w:sz w:val="18"/>
                <w:szCs w:val="18"/>
                <w:color w:val="auto"/>
              </w:rPr>
              <w:t>335,764</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tcPr>
          <w:p>
            <w:pPr>
              <w:jc w:val="right"/>
              <w:ind w:right="36"/>
              <w:spacing w:after="0"/>
              <w:rPr>
                <w:sz w:val="20"/>
                <w:szCs w:val="20"/>
                <w:color w:val="auto"/>
              </w:rPr>
            </w:pPr>
            <w:r>
              <w:rPr>
                <w:rFonts w:ascii="Arial" w:cs="Arial" w:eastAsia="Arial" w:hAnsi="Arial"/>
                <w:sz w:val="18"/>
                <w:szCs w:val="18"/>
                <w:color w:val="auto"/>
              </w:rPr>
              <w:t>652,833</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51%</w:t>
            </w:r>
          </w:p>
        </w:tc>
      </w:tr>
      <w:tr>
        <w:trPr>
          <w:trHeight w:val="27"/>
        </w:trPr>
        <w:tc>
          <w:tcPr>
            <w:tcW w:w="58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8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Networking (2)</w:t>
            </w: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283,330</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527,558</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w:t>
            </w:r>
          </w:p>
        </w:tc>
      </w:tr>
      <w:tr>
        <w:trPr>
          <w:trHeight w:val="243"/>
        </w:trPr>
        <w:tc>
          <w:tcPr>
            <w:tcW w:w="5860" w:type="dxa"/>
            <w:vAlign w:val="bottom"/>
          </w:tcPr>
          <w:p>
            <w:pPr>
              <w:ind w:left="380"/>
              <w:spacing w:after="0"/>
              <w:rPr>
                <w:sz w:val="20"/>
                <w:szCs w:val="20"/>
                <w:color w:val="auto"/>
              </w:rPr>
            </w:pPr>
            <w:r>
              <w:rPr>
                <w:rFonts w:ascii="Arial" w:cs="Arial" w:eastAsia="Arial" w:hAnsi="Arial"/>
                <w:sz w:val="18"/>
                <w:szCs w:val="18"/>
                <w:color w:val="auto"/>
              </w:rPr>
              <w:t>Other (3)</w:t>
            </w:r>
          </w:p>
        </w:tc>
        <w:tc>
          <w:tcPr>
            <w:tcW w:w="140" w:type="dxa"/>
            <w:vAlign w:val="bottom"/>
          </w:tcPr>
          <w:p>
            <w:pPr>
              <w:spacing w:after="0"/>
              <w:rPr>
                <w:sz w:val="21"/>
                <w:szCs w:val="21"/>
                <w:color w:val="auto"/>
              </w:rPr>
            </w:pPr>
          </w:p>
        </w:tc>
        <w:tc>
          <w:tcPr>
            <w:tcW w:w="1100" w:type="dxa"/>
            <w:vAlign w:val="bottom"/>
          </w:tcPr>
          <w:p>
            <w:pPr>
              <w:jc w:val="right"/>
              <w:ind w:right="16"/>
              <w:spacing w:after="0"/>
              <w:rPr>
                <w:sz w:val="20"/>
                <w:szCs w:val="20"/>
                <w:color w:val="auto"/>
              </w:rPr>
            </w:pPr>
            <w:r>
              <w:rPr>
                <w:rFonts w:ascii="Arial" w:cs="Arial" w:eastAsia="Arial" w:hAnsi="Arial"/>
                <w:sz w:val="18"/>
                <w:szCs w:val="18"/>
                <w:color w:val="auto"/>
              </w:rPr>
              <w:t>46,216</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tcPr>
          <w:p>
            <w:pPr>
              <w:jc w:val="right"/>
              <w:ind w:right="36"/>
              <w:spacing w:after="0"/>
              <w:rPr>
                <w:sz w:val="20"/>
                <w:szCs w:val="20"/>
                <w:color w:val="auto"/>
              </w:rPr>
            </w:pPr>
            <w:r>
              <w:rPr>
                <w:rFonts w:ascii="Arial" w:cs="Arial" w:eastAsia="Arial" w:hAnsi="Arial"/>
                <w:sz w:val="18"/>
                <w:szCs w:val="18"/>
                <w:color w:val="auto"/>
              </w:rPr>
              <w:t>89,550</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7%</w:t>
            </w:r>
          </w:p>
        </w:tc>
      </w:tr>
      <w:tr>
        <w:trPr>
          <w:trHeight w:val="27"/>
        </w:trPr>
        <w:tc>
          <w:tcPr>
            <w:tcW w:w="586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0" w:type="dxa"/>
            <w:vAlign w:val="bottom"/>
            <w:tcBorders>
              <w:bottom w:val="single" w:sz="8" w:color="CCEEFF"/>
            </w:tcBorders>
          </w:tcPr>
          <w:p>
            <w:pPr>
              <w:spacing w:after="0"/>
              <w:rPr>
                <w:sz w:val="2"/>
                <w:szCs w:val="2"/>
                <w:color w:val="auto"/>
              </w:rPr>
            </w:pPr>
          </w:p>
        </w:tc>
      </w:tr>
      <w:tr>
        <w:trPr>
          <w:trHeight w:val="269"/>
        </w:trPr>
        <w:tc>
          <w:tcPr>
            <w:tcW w:w="586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665,310</w:t>
            </w: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1,269,941</w:t>
            </w: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spacing w:after="0"/>
              <w:rPr>
                <w:sz w:val="22"/>
                <w:szCs w:val="22"/>
                <w:color w:val="auto"/>
              </w:rPr>
            </w:pPr>
          </w:p>
        </w:tc>
      </w:tr>
      <w:tr>
        <w:trPr>
          <w:trHeight w:val="20"/>
        </w:trPr>
        <w:tc>
          <w:tcPr>
            <w:tcW w:w="58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0" w:type="dxa"/>
            <w:vAlign w:val="bottom"/>
            <w:tcBorders>
              <w:top w:val="single" w:sz="8" w:color="CCEEFF"/>
            </w:tcBorders>
          </w:tcPr>
          <w:p>
            <w:pPr>
              <w:spacing w:after="0" w:line="20" w:lineRule="exact"/>
              <w:rPr>
                <w:sz w:val="1"/>
                <w:szCs w:val="1"/>
                <w:color w:val="auto"/>
              </w:rPr>
            </w:pPr>
          </w:p>
        </w:tc>
      </w:tr>
    </w:tbl>
    <w:p>
      <w:pPr>
        <w:spacing w:after="0" w:line="364" w:lineRule="exact"/>
        <w:rPr>
          <w:sz w:val="20"/>
          <w:szCs w:val="20"/>
          <w:color w:val="auto"/>
        </w:rPr>
      </w:pPr>
    </w:p>
    <w:p>
      <w:pPr>
        <w:ind w:left="1140" w:hanging="322"/>
        <w:spacing w:after="0"/>
        <w:tabs>
          <w:tab w:leader="none" w:pos="1140" w:val="left"/>
        </w:tabs>
        <w:numPr>
          <w:ilvl w:val="0"/>
          <w:numId w:val="4"/>
        </w:numPr>
        <w:rPr>
          <w:rFonts w:ascii="Arial" w:cs="Arial" w:eastAsia="Arial" w:hAnsi="Arial"/>
          <w:sz w:val="18"/>
          <w:szCs w:val="18"/>
          <w:color w:val="auto"/>
        </w:rPr>
      </w:pPr>
      <w:r>
        <w:rPr>
          <w:rFonts w:ascii="Arial" w:cs="Arial" w:eastAsia="Arial" w:hAnsi="Arial"/>
          <w:sz w:val="18"/>
          <w:szCs w:val="18"/>
          <w:color w:val="auto"/>
        </w:rPr>
        <w:t>Storage products are comprised primarily of HDD, SSD Controllers, Fibre Channel Adapters and Data Center Storage Solutions.</w:t>
      </w:r>
    </w:p>
    <w:p>
      <w:pPr>
        <w:spacing w:after="0" w:line="23" w:lineRule="exact"/>
        <w:rPr>
          <w:rFonts w:ascii="Arial" w:cs="Arial" w:eastAsia="Arial" w:hAnsi="Arial"/>
          <w:sz w:val="18"/>
          <w:szCs w:val="18"/>
          <w:color w:val="auto"/>
        </w:rPr>
      </w:pPr>
    </w:p>
    <w:p>
      <w:pPr>
        <w:jc w:val="both"/>
        <w:ind w:left="1140" w:hanging="322"/>
        <w:spacing w:after="0" w:line="277" w:lineRule="auto"/>
        <w:tabs>
          <w:tab w:leader="none" w:pos="1140" w:val="left"/>
        </w:tabs>
        <w:numPr>
          <w:ilvl w:val="0"/>
          <w:numId w:val="4"/>
        </w:numPr>
        <w:rPr>
          <w:rFonts w:ascii="Arial" w:cs="Arial" w:eastAsia="Arial" w:hAnsi="Arial"/>
          <w:sz w:val="17"/>
          <w:szCs w:val="17"/>
          <w:color w:val="auto"/>
        </w:rPr>
      </w:pPr>
      <w:r>
        <w:rPr>
          <w:rFonts w:ascii="Arial" w:cs="Arial" w:eastAsia="Arial" w:hAnsi="Arial"/>
          <w:sz w:val="17"/>
          <w:szCs w:val="17"/>
          <w:color w:val="auto"/>
        </w:rPr>
        <w:t>Networking products are comprised primarily of Ethernet Switches, Ethernet Transceivers, Ethernet NICs, Embedded Communications and Infrastructure Processors, Automotive Ethernet, Security Adapters and Processors as well as Connectivity products. In addition, this grouping includes a few legacy product lines in which the Company no longer invests, but will generate revenue for several years.</w:t>
      </w:r>
    </w:p>
    <w:p>
      <w:pPr>
        <w:spacing w:after="0" w:line="2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130" w:right="239" w:bottom="1440" w:gutter="0" w:footer="0" w:header="0"/>
        </w:sectPr>
      </w:pPr>
    </w:p>
    <w:bookmarkStart w:id="18" w:name="page19"/>
    <w:bookmarkEnd w:id="1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820"/>
        <w:spacing w:after="0"/>
        <w:tabs>
          <w:tab w:leader="none" w:pos="1120" w:val="left"/>
        </w:tabs>
        <w:rPr>
          <w:sz w:val="20"/>
          <w:szCs w:val="20"/>
          <w:color w:val="auto"/>
        </w:rPr>
      </w:pPr>
      <w:r>
        <w:rPr>
          <w:rFonts w:ascii="Arial" w:cs="Arial" w:eastAsia="Arial" w:hAnsi="Arial"/>
          <w:sz w:val="18"/>
          <w:szCs w:val="18"/>
          <w:color w:val="auto"/>
        </w:rPr>
        <w:t>3)</w:t>
      </w:r>
      <w:r>
        <w:rPr>
          <w:sz w:val="20"/>
          <w:szCs w:val="20"/>
          <w:color w:val="auto"/>
        </w:rPr>
        <w:tab/>
      </w:r>
      <w:r>
        <w:rPr>
          <w:rFonts w:ascii="Arial" w:cs="Arial" w:eastAsia="Arial" w:hAnsi="Arial"/>
          <w:sz w:val="16"/>
          <w:szCs w:val="16"/>
          <w:color w:val="auto"/>
        </w:rPr>
        <w:t>Other products are comprised of primarily Printer Solutions, Application Processors and others.</w:t>
      </w:r>
    </w:p>
    <w:p>
      <w:pPr>
        <w:spacing w:after="0" w:line="225"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primary geographical market (in thousands, except percentages):</w:t>
      </w:r>
    </w:p>
    <w:p>
      <w:pPr>
        <w:spacing w:after="0" w:line="200" w:lineRule="exact"/>
        <w:rPr>
          <w:sz w:val="20"/>
          <w:szCs w:val="20"/>
          <w:color w:val="auto"/>
        </w:rPr>
      </w:pPr>
    </w:p>
    <w:p>
      <w:pPr>
        <w:spacing w:after="0" w:line="273"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86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jc w:val="right"/>
              <w:ind w:right="708"/>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jc w:val="right"/>
              <w:ind w:right="688"/>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58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100" w:type="dxa"/>
            <w:vAlign w:val="bottom"/>
          </w:tcPr>
          <w:p>
            <w:pPr>
              <w:jc w:val="right"/>
              <w:ind w:right="74"/>
              <w:spacing w:after="0"/>
              <w:rPr>
                <w:sz w:val="20"/>
                <w:szCs w:val="20"/>
                <w:color w:val="auto"/>
              </w:rPr>
            </w:pPr>
            <w:r>
              <w:rPr>
                <w:rFonts w:ascii="Arial" w:cs="Arial" w:eastAsia="Arial" w:hAnsi="Arial"/>
                <w:sz w:val="14"/>
                <w:szCs w:val="14"/>
                <w:b w:val="1"/>
                <w:bCs w:val="1"/>
                <w:color w:val="auto"/>
                <w:w w:val="93"/>
              </w:rPr>
              <w:t>August 4, 2018</w:t>
            </w:r>
          </w:p>
        </w:tc>
        <w:tc>
          <w:tcPr>
            <w:tcW w:w="220" w:type="dxa"/>
            <w:vAlign w:val="bottom"/>
          </w:tcPr>
          <w:p>
            <w:pPr>
              <w:spacing w:after="0"/>
              <w:rPr>
                <w:sz w:val="22"/>
                <w:szCs w:val="22"/>
                <w:color w:val="auto"/>
              </w:rPr>
            </w:pPr>
          </w:p>
        </w:tc>
        <w:tc>
          <w:tcPr>
            <w:tcW w:w="1420" w:type="dxa"/>
            <w:vAlign w:val="bottom"/>
            <w:gridSpan w:val="2"/>
          </w:tcPr>
          <w:p>
            <w:pPr>
              <w:ind w:left="28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22"/>
                <w:szCs w:val="22"/>
                <w:color w:val="auto"/>
              </w:rPr>
            </w:pPr>
          </w:p>
        </w:tc>
        <w:tc>
          <w:tcPr>
            <w:tcW w:w="1100" w:type="dxa"/>
            <w:vAlign w:val="bottom"/>
          </w:tcPr>
          <w:p>
            <w:pPr>
              <w:jc w:val="right"/>
              <w:ind w:right="94"/>
              <w:spacing w:after="0"/>
              <w:rPr>
                <w:sz w:val="20"/>
                <w:szCs w:val="20"/>
                <w:color w:val="auto"/>
              </w:rPr>
            </w:pPr>
            <w:r>
              <w:rPr>
                <w:rFonts w:ascii="Arial" w:cs="Arial" w:eastAsia="Arial" w:hAnsi="Arial"/>
                <w:sz w:val="14"/>
                <w:szCs w:val="14"/>
                <w:b w:val="1"/>
                <w:bCs w:val="1"/>
                <w:color w:val="auto"/>
                <w:w w:val="91"/>
              </w:rPr>
              <w:t>August 4, 2018</w:t>
            </w:r>
          </w:p>
        </w:tc>
        <w:tc>
          <w:tcPr>
            <w:tcW w:w="220" w:type="dxa"/>
            <w:vAlign w:val="bottom"/>
          </w:tcPr>
          <w:p>
            <w:pPr>
              <w:spacing w:after="0"/>
              <w:rPr>
                <w:sz w:val="22"/>
                <w:szCs w:val="22"/>
                <w:color w:val="auto"/>
              </w:rPr>
            </w:pPr>
          </w:p>
        </w:tc>
        <w:tc>
          <w:tcPr>
            <w:tcW w:w="1200" w:type="dxa"/>
            <w:vAlign w:val="bottom"/>
          </w:tcPr>
          <w:p>
            <w:pPr>
              <w:jc w:val="right"/>
              <w:ind w:right="208"/>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586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Net revenue based on destination of shipment:</w:t>
            </w: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860" w:type="dxa"/>
            <w:vAlign w:val="bottom"/>
          </w:tcPr>
          <w:p>
            <w:pPr>
              <w:ind w:left="380"/>
              <w:spacing w:after="0"/>
              <w:rPr>
                <w:sz w:val="20"/>
                <w:szCs w:val="20"/>
                <w:color w:val="auto"/>
              </w:rPr>
            </w:pPr>
            <w:r>
              <w:rPr>
                <w:rFonts w:ascii="Arial" w:cs="Arial" w:eastAsia="Arial" w:hAnsi="Arial"/>
                <w:sz w:val="18"/>
                <w:szCs w:val="18"/>
                <w:color w:val="auto"/>
              </w:rPr>
              <w:t>China</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4"/>
              <w:spacing w:after="0"/>
              <w:rPr>
                <w:sz w:val="20"/>
                <w:szCs w:val="20"/>
                <w:color w:val="auto"/>
              </w:rPr>
            </w:pPr>
            <w:r>
              <w:rPr>
                <w:rFonts w:ascii="Arial" w:cs="Arial" w:eastAsia="Arial" w:hAnsi="Arial"/>
                <w:sz w:val="18"/>
                <w:szCs w:val="18"/>
                <w:color w:val="auto"/>
              </w:rPr>
              <w:t>292,033</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2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34"/>
              <w:spacing w:after="0"/>
              <w:rPr>
                <w:sz w:val="20"/>
                <w:szCs w:val="20"/>
                <w:color w:val="auto"/>
              </w:rPr>
            </w:pPr>
            <w:r>
              <w:rPr>
                <w:rFonts w:ascii="Arial" w:cs="Arial" w:eastAsia="Arial" w:hAnsi="Arial"/>
                <w:sz w:val="18"/>
                <w:szCs w:val="18"/>
                <w:color w:val="auto"/>
              </w:rPr>
              <w:t>566,542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45%</w:t>
            </w:r>
          </w:p>
        </w:tc>
      </w:tr>
      <w:tr>
        <w:trPr>
          <w:trHeight w:val="27"/>
        </w:trPr>
        <w:tc>
          <w:tcPr>
            <w:tcW w:w="58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8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Malaysia</w:t>
            </w: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96,127</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186,750</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15%</w:t>
            </w:r>
          </w:p>
        </w:tc>
      </w:tr>
      <w:tr>
        <w:trPr>
          <w:trHeight w:val="243"/>
        </w:trPr>
        <w:tc>
          <w:tcPr>
            <w:tcW w:w="5860" w:type="dxa"/>
            <w:vAlign w:val="bottom"/>
          </w:tcPr>
          <w:p>
            <w:pPr>
              <w:ind w:left="380"/>
              <w:spacing w:after="0"/>
              <w:rPr>
                <w:sz w:val="20"/>
                <w:szCs w:val="20"/>
                <w:color w:val="auto"/>
              </w:rPr>
            </w:pPr>
            <w:r>
              <w:rPr>
                <w:rFonts w:ascii="Arial" w:cs="Arial" w:eastAsia="Arial" w:hAnsi="Arial"/>
                <w:sz w:val="18"/>
                <w:szCs w:val="18"/>
                <w:color w:val="auto"/>
              </w:rPr>
              <w:t>Philippines</w:t>
            </w:r>
          </w:p>
        </w:tc>
        <w:tc>
          <w:tcPr>
            <w:tcW w:w="140" w:type="dxa"/>
            <w:vAlign w:val="bottom"/>
          </w:tcPr>
          <w:p>
            <w:pPr>
              <w:spacing w:after="0"/>
              <w:rPr>
                <w:sz w:val="21"/>
                <w:szCs w:val="21"/>
                <w:color w:val="auto"/>
              </w:rPr>
            </w:pPr>
          </w:p>
        </w:tc>
        <w:tc>
          <w:tcPr>
            <w:tcW w:w="1100" w:type="dxa"/>
            <w:vAlign w:val="bottom"/>
          </w:tcPr>
          <w:p>
            <w:pPr>
              <w:jc w:val="right"/>
              <w:ind w:right="14"/>
              <w:spacing w:after="0"/>
              <w:rPr>
                <w:sz w:val="20"/>
                <w:szCs w:val="20"/>
                <w:color w:val="auto"/>
              </w:rPr>
            </w:pPr>
            <w:r>
              <w:rPr>
                <w:rFonts w:ascii="Arial" w:cs="Arial" w:eastAsia="Arial" w:hAnsi="Arial"/>
                <w:sz w:val="18"/>
                <w:szCs w:val="18"/>
                <w:color w:val="auto"/>
              </w:rPr>
              <w:t>55,416</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tcPr>
          <w:p>
            <w:pPr>
              <w:jc w:val="right"/>
              <w:ind w:right="34"/>
              <w:spacing w:after="0"/>
              <w:rPr>
                <w:sz w:val="20"/>
                <w:szCs w:val="20"/>
                <w:color w:val="auto"/>
              </w:rPr>
            </w:pPr>
            <w:r>
              <w:rPr>
                <w:rFonts w:ascii="Arial" w:cs="Arial" w:eastAsia="Arial" w:hAnsi="Arial"/>
                <w:sz w:val="18"/>
                <w:szCs w:val="18"/>
                <w:color w:val="auto"/>
              </w:rPr>
              <w:t>113,183</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9%</w:t>
            </w:r>
          </w:p>
        </w:tc>
      </w:tr>
      <w:tr>
        <w:trPr>
          <w:trHeight w:val="27"/>
        </w:trPr>
        <w:tc>
          <w:tcPr>
            <w:tcW w:w="58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8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Thailand</w:t>
            </w: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39,256</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80,790</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r>
      <w:tr>
        <w:trPr>
          <w:trHeight w:val="243"/>
        </w:trPr>
        <w:tc>
          <w:tcPr>
            <w:tcW w:w="5860" w:type="dxa"/>
            <w:vAlign w:val="bottom"/>
          </w:tcPr>
          <w:p>
            <w:pPr>
              <w:ind w:left="380"/>
              <w:spacing w:after="0"/>
              <w:rPr>
                <w:sz w:val="20"/>
                <w:szCs w:val="20"/>
                <w:color w:val="auto"/>
              </w:rPr>
            </w:pPr>
            <w:r>
              <w:rPr>
                <w:rFonts w:ascii="Arial" w:cs="Arial" w:eastAsia="Arial" w:hAnsi="Arial"/>
                <w:sz w:val="18"/>
                <w:szCs w:val="18"/>
                <w:color w:val="auto"/>
              </w:rPr>
              <w:t>United States</w:t>
            </w:r>
          </w:p>
        </w:tc>
        <w:tc>
          <w:tcPr>
            <w:tcW w:w="140" w:type="dxa"/>
            <w:vAlign w:val="bottom"/>
          </w:tcPr>
          <w:p>
            <w:pPr>
              <w:spacing w:after="0"/>
              <w:rPr>
                <w:sz w:val="21"/>
                <w:szCs w:val="21"/>
                <w:color w:val="auto"/>
              </w:rPr>
            </w:pPr>
          </w:p>
        </w:tc>
        <w:tc>
          <w:tcPr>
            <w:tcW w:w="1100" w:type="dxa"/>
            <w:vAlign w:val="bottom"/>
          </w:tcPr>
          <w:p>
            <w:pPr>
              <w:jc w:val="right"/>
              <w:ind w:right="14"/>
              <w:spacing w:after="0"/>
              <w:rPr>
                <w:sz w:val="20"/>
                <w:szCs w:val="20"/>
                <w:color w:val="auto"/>
              </w:rPr>
            </w:pPr>
            <w:r>
              <w:rPr>
                <w:rFonts w:ascii="Arial" w:cs="Arial" w:eastAsia="Arial" w:hAnsi="Arial"/>
                <w:sz w:val="18"/>
                <w:szCs w:val="18"/>
                <w:color w:val="auto"/>
              </w:rPr>
              <w:t>16,563</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2%</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tcPr>
          <w:p>
            <w:pPr>
              <w:jc w:val="right"/>
              <w:ind w:right="34"/>
              <w:spacing w:after="0"/>
              <w:rPr>
                <w:sz w:val="20"/>
                <w:szCs w:val="20"/>
                <w:color w:val="auto"/>
              </w:rPr>
            </w:pPr>
            <w:r>
              <w:rPr>
                <w:rFonts w:ascii="Arial" w:cs="Arial" w:eastAsia="Arial" w:hAnsi="Arial"/>
                <w:sz w:val="18"/>
                <w:szCs w:val="18"/>
                <w:color w:val="auto"/>
              </w:rPr>
              <w:t>32,592</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3%</w:t>
            </w:r>
          </w:p>
        </w:tc>
      </w:tr>
      <w:tr>
        <w:trPr>
          <w:trHeight w:val="27"/>
        </w:trPr>
        <w:tc>
          <w:tcPr>
            <w:tcW w:w="58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8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1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165,915</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290,084</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r>
      <w:tr>
        <w:trPr>
          <w:trHeight w:val="237"/>
        </w:trPr>
        <w:tc>
          <w:tcPr>
            <w:tcW w:w="586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665,310</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1,269,941</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r>
      <w:tr>
        <w:trPr>
          <w:trHeight w:val="27"/>
        </w:trPr>
        <w:tc>
          <w:tcPr>
            <w:tcW w:w="58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0"/>
        </w:trPr>
        <w:tc>
          <w:tcPr>
            <w:tcW w:w="58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r>
    </w:tbl>
    <w:p>
      <w:pPr>
        <w:spacing w:after="0" w:line="20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00" w:lineRule="exact"/>
        <w:rPr>
          <w:sz w:val="20"/>
          <w:szCs w:val="20"/>
          <w:color w:val="auto"/>
        </w:rPr>
      </w:pPr>
    </w:p>
    <w:p>
      <w:pPr>
        <w:spacing w:after="0" w:line="273"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86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ind w:left="42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jc w:val="right"/>
              <w:ind w:right="688"/>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58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100" w:type="dxa"/>
            <w:vAlign w:val="bottom"/>
          </w:tcPr>
          <w:p>
            <w:pPr>
              <w:ind w:left="20"/>
              <w:spacing w:after="0"/>
              <w:rPr>
                <w:sz w:val="20"/>
                <w:szCs w:val="20"/>
                <w:color w:val="auto"/>
              </w:rPr>
            </w:pPr>
            <w:r>
              <w:rPr>
                <w:rFonts w:ascii="Arial" w:cs="Arial" w:eastAsia="Arial" w:hAnsi="Arial"/>
                <w:sz w:val="14"/>
                <w:szCs w:val="14"/>
                <w:b w:val="1"/>
                <w:bCs w:val="1"/>
                <w:color w:val="auto"/>
              </w:rPr>
              <w:t>August 4, 2018</w:t>
            </w:r>
          </w:p>
        </w:tc>
        <w:tc>
          <w:tcPr>
            <w:tcW w:w="220" w:type="dxa"/>
            <w:vAlign w:val="bottom"/>
          </w:tcPr>
          <w:p>
            <w:pPr>
              <w:spacing w:after="0"/>
              <w:rPr>
                <w:sz w:val="22"/>
                <w:szCs w:val="22"/>
                <w:color w:val="auto"/>
              </w:rPr>
            </w:pPr>
          </w:p>
        </w:tc>
        <w:tc>
          <w:tcPr>
            <w:tcW w:w="1420" w:type="dxa"/>
            <w:vAlign w:val="bottom"/>
            <w:gridSpan w:val="2"/>
          </w:tcPr>
          <w:p>
            <w:pPr>
              <w:ind w:left="280"/>
              <w:spacing w:after="0"/>
              <w:rPr>
                <w:sz w:val="20"/>
                <w:szCs w:val="20"/>
                <w:color w:val="auto"/>
              </w:rPr>
            </w:pPr>
            <w:r>
              <w:rPr>
                <w:rFonts w:ascii="Arial" w:cs="Arial" w:eastAsia="Arial" w:hAnsi="Arial"/>
                <w:sz w:val="14"/>
                <w:szCs w:val="14"/>
                <w:b w:val="1"/>
                <w:bCs w:val="1"/>
                <w:color w:val="auto"/>
              </w:rPr>
              <w:t>% of Total</w:t>
            </w:r>
          </w:p>
        </w:tc>
        <w:tc>
          <w:tcPr>
            <w:tcW w:w="140" w:type="dxa"/>
            <w:vAlign w:val="bottom"/>
          </w:tcPr>
          <w:p>
            <w:pPr>
              <w:spacing w:after="0"/>
              <w:rPr>
                <w:sz w:val="22"/>
                <w:szCs w:val="22"/>
                <w:color w:val="auto"/>
              </w:rPr>
            </w:pPr>
          </w:p>
        </w:tc>
        <w:tc>
          <w:tcPr>
            <w:tcW w:w="1100" w:type="dxa"/>
            <w:vAlign w:val="bottom"/>
          </w:tcPr>
          <w:p>
            <w:pPr>
              <w:jc w:val="right"/>
              <w:ind w:right="97"/>
              <w:spacing w:after="0"/>
              <w:rPr>
                <w:sz w:val="20"/>
                <w:szCs w:val="20"/>
                <w:color w:val="auto"/>
              </w:rPr>
            </w:pPr>
            <w:r>
              <w:rPr>
                <w:rFonts w:ascii="Arial" w:cs="Arial" w:eastAsia="Arial" w:hAnsi="Arial"/>
                <w:sz w:val="14"/>
                <w:szCs w:val="14"/>
                <w:b w:val="1"/>
                <w:bCs w:val="1"/>
                <w:color w:val="auto"/>
                <w:w w:val="91"/>
              </w:rPr>
              <w:t>August 4, 2018</w:t>
            </w:r>
          </w:p>
        </w:tc>
        <w:tc>
          <w:tcPr>
            <w:tcW w:w="220" w:type="dxa"/>
            <w:vAlign w:val="bottom"/>
          </w:tcPr>
          <w:p>
            <w:pPr>
              <w:spacing w:after="0"/>
              <w:rPr>
                <w:sz w:val="22"/>
                <w:szCs w:val="22"/>
                <w:color w:val="auto"/>
              </w:rPr>
            </w:pPr>
          </w:p>
        </w:tc>
        <w:tc>
          <w:tcPr>
            <w:tcW w:w="1200" w:type="dxa"/>
            <w:vAlign w:val="bottom"/>
          </w:tcPr>
          <w:p>
            <w:pPr>
              <w:jc w:val="right"/>
              <w:ind w:right="208"/>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586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Net revenue by customer type:</w:t>
            </w: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860" w:type="dxa"/>
            <w:vAlign w:val="bottom"/>
          </w:tcPr>
          <w:p>
            <w:pPr>
              <w:ind w:left="380"/>
              <w:spacing w:after="0"/>
              <w:rPr>
                <w:sz w:val="20"/>
                <w:szCs w:val="20"/>
                <w:color w:val="auto"/>
              </w:rPr>
            </w:pPr>
            <w:r>
              <w:rPr>
                <w:rFonts w:ascii="Arial" w:cs="Arial" w:eastAsia="Arial" w:hAnsi="Arial"/>
                <w:sz w:val="18"/>
                <w:szCs w:val="18"/>
                <w:color w:val="auto"/>
              </w:rPr>
              <w:t>Direct customers</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ind w:left="400"/>
              <w:spacing w:after="0"/>
              <w:rPr>
                <w:sz w:val="20"/>
                <w:szCs w:val="20"/>
                <w:color w:val="auto"/>
              </w:rPr>
            </w:pPr>
            <w:r>
              <w:rPr>
                <w:rFonts w:ascii="Arial" w:cs="Arial" w:eastAsia="Arial" w:hAnsi="Arial"/>
                <w:sz w:val="18"/>
                <w:szCs w:val="18"/>
                <w:color w:val="auto"/>
              </w:rPr>
              <w:t>532,351</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80%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tcPr>
          <w:p>
            <w:pPr>
              <w:jc w:val="right"/>
              <w:ind w:right="37"/>
              <w:spacing w:after="0"/>
              <w:rPr>
                <w:sz w:val="20"/>
                <w:szCs w:val="20"/>
                <w:color w:val="auto"/>
              </w:rPr>
            </w:pPr>
            <w:r>
              <w:rPr>
                <w:rFonts w:ascii="Arial" w:cs="Arial" w:eastAsia="Arial" w:hAnsi="Arial"/>
                <w:sz w:val="18"/>
                <w:szCs w:val="18"/>
                <w:color w:val="auto"/>
              </w:rPr>
              <w:t>1,002,827</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79%</w:t>
            </w:r>
          </w:p>
        </w:tc>
      </w:tr>
      <w:tr>
        <w:trPr>
          <w:trHeight w:val="27"/>
        </w:trPr>
        <w:tc>
          <w:tcPr>
            <w:tcW w:w="58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8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Distributors</w:t>
            </w:r>
          </w:p>
        </w:tc>
        <w:tc>
          <w:tcPr>
            <w:tcW w:w="1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ind w:left="400"/>
              <w:spacing w:after="0"/>
              <w:rPr>
                <w:sz w:val="20"/>
                <w:szCs w:val="20"/>
                <w:color w:val="auto"/>
              </w:rPr>
            </w:pPr>
            <w:r>
              <w:rPr>
                <w:rFonts w:ascii="Arial" w:cs="Arial" w:eastAsia="Arial" w:hAnsi="Arial"/>
                <w:sz w:val="18"/>
                <w:szCs w:val="18"/>
                <w:color w:val="auto"/>
              </w:rPr>
              <w:t>132,959</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267,114</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r>
      <w:tr>
        <w:trPr>
          <w:trHeight w:val="237"/>
        </w:trPr>
        <w:tc>
          <w:tcPr>
            <w:tcW w:w="586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ind w:left="400"/>
              <w:spacing w:after="0"/>
              <w:rPr>
                <w:sz w:val="20"/>
                <w:szCs w:val="20"/>
                <w:color w:val="auto"/>
              </w:rPr>
            </w:pPr>
            <w:r>
              <w:rPr>
                <w:rFonts w:ascii="Arial" w:cs="Arial" w:eastAsia="Arial" w:hAnsi="Arial"/>
                <w:sz w:val="18"/>
                <w:szCs w:val="18"/>
                <w:color w:val="auto"/>
              </w:rPr>
              <w:t>665,310</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1,269,941</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r>
      <w:tr>
        <w:trPr>
          <w:trHeight w:val="27"/>
        </w:trPr>
        <w:tc>
          <w:tcPr>
            <w:tcW w:w="586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0"/>
        </w:trPr>
        <w:tc>
          <w:tcPr>
            <w:tcW w:w="58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r>
    </w:tbl>
    <w:p>
      <w:pPr>
        <w:spacing w:after="0" w:line="14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185" w:lineRule="exact"/>
        <w:rPr>
          <w:sz w:val="20"/>
          <w:szCs w:val="20"/>
          <w:color w:val="auto"/>
        </w:rPr>
      </w:pPr>
    </w:p>
    <w:p>
      <w:pPr>
        <w:ind w:right="60" w:firstLine="378"/>
        <w:spacing w:after="0" w:line="291"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August 4, 2018,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condensed consolidated balance sheets.</w:t>
      </w:r>
    </w:p>
    <w:p>
      <w:pPr>
        <w:spacing w:after="0" w:line="167" w:lineRule="exact"/>
        <w:rPr>
          <w:sz w:val="20"/>
          <w:szCs w:val="20"/>
          <w:color w:val="auto"/>
        </w:rPr>
      </w:pPr>
    </w:p>
    <w:p>
      <w:pPr>
        <w:ind w:right="80" w:firstLine="378"/>
        <w:spacing w:after="0" w:line="259"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2019 was $79.6 million. During the six months ended August 4, 2018, contract liabilities increased by $363.3 million associated with variable consideration estimates for additional shipments in the quarter, offset by $336.7 million decrease in such reserves primarily due to credit memos issued to customers. The ending balance of contract liabilities as of the second quarter ended in fiscal year 2019 was $106.2 million.</w:t>
      </w:r>
    </w:p>
    <w:p>
      <w:pPr>
        <w:spacing w:after="0" w:line="13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185" w:lineRule="exact"/>
        <w:rPr>
          <w:sz w:val="20"/>
          <w:szCs w:val="20"/>
          <w:color w:val="auto"/>
        </w:rPr>
      </w:pPr>
    </w:p>
    <w:p>
      <w:pPr>
        <w:ind w:right="60" w:firstLine="378"/>
        <w:spacing w:after="0" w:line="264" w:lineRule="auto"/>
        <w:rPr>
          <w:sz w:val="20"/>
          <w:szCs w:val="20"/>
          <w:color w:val="auto"/>
        </w:rPr>
      </w:pPr>
      <w:r>
        <w:rPr>
          <w:rFonts w:ascii="Arial" w:cs="Arial" w:eastAsia="Arial" w:hAnsi="Arial"/>
          <w:sz w:val="18"/>
          <w:szCs w:val="18"/>
          <w:color w:val="auto"/>
        </w:rPr>
        <w:t>Sales commissions are generally earned by the salespersons based on shipments to customers. The Company has elected to apply the practical expedient to expense these costs when incurred as the amortization period is typically one year or less. These costs are recorded in selling, general and administrative expenses in the condensed consolidated statements of operations.</w:t>
      </w:r>
    </w:p>
    <w:p>
      <w:pPr>
        <w:spacing w:after="0" w:line="200" w:lineRule="exact"/>
        <w:rPr>
          <w:sz w:val="20"/>
          <w:szCs w:val="20"/>
          <w:color w:val="auto"/>
        </w:r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130" w:right="239" w:bottom="1440" w:gutter="0" w:footer="0" w:header="0"/>
        </w:sectPr>
      </w:pPr>
    </w:p>
    <w:bookmarkStart w:id="19" w:name="page20"/>
    <w:bookmarkEnd w:id="1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Goodwill and Acquired Intangible Assets, Net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225" w:lineRule="exact"/>
        <w:rPr>
          <w:sz w:val="20"/>
          <w:szCs w:val="20"/>
          <w:color w:val="auto"/>
        </w:rPr>
      </w:pPr>
    </w:p>
    <w:p>
      <w:pPr>
        <w:ind w:right="360" w:firstLine="405"/>
        <w:spacing w:after="0" w:line="259" w:lineRule="auto"/>
        <w:rPr>
          <w:sz w:val="20"/>
          <w:szCs w:val="20"/>
          <w:color w:val="auto"/>
        </w:rPr>
      </w:pPr>
      <w:r>
        <w:rPr>
          <w:rFonts w:ascii="Arial" w:cs="Arial" w:eastAsia="Arial" w:hAnsi="Arial"/>
          <w:sz w:val="18"/>
          <w:szCs w:val="18"/>
          <w:color w:val="auto"/>
        </w:rPr>
        <w:t>Goodwill represents the excess of the purchase price over the fair value of the net tangible and identifiable intangible assets acquired in a business combination. The carrying value of goodwill as of August 4, 2018 and February 3, 2018 is $5.5 billion and $2.0 billion, respectively. The change in the carrying value of goodwill from February 3, 2018 to August 4, 2018 was due to the Cavium acquisition. See “Note 3 - Business Combination” for further discussion of the acquisition.</w:t>
      </w:r>
    </w:p>
    <w:p>
      <w:pPr>
        <w:spacing w:after="0" w:line="79"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117" w:lineRule="exact"/>
        <w:rPr>
          <w:sz w:val="20"/>
          <w:szCs w:val="20"/>
          <w:color w:val="auto"/>
        </w:rPr>
      </w:pPr>
    </w:p>
    <w:p>
      <w:pPr>
        <w:jc w:val="both"/>
        <w:ind w:right="40" w:firstLine="432"/>
        <w:spacing w:after="0" w:line="286" w:lineRule="auto"/>
        <w:rPr>
          <w:sz w:val="20"/>
          <w:szCs w:val="20"/>
          <w:color w:val="auto"/>
        </w:rPr>
      </w:pPr>
      <w:r>
        <w:rPr>
          <w:rFonts w:ascii="Arial" w:cs="Arial" w:eastAsia="Arial" w:hAnsi="Arial"/>
          <w:sz w:val="17"/>
          <w:szCs w:val="17"/>
          <w:color w:val="auto"/>
        </w:rPr>
        <w:t>There had been no new acquired intangible assets in fiscal year 2018, and as of February 3, 2018, the gross value of acquired intangible assets was fully amortized. In connection with the Cavium acquisition on July 6, 2018, the Company acquired $2.7 billion of intangible assets. As of the second quarter ended August 4, 2018, net carrying amounts are as follows (in thousands, except for weighted average remaining amortization period):</w:t>
      </w:r>
    </w:p>
    <w:p>
      <w:pPr>
        <w:spacing w:after="0" w:line="27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460" w:type="dxa"/>
            <w:vAlign w:val="bottom"/>
            <w:tcBorders>
              <w:bottom w:val="single" w:sz="8" w:color="auto"/>
            </w:tcBorders>
            <w:gridSpan w:val="4"/>
          </w:tcPr>
          <w:p>
            <w:pPr>
              <w:jc w:val="right"/>
              <w:ind w:right="554"/>
              <w:spacing w:after="0"/>
              <w:rPr>
                <w:sz w:val="20"/>
                <w:szCs w:val="20"/>
                <w:color w:val="auto"/>
              </w:rPr>
            </w:pPr>
            <w:r>
              <w:rPr>
                <w:rFonts w:ascii="Arial" w:cs="Arial" w:eastAsia="Arial" w:hAnsi="Arial"/>
                <w:sz w:val="14"/>
                <w:szCs w:val="14"/>
                <w:b w:val="1"/>
                <w:bCs w:val="1"/>
                <w:color w:val="auto"/>
              </w:rPr>
              <w:t>August 4, 2018</w:t>
            </w:r>
          </w:p>
        </w:tc>
        <w:tc>
          <w:tcPr>
            <w:tcW w:w="1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6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Gross Carrying</w:t>
            </w:r>
          </w:p>
        </w:tc>
        <w:tc>
          <w:tcPr>
            <w:tcW w:w="160" w:type="dxa"/>
            <w:vAlign w:val="bottom"/>
          </w:tcPr>
          <w:p>
            <w:pPr>
              <w:spacing w:after="0"/>
              <w:rPr>
                <w:sz w:val="13"/>
                <w:szCs w:val="13"/>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3"/>
                <w:szCs w:val="13"/>
                <w:color w:val="auto"/>
              </w:rPr>
            </w:pPr>
          </w:p>
        </w:tc>
        <w:tc>
          <w:tcPr>
            <w:tcW w:w="1100" w:type="dxa"/>
            <w:vAlign w:val="bottom"/>
            <w:vMerge w:val="restart"/>
          </w:tcPr>
          <w:p>
            <w:pPr>
              <w:jc w:val="right"/>
              <w:ind w:right="134"/>
              <w:spacing w:after="0"/>
              <w:rPr>
                <w:sz w:val="20"/>
                <w:szCs w:val="20"/>
                <w:color w:val="auto"/>
              </w:rPr>
            </w:pPr>
            <w:r>
              <w:rPr>
                <w:rFonts w:ascii="Arial" w:cs="Arial" w:eastAsia="Arial" w:hAnsi="Arial"/>
                <w:sz w:val="14"/>
                <w:szCs w:val="14"/>
                <w:b w:val="1"/>
                <w:bCs w:val="1"/>
                <w:color w:val="auto"/>
              </w:rPr>
              <w:t>Net Carrying</w:t>
            </w:r>
          </w:p>
        </w:tc>
        <w:tc>
          <w:tcPr>
            <w:tcW w:w="100" w:type="dxa"/>
            <w:vAlign w:val="bottom"/>
          </w:tcPr>
          <w:p>
            <w:pPr>
              <w:spacing w:after="0"/>
              <w:rPr>
                <w:sz w:val="13"/>
                <w:szCs w:val="13"/>
                <w:color w:val="auto"/>
              </w:rPr>
            </w:pPr>
          </w:p>
        </w:tc>
        <w:tc>
          <w:tcPr>
            <w:tcW w:w="17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10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62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Amounts</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Amortization</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1,743,000</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(18,984)</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1,724,016</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7.59</w:t>
            </w:r>
          </w:p>
        </w:tc>
        <w:tc>
          <w:tcPr>
            <w:tcW w:w="0" w:type="dxa"/>
            <w:vAlign w:val="bottom"/>
          </w:tcPr>
          <w:p>
            <w:pPr>
              <w:spacing w:after="0"/>
              <w:rPr>
                <w:sz w:val="1"/>
                <w:szCs w:val="1"/>
                <w:color w:val="auto"/>
              </w:rPr>
            </w:pP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120" w:type="dxa"/>
            <w:vAlign w:val="bottom"/>
          </w:tcPr>
          <w:p>
            <w:pPr>
              <w:spacing w:after="0"/>
              <w:rPr>
                <w:sz w:val="21"/>
                <w:szCs w:val="21"/>
                <w:color w:val="auto"/>
              </w:rPr>
            </w:pPr>
          </w:p>
        </w:tc>
        <w:tc>
          <w:tcPr>
            <w:tcW w:w="1140" w:type="dxa"/>
            <w:vAlign w:val="bottom"/>
          </w:tcPr>
          <w:p>
            <w:pPr>
              <w:jc w:val="right"/>
              <w:ind w:right="14"/>
              <w:spacing w:after="0"/>
              <w:rPr>
                <w:sz w:val="20"/>
                <w:szCs w:val="20"/>
                <w:color w:val="auto"/>
              </w:rPr>
            </w:pPr>
            <w:r>
              <w:rPr>
                <w:rFonts w:ascii="Arial" w:cs="Arial" w:eastAsia="Arial" w:hAnsi="Arial"/>
                <w:sz w:val="18"/>
                <w:szCs w:val="18"/>
                <w:color w:val="auto"/>
              </w:rPr>
              <w:t>465,000</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(6,501)</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00" w:type="dxa"/>
            <w:vAlign w:val="bottom"/>
          </w:tcPr>
          <w:p>
            <w:pPr>
              <w:jc w:val="right"/>
              <w:ind w:right="34"/>
              <w:spacing w:after="0"/>
              <w:rPr>
                <w:sz w:val="20"/>
                <w:szCs w:val="20"/>
                <w:color w:val="auto"/>
              </w:rPr>
            </w:pPr>
            <w:r>
              <w:rPr>
                <w:rFonts w:ascii="Arial" w:cs="Arial" w:eastAsia="Arial" w:hAnsi="Arial"/>
                <w:sz w:val="18"/>
                <w:szCs w:val="18"/>
                <w:color w:val="auto"/>
              </w:rPr>
              <w:t>458,499</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8.92</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1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(454)</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22,546</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4.32</w:t>
            </w:r>
          </w:p>
        </w:tc>
        <w:tc>
          <w:tcPr>
            <w:tcW w:w="0" w:type="dxa"/>
            <w:vAlign w:val="bottom"/>
          </w:tcPr>
          <w:p>
            <w:pPr>
              <w:spacing w:after="0"/>
              <w:rPr>
                <w:sz w:val="1"/>
                <w:szCs w:val="1"/>
                <w:color w:val="auto"/>
              </w:rPr>
            </w:pPr>
          </w:p>
        </w:tc>
      </w:tr>
      <w:tr>
        <w:trPr>
          <w:trHeight w:val="237"/>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2,231,000</w:t>
            </w:r>
          </w:p>
        </w:tc>
        <w:tc>
          <w:tcPr>
            <w:tcW w:w="1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(25,939)</w:t>
            </w:r>
          </w:p>
        </w:tc>
        <w:tc>
          <w:tcPr>
            <w:tcW w:w="1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2,205,061</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7.83</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1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513,000</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57"/>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8"/>
                <w:szCs w:val="18"/>
                <w:color w:val="auto"/>
              </w:rPr>
              <w:t>2,744,000</w:t>
            </w:r>
          </w:p>
        </w:tc>
        <w:tc>
          <w:tcPr>
            <w:tcW w:w="120" w:type="dxa"/>
            <w:vAlign w:val="bottom"/>
          </w:tcPr>
          <w:p>
            <w:pPr>
              <w:spacing w:after="0"/>
              <w:rPr>
                <w:sz w:val="22"/>
                <w:szCs w:val="22"/>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(25,939)</w:t>
            </w:r>
          </w:p>
        </w:tc>
        <w:tc>
          <w:tcPr>
            <w:tcW w:w="120" w:type="dxa"/>
            <w:vAlign w:val="bottom"/>
          </w:tcPr>
          <w:p>
            <w:pPr>
              <w:spacing w:after="0"/>
              <w:rPr>
                <w:sz w:val="22"/>
                <w:szCs w:val="22"/>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2,718,061</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6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580" w:firstLine="432"/>
        <w:spacing w:after="0" w:line="308" w:lineRule="auto"/>
        <w:rPr>
          <w:sz w:val="20"/>
          <w:szCs w:val="20"/>
          <w:color w:val="auto"/>
        </w:rPr>
      </w:pPr>
      <w:r>
        <w:rPr>
          <w:rFonts w:ascii="Arial" w:cs="Arial" w:eastAsia="Arial" w:hAnsi="Arial"/>
          <w:sz w:val="17"/>
          <w:szCs w:val="17"/>
          <w:color w:val="auto"/>
        </w:rPr>
        <w:t>Amortization expense from acquired intangible assets for the three and six months ended August 4, 2018 was $25.9 million. The following table presents the estimated future amortization expense of acquired amortizable intangible assets as of August 4, 2018 (in thousands):</w:t>
      </w: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Fiscal Year</w:t>
            </w:r>
          </w:p>
        </w:tc>
        <w:tc>
          <w:tcPr>
            <w:tcW w:w="100" w:type="dxa"/>
            <w:vAlign w:val="bottom"/>
            <w:tcBorders>
              <w:bottom w:val="single" w:sz="8" w:color="CCEEFF"/>
            </w:tcBorders>
          </w:tcPr>
          <w:p>
            <w:pPr>
              <w:spacing w:after="0"/>
              <w:rPr>
                <w:sz w:val="16"/>
                <w:szCs w:val="16"/>
                <w:color w:val="auto"/>
              </w:rPr>
            </w:pPr>
          </w:p>
        </w:tc>
        <w:tc>
          <w:tcPr>
            <w:tcW w:w="182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tcPr>
          <w:p>
            <w:pPr>
              <w:jc w:val="right"/>
              <w:ind w:right="1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08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Remainder of 2019</w:t>
            </w: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157,380</w:t>
            </w: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2020</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309,701</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2021</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301,580</w:t>
            </w: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2022</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293,024</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2023</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285,596</w:t>
            </w:r>
          </w:p>
        </w:tc>
      </w:tr>
      <w:tr>
        <w:trPr>
          <w:trHeight w:val="243"/>
        </w:trPr>
        <w:tc>
          <w:tcPr>
            <w:tcW w:w="7080" w:type="dxa"/>
            <w:vAlign w:val="bottom"/>
            <w:gridSpan w:val="2"/>
          </w:tcPr>
          <w:p>
            <w:pPr>
              <w:ind w:left="40"/>
              <w:spacing w:after="0"/>
              <w:rPr>
                <w:sz w:val="20"/>
                <w:szCs w:val="20"/>
                <w:color w:val="auto"/>
              </w:rPr>
            </w:pPr>
            <w:r>
              <w:rPr>
                <w:rFonts w:ascii="Arial" w:cs="Arial" w:eastAsia="Arial" w:hAnsi="Arial"/>
                <w:sz w:val="18"/>
                <w:szCs w:val="18"/>
                <w:color w:val="auto"/>
              </w:rPr>
              <w:t>Thereafter</w:t>
            </w: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857,780</w:t>
            </w:r>
          </w:p>
        </w:tc>
      </w:tr>
      <w:tr>
        <w:trPr>
          <w:trHeight w:val="27"/>
        </w:trPr>
        <w:tc>
          <w:tcPr>
            <w:tcW w:w="69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20" w:type="dxa"/>
            <w:vAlign w:val="bottom"/>
            <w:tcBorders>
              <w:bottom w:val="single" w:sz="8" w:color="auto"/>
            </w:tcBorders>
          </w:tcPr>
          <w:p>
            <w:pPr>
              <w:spacing w:after="0"/>
              <w:rPr>
                <w:sz w:val="2"/>
                <w:szCs w:val="2"/>
                <w:color w:val="auto"/>
              </w:rPr>
            </w:pPr>
          </w:p>
        </w:tc>
        <w:tc>
          <w:tcPr>
            <w:tcW w:w="2520" w:type="dxa"/>
            <w:vAlign w:val="bottom"/>
            <w:tcBorders>
              <w:bottom w:val="single" w:sz="8" w:color="auto"/>
            </w:tcBorders>
          </w:tcPr>
          <w:p>
            <w:pPr>
              <w:spacing w:after="0"/>
              <w:rPr>
                <w:sz w:val="2"/>
                <w:szCs w:val="2"/>
                <w:color w:val="auto"/>
              </w:rPr>
            </w:pPr>
          </w:p>
        </w:tc>
      </w:tr>
      <w:tr>
        <w:trPr>
          <w:trHeight w:val="269"/>
        </w:trPr>
        <w:tc>
          <w:tcPr>
            <w:tcW w:w="698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2,205,061</w:t>
            </w:r>
          </w:p>
        </w:tc>
      </w:tr>
      <w:tr>
        <w:trPr>
          <w:trHeight w:val="20"/>
        </w:trPr>
        <w:tc>
          <w:tcPr>
            <w:tcW w:w="69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20" w:type="dxa"/>
            <w:vAlign w:val="bottom"/>
            <w:tcBorders>
              <w:top w:val="single" w:sz="8" w:color="auto"/>
              <w:bottom w:val="single" w:sz="8" w:color="auto"/>
            </w:tcBorders>
          </w:tcPr>
          <w:p>
            <w:pPr>
              <w:spacing w:after="0" w:line="20" w:lineRule="exact"/>
              <w:rPr>
                <w:sz w:val="1"/>
                <w:szCs w:val="1"/>
                <w:color w:val="auto"/>
              </w:rPr>
            </w:pPr>
          </w:p>
        </w:tc>
        <w:tc>
          <w:tcPr>
            <w:tcW w:w="25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130" w:right="239" w:bottom="1440" w:gutter="0" w:footer="0" w:header="0"/>
        </w:sectPr>
      </w:pPr>
    </w:p>
    <w:bookmarkStart w:id="20" w:name="page21"/>
    <w:bookmarkEnd w:id="2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Restructuring and Other Related Charges</w:t>
      </w:r>
    </w:p>
    <w:p>
      <w:pPr>
        <w:spacing w:after="0" w:line="121" w:lineRule="exact"/>
        <w:rPr>
          <w:sz w:val="20"/>
          <w:szCs w:val="20"/>
          <w:color w:val="auto"/>
        </w:rPr>
      </w:pPr>
    </w:p>
    <w:p>
      <w:pPr>
        <w:ind w:right="140" w:firstLine="405"/>
        <w:spacing w:after="0" w:line="279" w:lineRule="auto"/>
        <w:rPr>
          <w:sz w:val="20"/>
          <w:szCs w:val="20"/>
          <w:color w:val="auto"/>
        </w:rPr>
      </w:pPr>
      <w:r>
        <w:rPr>
          <w:rFonts w:ascii="Arial" w:cs="Arial" w:eastAsia="Arial" w:hAnsi="Arial"/>
          <w:sz w:val="17"/>
          <w:szCs w:val="17"/>
          <w:color w:val="auto"/>
        </w:rPr>
        <w:t>The Company continuously evaluates its existing operations to increase operational efficiency, decrease costs and increase profitability. In connection with the Cavium acquisition, the Company recorded restructuring and other related charges of $35.4 million for the three months ended August 4, 2018. These restructuring costs consist of approximately $22.3 million in severance and related costs, $11.0 million in facilities and related costs, and $2.1 million in other exit-related costs. The Company expects to complete these restructuring actions by the end of fiscal 2020.</w:t>
      </w:r>
    </w:p>
    <w:p>
      <w:pPr>
        <w:spacing w:after="0" w:line="63" w:lineRule="exact"/>
        <w:rPr>
          <w:sz w:val="20"/>
          <w:szCs w:val="20"/>
          <w:color w:val="auto"/>
        </w:rPr>
      </w:pPr>
    </w:p>
    <w:p>
      <w:pPr>
        <w:ind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04"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170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1"/>
              </w:rPr>
              <w:t>Severance and related</w:t>
            </w:r>
          </w:p>
        </w:tc>
        <w:tc>
          <w:tcPr>
            <w:tcW w:w="180" w:type="dxa"/>
            <w:vAlign w:val="bottom"/>
          </w:tcPr>
          <w:p>
            <w:pPr>
              <w:spacing w:after="0"/>
              <w:rPr>
                <w:sz w:val="14"/>
                <w:szCs w:val="14"/>
                <w:color w:val="auto"/>
              </w:rPr>
            </w:pPr>
          </w:p>
        </w:tc>
        <w:tc>
          <w:tcPr>
            <w:tcW w:w="11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Facilities and</w:t>
            </w:r>
          </w:p>
        </w:tc>
        <w:tc>
          <w:tcPr>
            <w:tcW w:w="12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6"/>
              </w:rPr>
              <w:t>Other exit-related</w:t>
            </w:r>
          </w:p>
        </w:tc>
        <w:tc>
          <w:tcPr>
            <w:tcW w:w="280" w:type="dxa"/>
            <w:vAlign w:val="bottom"/>
          </w:tcPr>
          <w:p>
            <w:pPr>
              <w:spacing w:after="0"/>
              <w:rPr>
                <w:sz w:val="14"/>
                <w:szCs w:val="14"/>
                <w:color w:val="auto"/>
              </w:rPr>
            </w:pPr>
          </w:p>
        </w:tc>
        <w:tc>
          <w:tcPr>
            <w:tcW w:w="960" w:type="dxa"/>
            <w:vAlign w:val="bottom"/>
            <w:vMerge w:val="restart"/>
          </w:tcPr>
          <w:p>
            <w:pPr>
              <w:jc w:val="right"/>
              <w:ind w:right="3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34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81"/>
              </w:rPr>
              <w:t>costs</w:t>
            </w:r>
          </w:p>
        </w:tc>
        <w:tc>
          <w:tcPr>
            <w:tcW w:w="180" w:type="dxa"/>
            <w:vAlign w:val="bottom"/>
          </w:tcPr>
          <w:p>
            <w:pPr>
              <w:spacing w:after="0"/>
              <w:rPr>
                <w:sz w:val="16"/>
                <w:szCs w:val="16"/>
                <w:color w:val="auto"/>
              </w:rPr>
            </w:pPr>
          </w:p>
        </w:tc>
        <w:tc>
          <w:tcPr>
            <w:tcW w:w="11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7"/>
              </w:rPr>
              <w:t>related costs</w:t>
            </w:r>
          </w:p>
        </w:tc>
        <w:tc>
          <w:tcPr>
            <w:tcW w:w="120" w:type="dxa"/>
            <w:vAlign w:val="bottom"/>
          </w:tcPr>
          <w:p>
            <w:pPr>
              <w:spacing w:after="0"/>
              <w:rPr>
                <w:sz w:val="16"/>
                <w:szCs w:val="16"/>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76"/>
              </w:rPr>
              <w:t>costs</w:t>
            </w:r>
          </w:p>
        </w:tc>
        <w:tc>
          <w:tcPr>
            <w:tcW w:w="280" w:type="dxa"/>
            <w:vAlign w:val="bottom"/>
          </w:tcPr>
          <w:p>
            <w:pPr>
              <w:spacing w:after="0"/>
              <w:rPr>
                <w:sz w:val="16"/>
                <w:szCs w:val="16"/>
                <w:color w:val="auto"/>
              </w:rPr>
            </w:pPr>
          </w:p>
        </w:tc>
        <w:tc>
          <w:tcPr>
            <w:tcW w:w="9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3, 2018</w:t>
            </w:r>
          </w:p>
        </w:tc>
        <w:tc>
          <w:tcPr>
            <w:tcW w:w="360" w:type="dxa"/>
            <w:vAlign w:val="bottom"/>
            <w:tcBorders>
              <w:top w:val="single" w:sz="8" w:color="auto"/>
              <w:bottom w:val="single" w:sz="8" w:color="CCEEFF"/>
            </w:tcBorders>
            <w:shd w:val="clear" w:color="auto" w:fill="CCEEFF"/>
          </w:tcPr>
          <w:p>
            <w:pPr>
              <w:jc w:val="right"/>
              <w:ind w:right="174"/>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654</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462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555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1,671</w:t>
            </w:r>
          </w:p>
        </w:tc>
        <w:tc>
          <w:tcPr>
            <w:tcW w:w="0" w:type="dxa"/>
            <w:vAlign w:val="bottom"/>
          </w:tcPr>
          <w:p>
            <w:pPr>
              <w:spacing w:after="0"/>
              <w:rPr>
                <w:sz w:val="1"/>
                <w:szCs w:val="1"/>
                <w:color w:val="auto"/>
              </w:rPr>
            </w:pPr>
          </w:p>
        </w:tc>
      </w:tr>
      <w:tr>
        <w:trPr>
          <w:trHeight w:val="243"/>
        </w:trPr>
        <w:tc>
          <w:tcPr>
            <w:tcW w:w="5580" w:type="dxa"/>
            <w:vAlign w:val="bottom"/>
          </w:tcPr>
          <w:p>
            <w:pPr>
              <w:ind w:left="20"/>
              <w:spacing w:after="0"/>
              <w:rPr>
                <w:sz w:val="20"/>
                <w:szCs w:val="20"/>
                <w:color w:val="auto"/>
              </w:rPr>
            </w:pPr>
            <w:r>
              <w:rPr>
                <w:rFonts w:ascii="Arial" w:cs="Arial" w:eastAsia="Arial" w:hAnsi="Arial"/>
                <w:sz w:val="18"/>
                <w:szCs w:val="18"/>
                <w:color w:val="auto"/>
              </w:rPr>
              <w:t>Restructuring charges - continuing operations</w:t>
            </w:r>
          </w:p>
        </w:tc>
        <w:tc>
          <w:tcPr>
            <w:tcW w:w="36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24,057</w:t>
            </w: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4"/>
              <w:spacing w:after="0"/>
              <w:rPr>
                <w:sz w:val="20"/>
                <w:szCs w:val="20"/>
                <w:color w:val="auto"/>
              </w:rPr>
            </w:pPr>
            <w:r>
              <w:rPr>
                <w:rFonts w:ascii="Arial" w:cs="Arial" w:eastAsia="Arial" w:hAnsi="Arial"/>
                <w:sz w:val="18"/>
                <w:szCs w:val="18"/>
                <w:color w:val="auto"/>
              </w:rPr>
              <w:t>11,057</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262</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32"/>
              <w:spacing w:after="0"/>
              <w:rPr>
                <w:sz w:val="20"/>
                <w:szCs w:val="20"/>
                <w:color w:val="auto"/>
              </w:rPr>
            </w:pPr>
            <w:r>
              <w:rPr>
                <w:rFonts w:ascii="Arial" w:cs="Arial" w:eastAsia="Arial" w:hAnsi="Arial"/>
                <w:sz w:val="18"/>
                <w:szCs w:val="18"/>
                <w:color w:val="auto"/>
              </w:rPr>
              <w:t>35,376</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cash payments</w:t>
            </w:r>
          </w:p>
        </w:tc>
        <w:tc>
          <w:tcPr>
            <w:tcW w:w="3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(3,617)</w:t>
            </w:r>
          </w:p>
        </w:tc>
        <w:tc>
          <w:tcPr>
            <w:tcW w:w="2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(1,743)</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(5,901)</w:t>
            </w:r>
          </w:p>
        </w:tc>
        <w:tc>
          <w:tcPr>
            <w:tcW w:w="0" w:type="dxa"/>
            <w:vAlign w:val="bottom"/>
          </w:tcPr>
          <w:p>
            <w:pPr>
              <w:spacing w:after="0"/>
              <w:rPr>
                <w:sz w:val="1"/>
                <w:szCs w:val="1"/>
                <w:color w:val="auto"/>
              </w:rPr>
            </w:pPr>
          </w:p>
        </w:tc>
      </w:tr>
      <w:tr>
        <w:trPr>
          <w:trHeight w:val="243"/>
        </w:trPr>
        <w:tc>
          <w:tcPr>
            <w:tcW w:w="5580" w:type="dxa"/>
            <w:vAlign w:val="bottom"/>
          </w:tcPr>
          <w:p>
            <w:pPr>
              <w:ind w:left="20"/>
              <w:spacing w:after="0"/>
              <w:rPr>
                <w:sz w:val="20"/>
                <w:szCs w:val="20"/>
                <w:color w:val="auto"/>
              </w:rPr>
            </w:pPr>
            <w:r>
              <w:rPr>
                <w:rFonts w:ascii="Arial" w:cs="Arial" w:eastAsia="Arial" w:hAnsi="Arial"/>
                <w:sz w:val="18"/>
                <w:szCs w:val="18"/>
                <w:color w:val="auto"/>
              </w:rPr>
              <w:t>Release of reserves</w:t>
            </w:r>
          </w:p>
        </w:tc>
        <w:tc>
          <w:tcPr>
            <w:tcW w:w="36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(307)</w:t>
            </w: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(307)</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Exchange rate adjustment</w:t>
            </w:r>
          </w:p>
        </w:tc>
        <w:tc>
          <w:tcPr>
            <w:tcW w:w="36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2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37"/>
        </w:trPr>
        <w:tc>
          <w:tcPr>
            <w:tcW w:w="5580" w:type="dxa"/>
            <w:vAlign w:val="bottom"/>
          </w:tcPr>
          <w:p>
            <w:pPr>
              <w:ind w:left="20"/>
              <w:spacing w:after="0"/>
              <w:rPr>
                <w:sz w:val="20"/>
                <w:szCs w:val="20"/>
                <w:color w:val="auto"/>
              </w:rPr>
            </w:pPr>
            <w:r>
              <w:rPr>
                <w:rFonts w:ascii="Arial" w:cs="Arial" w:eastAsia="Arial" w:hAnsi="Arial"/>
                <w:sz w:val="18"/>
                <w:szCs w:val="18"/>
                <w:color w:val="auto"/>
              </w:rPr>
              <w:t>Balance at August 4, 2018</w:t>
            </w:r>
          </w:p>
        </w:tc>
        <w:tc>
          <w:tcPr>
            <w:tcW w:w="360" w:type="dxa"/>
            <w:vAlign w:val="bottom"/>
            <w:tcBorders>
              <w:top w:val="single" w:sz="8" w:color="auto"/>
            </w:tcBorders>
          </w:tcPr>
          <w:p>
            <w:pPr>
              <w:jc w:val="right"/>
              <w:ind w:right="174"/>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20,696</w:t>
            </w:r>
          </w:p>
        </w:tc>
        <w:tc>
          <w:tcPr>
            <w:tcW w:w="2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9,776</w:t>
            </w:r>
          </w:p>
        </w:tc>
        <w:tc>
          <w:tcPr>
            <w:tcW w:w="10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276</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30,748</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Less: non-current portion</w:t>
            </w:r>
          </w:p>
        </w:tc>
        <w:tc>
          <w:tcPr>
            <w:tcW w:w="360" w:type="dxa"/>
            <w:vAlign w:val="bottom"/>
            <w:tcBorders>
              <w:bottom w:val="single" w:sz="8" w:color="CCEEFF"/>
            </w:tcBorders>
            <w:shd w:val="clear" w:color="auto" w:fill="CCEEFF"/>
          </w:tcPr>
          <w:p>
            <w:pPr>
              <w:jc w:val="right"/>
              <w:ind w:right="174"/>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5,878</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5,878</w:t>
            </w:r>
          </w:p>
        </w:tc>
        <w:tc>
          <w:tcPr>
            <w:tcW w:w="0" w:type="dxa"/>
            <w:vAlign w:val="bottom"/>
          </w:tcPr>
          <w:p>
            <w:pPr>
              <w:spacing w:after="0"/>
              <w:rPr>
                <w:sz w:val="1"/>
                <w:szCs w:val="1"/>
                <w:color w:val="auto"/>
              </w:rPr>
            </w:pPr>
          </w:p>
        </w:tc>
      </w:tr>
      <w:tr>
        <w:trPr>
          <w:trHeight w:val="257"/>
        </w:trPr>
        <w:tc>
          <w:tcPr>
            <w:tcW w:w="5580" w:type="dxa"/>
            <w:vAlign w:val="bottom"/>
          </w:tcPr>
          <w:p>
            <w:pPr>
              <w:ind w:left="20"/>
              <w:spacing w:after="0"/>
              <w:rPr>
                <w:sz w:val="20"/>
                <w:szCs w:val="20"/>
                <w:color w:val="auto"/>
              </w:rPr>
            </w:pPr>
            <w:r>
              <w:rPr>
                <w:rFonts w:ascii="Arial" w:cs="Arial" w:eastAsia="Arial" w:hAnsi="Arial"/>
                <w:sz w:val="18"/>
                <w:szCs w:val="18"/>
                <w:color w:val="auto"/>
              </w:rPr>
              <w:t>Current portion</w:t>
            </w:r>
          </w:p>
        </w:tc>
        <w:tc>
          <w:tcPr>
            <w:tcW w:w="360" w:type="dxa"/>
            <w:vAlign w:val="bottom"/>
            <w:tcBorders>
              <w:top w:val="single" w:sz="8" w:color="auto"/>
              <w:bottom w:val="single" w:sz="8" w:color="auto"/>
            </w:tcBorders>
          </w:tcPr>
          <w:p>
            <w:pPr>
              <w:jc w:val="right"/>
              <w:ind w:right="174"/>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ind w:right="32"/>
              <w:spacing w:after="0"/>
              <w:rPr>
                <w:sz w:val="20"/>
                <w:szCs w:val="20"/>
                <w:color w:val="auto"/>
              </w:rPr>
            </w:pPr>
            <w:r>
              <w:rPr>
                <w:rFonts w:ascii="Arial" w:cs="Arial" w:eastAsia="Arial" w:hAnsi="Arial"/>
                <w:sz w:val="18"/>
                <w:szCs w:val="18"/>
                <w:color w:val="auto"/>
              </w:rPr>
              <w:t>20,696</w:t>
            </w:r>
          </w:p>
        </w:tc>
        <w:tc>
          <w:tcPr>
            <w:tcW w:w="2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3,898</w:t>
            </w:r>
          </w:p>
        </w:tc>
        <w:tc>
          <w:tcPr>
            <w:tcW w:w="100" w:type="dxa"/>
            <w:vAlign w:val="bottom"/>
          </w:tcPr>
          <w:p>
            <w:pPr>
              <w:spacing w:after="0"/>
              <w:rPr>
                <w:sz w:val="22"/>
                <w:szCs w:val="22"/>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8"/>
                <w:szCs w:val="18"/>
                <w:color w:val="auto"/>
              </w:rPr>
              <w:t>276</w:t>
            </w:r>
          </w:p>
        </w:tc>
        <w:tc>
          <w:tcPr>
            <w:tcW w:w="120" w:type="dxa"/>
            <w:vAlign w:val="bottom"/>
          </w:tcPr>
          <w:p>
            <w:pPr>
              <w:spacing w:after="0"/>
              <w:rPr>
                <w:sz w:val="22"/>
                <w:szCs w:val="22"/>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ind w:right="32"/>
              <w:spacing w:after="0"/>
              <w:rPr>
                <w:sz w:val="20"/>
                <w:szCs w:val="20"/>
                <w:color w:val="auto"/>
              </w:rPr>
            </w:pPr>
            <w:r>
              <w:rPr>
                <w:rFonts w:ascii="Arial" w:cs="Arial" w:eastAsia="Arial" w:hAnsi="Arial"/>
                <w:sz w:val="18"/>
                <w:szCs w:val="18"/>
                <w:color w:val="auto"/>
              </w:rPr>
              <w:t>24,870</w:t>
            </w:r>
          </w:p>
        </w:tc>
        <w:tc>
          <w:tcPr>
            <w:tcW w:w="0" w:type="dxa"/>
            <w:vAlign w:val="bottom"/>
          </w:tcPr>
          <w:p>
            <w:pPr>
              <w:spacing w:after="0"/>
              <w:rPr>
                <w:sz w:val="1"/>
                <w:szCs w:val="1"/>
                <w:color w:val="auto"/>
              </w:rPr>
            </w:pPr>
          </w:p>
        </w:tc>
      </w:tr>
      <w:tr>
        <w:trPr>
          <w:trHeight w:val="20"/>
        </w:trPr>
        <w:tc>
          <w:tcPr>
            <w:tcW w:w="558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40" w:firstLine="405"/>
        <w:spacing w:after="0" w:line="264" w:lineRule="auto"/>
        <w:rPr>
          <w:sz w:val="20"/>
          <w:szCs w:val="20"/>
          <w:color w:val="auto"/>
        </w:rPr>
      </w:pPr>
      <w:r>
        <w:rPr>
          <w:rFonts w:ascii="Arial" w:cs="Arial" w:eastAsia="Arial" w:hAnsi="Arial"/>
          <w:sz w:val="18"/>
          <w:szCs w:val="18"/>
          <w:color w:val="auto"/>
        </w:rPr>
        <w:t>The remaining accrued severance and related costs and the other exit-related costs are expected to be paid in fiscal 2019. The remaining accrued facility and related costs includes remaining payments under lease obligations related to vacated space that are expected to be paid through fiscal 2028, net of estimated sub-lease income.</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Supplemental Financial Information (in thousands)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4,</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37"/>
              <w:spacing w:after="0"/>
              <w:rPr>
                <w:sz w:val="20"/>
                <w:szCs w:val="20"/>
                <w:color w:val="auto"/>
              </w:rPr>
            </w:pPr>
            <w:r>
              <w:rPr>
                <w:rFonts w:ascii="Arial" w:cs="Arial" w:eastAsia="Arial" w:hAnsi="Arial"/>
                <w:sz w:val="18"/>
                <w:szCs w:val="18"/>
                <w:color w:val="auto"/>
              </w:rPr>
              <w:t>257,906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103,711</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215,523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66,328</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inventories</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473,429</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170,039</w:t>
            </w:r>
          </w:p>
        </w:tc>
      </w:tr>
      <w:tr>
        <w:trPr>
          <w:trHeight w:val="27"/>
        </w:trPr>
        <w:tc>
          <w:tcPr>
            <w:tcW w:w="83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inventory balance at August 4, 2018 includes $200.4 million related to the inventory step-up adjustment from the Cavium acquisition.</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2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4,</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3,</w:t>
            </w:r>
          </w:p>
        </w:tc>
        <w:tc>
          <w:tcPr>
            <w:tcW w:w="0" w:type="dxa"/>
            <w:vAlign w:val="bottom"/>
          </w:tcPr>
          <w:p>
            <w:pPr>
              <w:spacing w:after="0"/>
              <w:rPr>
                <w:sz w:val="1"/>
                <w:szCs w:val="1"/>
                <w:color w:val="auto"/>
              </w:rPr>
            </w:pPr>
          </w:p>
        </w:tc>
      </w:tr>
      <w:tr>
        <w:trPr>
          <w:trHeight w:val="192"/>
        </w:trPr>
        <w:tc>
          <w:tcPr>
            <w:tcW w:w="4620" w:type="dxa"/>
            <w:vAlign w:val="bottom"/>
            <w:tcBorders>
              <w:bottom w:val="single" w:sz="8" w:color="CCEEFF"/>
            </w:tcBorders>
          </w:tcPr>
          <w:p>
            <w:pPr>
              <w:spacing w:after="0"/>
              <w:rPr>
                <w:sz w:val="16"/>
                <w:szCs w:val="16"/>
                <w:color w:val="auto"/>
              </w:rPr>
            </w:pPr>
          </w:p>
        </w:tc>
        <w:tc>
          <w:tcPr>
            <w:tcW w:w="37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37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62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398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609,376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535,416</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3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 buildings, and leasehold improvements</w:t>
            </w:r>
          </w:p>
        </w:tc>
        <w:tc>
          <w:tcPr>
            <w:tcW w:w="37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279,880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247,675</w:t>
            </w:r>
          </w:p>
        </w:tc>
        <w:tc>
          <w:tcPr>
            <w:tcW w:w="0" w:type="dxa"/>
            <w:vAlign w:val="bottom"/>
          </w:tcPr>
          <w:p>
            <w:pPr>
              <w:spacing w:after="0"/>
              <w:rPr>
                <w:sz w:val="1"/>
                <w:szCs w:val="1"/>
                <w:color w:val="auto"/>
              </w:rPr>
            </w:pPr>
          </w:p>
        </w:tc>
      </w:tr>
      <w:tr>
        <w:trPr>
          <w:trHeight w:val="243"/>
        </w:trPr>
        <w:tc>
          <w:tcPr>
            <w:tcW w:w="462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37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102,943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98,253</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3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37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27,235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21,139</w:t>
            </w:r>
          </w:p>
        </w:tc>
        <w:tc>
          <w:tcPr>
            <w:tcW w:w="0" w:type="dxa"/>
            <w:vAlign w:val="bottom"/>
          </w:tcPr>
          <w:p>
            <w:pPr>
              <w:spacing w:after="0"/>
              <w:rPr>
                <w:sz w:val="1"/>
                <w:szCs w:val="1"/>
                <w:color w:val="auto"/>
              </w:rPr>
            </w:pPr>
          </w:p>
        </w:tc>
      </w:tr>
      <w:tr>
        <w:trPr>
          <w:trHeight w:val="237"/>
        </w:trPr>
        <w:tc>
          <w:tcPr>
            <w:tcW w:w="4620" w:type="dxa"/>
            <w:vAlign w:val="bottom"/>
          </w:tcPr>
          <w:p>
            <w:pPr>
              <w:spacing w:after="0"/>
              <w:rPr>
                <w:sz w:val="20"/>
                <w:szCs w:val="20"/>
                <w:color w:val="auto"/>
              </w:rPr>
            </w:pPr>
          </w:p>
        </w:tc>
        <w:tc>
          <w:tcPr>
            <w:tcW w:w="37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1,019,434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902,483</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3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Accumulated depreciation and amortization</w:t>
            </w:r>
          </w:p>
        </w:tc>
        <w:tc>
          <w:tcPr>
            <w:tcW w:w="37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(691,789)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(700,261)</w:t>
            </w:r>
          </w:p>
        </w:tc>
        <w:tc>
          <w:tcPr>
            <w:tcW w:w="0" w:type="dxa"/>
            <w:vAlign w:val="bottom"/>
          </w:tcPr>
          <w:p>
            <w:pPr>
              <w:spacing w:after="0"/>
              <w:rPr>
                <w:sz w:val="1"/>
                <w:szCs w:val="1"/>
                <w:color w:val="auto"/>
              </w:rPr>
            </w:pPr>
          </w:p>
        </w:tc>
      </w:tr>
      <w:tr>
        <w:trPr>
          <w:trHeight w:val="237"/>
        </w:trPr>
        <w:tc>
          <w:tcPr>
            <w:tcW w:w="4620" w:type="dxa"/>
            <w:vAlign w:val="bottom"/>
          </w:tcPr>
          <w:p>
            <w:pPr>
              <w:ind w:left="40"/>
              <w:spacing w:after="0"/>
              <w:rPr>
                <w:sz w:val="20"/>
                <w:szCs w:val="20"/>
                <w:color w:val="auto"/>
              </w:rPr>
            </w:pPr>
            <w:r>
              <w:rPr>
                <w:rFonts w:ascii="Arial" w:cs="Arial" w:eastAsia="Arial" w:hAnsi="Arial"/>
                <w:sz w:val="18"/>
                <w:szCs w:val="18"/>
                <w:color w:val="auto"/>
              </w:rPr>
              <w:t>Total property and equipment, net</w:t>
            </w:r>
          </w:p>
        </w:tc>
        <w:tc>
          <w:tcPr>
            <w:tcW w:w="37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327,645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202,222</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3700" w:type="dxa"/>
            <w:vAlign w:val="bottom"/>
            <w:vMerge w:val="restart"/>
          </w:tcPr>
          <w:p>
            <w:pPr>
              <w:jc w:val="right"/>
              <w:ind w:right="2430"/>
              <w:spacing w:after="0"/>
              <w:rPr>
                <w:sz w:val="20"/>
                <w:szCs w:val="20"/>
                <w:color w:val="auto"/>
              </w:rPr>
            </w:pPr>
            <w:r>
              <w:rPr>
                <w:rFonts w:ascii="Arial" w:cs="Arial" w:eastAsia="Arial" w:hAnsi="Arial"/>
                <w:sz w:val="18"/>
                <w:szCs w:val="18"/>
                <w:color w:val="auto"/>
              </w:rPr>
              <w:t>19</w:t>
            </w: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4620" w:type="dxa"/>
            <w:vAlign w:val="bottom"/>
          </w:tcPr>
          <w:p>
            <w:pPr>
              <w:spacing w:after="0" w:line="20" w:lineRule="exact"/>
              <w:rPr>
                <w:sz w:val="1"/>
                <w:szCs w:val="1"/>
                <w:color w:val="auto"/>
              </w:rPr>
            </w:pPr>
          </w:p>
        </w:tc>
        <w:tc>
          <w:tcPr>
            <w:tcW w:w="3700" w:type="dxa"/>
            <w:vAlign w:val="bottom"/>
            <w:vMerge w:val="continue"/>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56"/>
        </w:trPr>
        <w:tc>
          <w:tcPr>
            <w:tcW w:w="4620" w:type="dxa"/>
            <w:vAlign w:val="bottom"/>
          </w:tcPr>
          <w:p>
            <w:pPr>
              <w:spacing w:after="0"/>
              <w:rPr>
                <w:sz w:val="24"/>
                <w:szCs w:val="24"/>
                <w:color w:val="auto"/>
              </w:rPr>
            </w:pPr>
          </w:p>
        </w:tc>
        <w:tc>
          <w:tcPr>
            <w:tcW w:w="370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130" w:right="259" w:bottom="1440" w:gutter="0" w:footer="0" w:header="0"/>
        </w:sectPr>
      </w:pPr>
    </w:p>
    <w:bookmarkStart w:id="21" w:name="page22"/>
    <w:bookmarkEnd w:id="2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Current accrued liabilities are comprised of the following at August 4, 2018 and February 3, 2018, respectively:</w:t>
      </w:r>
    </w:p>
    <w:p>
      <w:pPr>
        <w:spacing w:after="0" w:line="366"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4,</w:t>
            </w:r>
          </w:p>
        </w:tc>
        <w:tc>
          <w:tcPr>
            <w:tcW w:w="240" w:type="dxa"/>
            <w:vAlign w:val="bottom"/>
          </w:tcPr>
          <w:p>
            <w:pPr>
              <w:spacing w:after="0"/>
              <w:rPr>
                <w:sz w:val="14"/>
                <w:szCs w:val="14"/>
                <w:color w:val="auto"/>
              </w:rPr>
            </w:pPr>
          </w:p>
        </w:tc>
        <w:tc>
          <w:tcPr>
            <w:tcW w:w="1220" w:type="dxa"/>
            <w:vAlign w:val="bottom"/>
          </w:tcPr>
          <w:p>
            <w:pPr>
              <w:jc w:val="right"/>
              <w:ind w:right="293"/>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2018</w:t>
            </w: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Contract liabilities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106,191</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Technology license obligations</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76,050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28,488</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Accrued royalties</w:t>
            </w: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18,003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11,860</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rebates (1)</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9,292</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Accrued legal related expenses</w:t>
            </w: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14,664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13,050</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Unsettled investment trades (2)</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4,497</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Restructuring liabilities</w:t>
            </w: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24,870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1,612</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income tax payable</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9,735</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959</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Other</w:t>
            </w: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Arial" w:cs="Arial" w:eastAsia="Arial" w:hAnsi="Arial"/>
                <w:sz w:val="18"/>
                <w:szCs w:val="18"/>
                <w:color w:val="auto"/>
              </w:rPr>
              <w:t>27,585</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17,200</w:t>
            </w:r>
          </w:p>
        </w:tc>
      </w:tr>
      <w:tr>
        <w:trPr>
          <w:trHeight w:val="27"/>
        </w:trPr>
        <w:tc>
          <w:tcPr>
            <w:tcW w:w="83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accrued liabilities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277,098</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86,958</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260" w:hanging="252"/>
        <w:spacing w:after="0"/>
        <w:tabs>
          <w:tab w:leader="none" w:pos="260" w:val="left"/>
        </w:tabs>
        <w:numPr>
          <w:ilvl w:val="0"/>
          <w:numId w:val="5"/>
        </w:numPr>
        <w:rPr>
          <w:rFonts w:ascii="Arial" w:cs="Arial" w:eastAsia="Arial" w:hAnsi="Arial"/>
          <w:sz w:val="17"/>
          <w:szCs w:val="17"/>
          <w:color w:val="auto"/>
        </w:rPr>
      </w:pPr>
      <w:r>
        <w:rPr>
          <w:rFonts w:ascii="Arial" w:cs="Arial" w:eastAsia="Arial" w:hAnsi="Arial"/>
          <w:sz w:val="17"/>
          <w:szCs w:val="17"/>
          <w:color w:val="auto"/>
        </w:rPr>
        <w:t>Accrued rebates are classified as part of contract liabilities beginning in fiscal year 2019 upon adoption of the new revenue recognition standard.</w:t>
      </w:r>
    </w:p>
    <w:p>
      <w:pPr>
        <w:spacing w:after="0" w:line="236" w:lineRule="exact"/>
        <w:rPr>
          <w:rFonts w:ascii="Arial" w:cs="Arial" w:eastAsia="Arial" w:hAnsi="Arial"/>
          <w:sz w:val="17"/>
          <w:szCs w:val="17"/>
          <w:color w:val="auto"/>
        </w:rPr>
      </w:pPr>
    </w:p>
    <w:p>
      <w:pPr>
        <w:ind w:left="260" w:hanging="252"/>
        <w:spacing w:after="0"/>
        <w:tabs>
          <w:tab w:leader="none" w:pos="260" w:val="left"/>
        </w:tabs>
        <w:numPr>
          <w:ilvl w:val="0"/>
          <w:numId w:val="5"/>
        </w:numPr>
        <w:rPr>
          <w:rFonts w:ascii="Arial" w:cs="Arial" w:eastAsia="Arial" w:hAnsi="Arial"/>
          <w:sz w:val="17"/>
          <w:szCs w:val="17"/>
          <w:color w:val="auto"/>
        </w:rPr>
      </w:pPr>
      <w:r>
        <w:rPr>
          <w:rFonts w:ascii="Arial" w:cs="Arial" w:eastAsia="Arial" w:hAnsi="Arial"/>
          <w:sz w:val="17"/>
          <w:szCs w:val="17"/>
          <w:color w:val="auto"/>
        </w:rPr>
        <w:t>Unsettled investment trades represent amounts owed to third parties for investment purchases for which cash settlement has not yet occurred.</w:t>
      </w:r>
    </w:p>
    <w:p>
      <w:pPr>
        <w:spacing w:after="0" w:line="200" w:lineRule="exact"/>
        <w:rPr>
          <w:sz w:val="20"/>
          <w:szCs w:val="20"/>
          <w:color w:val="auto"/>
        </w:rPr>
      </w:pPr>
    </w:p>
    <w:p>
      <w:pPr>
        <w:spacing w:after="0" w:line="24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w:t>
      </w:r>
    </w:p>
    <w:p>
      <w:pPr>
        <w:spacing w:after="0" w:line="163" w:lineRule="exact"/>
        <w:rPr>
          <w:sz w:val="20"/>
          <w:szCs w:val="20"/>
          <w:color w:val="auto"/>
        </w:rPr>
      </w:pPr>
    </w:p>
    <w:p>
      <w:pPr>
        <w:jc w:val="center"/>
        <w:ind w:left="10060"/>
        <w:spacing w:after="0"/>
        <w:rPr>
          <w:sz w:val="20"/>
          <w:szCs w:val="20"/>
          <w:color w:val="auto"/>
        </w:rPr>
      </w:pPr>
      <w:r>
        <w:rPr>
          <w:rFonts w:ascii="Arial" w:cs="Arial" w:eastAsia="Arial" w:hAnsi="Arial"/>
          <w:sz w:val="14"/>
          <w:szCs w:val="14"/>
          <w:b w:val="1"/>
          <w:bCs w:val="1"/>
          <w:color w:val="auto"/>
        </w:rPr>
        <w:t>Unrealized Gain</w:t>
      </w:r>
    </w:p>
    <w:p>
      <w:pPr>
        <w:jc w:val="center"/>
        <w:ind w:left="10060"/>
        <w:spacing w:after="0" w:line="226" w:lineRule="auto"/>
        <w:rPr>
          <w:sz w:val="20"/>
          <w:szCs w:val="20"/>
          <w:color w:val="auto"/>
        </w:rPr>
      </w:pPr>
      <w:r>
        <w:rPr>
          <w:rFonts w:ascii="Arial" w:cs="Arial" w:eastAsia="Arial" w:hAnsi="Arial"/>
          <w:sz w:val="14"/>
          <w:szCs w:val="14"/>
          <w:b w:val="1"/>
          <w:bCs w:val="1"/>
          <w:color w:val="auto"/>
        </w:rPr>
        <w:t>(Loss) on</w:t>
      </w:r>
    </w:p>
    <w:p>
      <w:pPr>
        <w:jc w:val="center"/>
        <w:ind w:left="10060"/>
        <w:spacing w:after="0" w:line="222" w:lineRule="auto"/>
        <w:rPr>
          <w:sz w:val="20"/>
          <w:szCs w:val="20"/>
          <w:color w:val="auto"/>
        </w:rPr>
      </w:pPr>
      <w:r>
        <w:rPr>
          <w:rFonts w:ascii="Arial" w:cs="Arial" w:eastAsia="Arial" w:hAnsi="Arial"/>
          <w:sz w:val="14"/>
          <w:szCs w:val="14"/>
          <w:b w:val="1"/>
          <w:bCs w:val="1"/>
          <w:color w:val="auto"/>
        </w:rPr>
        <w:t>Marketable</w:t>
      </w:r>
    </w:p>
    <w:p>
      <w:pPr>
        <w:jc w:val="center"/>
        <w:ind w:left="10060"/>
        <w:spacing w:after="0"/>
        <w:rPr>
          <w:sz w:val="20"/>
          <w:szCs w:val="20"/>
          <w:color w:val="auto"/>
        </w:rPr>
      </w:pPr>
      <w:r>
        <w:rPr>
          <w:rFonts w:ascii="Arial" w:cs="Arial" w:eastAsia="Arial" w:hAnsi="Arial"/>
          <w:sz w:val="14"/>
          <w:szCs w:val="14"/>
          <w:b w:val="1"/>
          <w:bCs w:val="1"/>
          <w:color w:val="auto"/>
        </w:rPr>
        <w:t>Securities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1803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ectPr>
          <w:pgSz w:w="11900" w:h="16838" w:orient="portrait"/>
          <w:cols w:equalWidth="0" w:num="1">
            <w:col w:w="11420"/>
          </w:cols>
          <w:pgMar w:left="240" w:top="130" w:right="239" w:bottom="1440" w:gutter="0" w:footer="0" w:header="0"/>
        </w:sectPr>
      </w:pP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color w:val="auto"/>
        </w:rPr>
        <w:t>Balance at February 3, 2018</w:t>
      </w:r>
    </w:p>
    <w:p>
      <w:pPr>
        <w:spacing w:after="0" w:line="7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Other comprehensive loss before reclassifications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246620" cy="171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pacing w:after="0" w:line="43" w:lineRule="exact"/>
        <w:rPr>
          <w:sz w:val="20"/>
          <w:szCs w:val="20"/>
          <w:color w:val="auto"/>
        </w:rPr>
      </w:pPr>
    </w:p>
    <w:p>
      <w:pPr>
        <w:ind w:left="720" w:right="760" w:hanging="323"/>
        <w:spacing w:after="0" w:line="361" w:lineRule="auto"/>
        <w:rPr>
          <w:sz w:val="20"/>
          <w:szCs w:val="20"/>
          <w:color w:val="auto"/>
        </w:rPr>
      </w:pPr>
      <w:r>
        <w:rPr>
          <w:rFonts w:ascii="Arial" w:cs="Arial" w:eastAsia="Arial" w:hAnsi="Arial"/>
          <w:sz w:val="16"/>
          <w:szCs w:val="16"/>
          <w:color w:val="auto"/>
        </w:rPr>
        <w:t>Amounts reclassified from accumulated other comprehensive gain Net current-period other comprehensive gain, net of tax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7246620" cy="18859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188595"/>
                    </a:xfrm>
                    <a:prstGeom prst="rect">
                      <a:avLst/>
                    </a:prstGeom>
                    <a:noFill/>
                  </pic:spPr>
                </pic:pic>
              </a:graphicData>
            </a:graphic>
          </wp:anchor>
        </w:drawing>
      </w:r>
    </w:p>
    <w:p>
      <w:pPr>
        <w:ind w:left="40"/>
        <w:spacing w:after="0"/>
        <w:rPr>
          <w:sz w:val="20"/>
          <w:szCs w:val="20"/>
          <w:color w:val="auto"/>
        </w:rPr>
      </w:pPr>
      <w:r>
        <w:rPr>
          <w:rFonts w:ascii="Arial" w:cs="Arial" w:eastAsia="Arial" w:hAnsi="Arial"/>
          <w:sz w:val="18"/>
          <w:szCs w:val="18"/>
          <w:color w:val="auto"/>
        </w:rPr>
        <w:t>Balance at August 4,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563880</wp:posOffset>
            </wp:positionV>
            <wp:extent cx="7246620" cy="1803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40"/>
        <w:spacing w:after="0"/>
        <w:rPr>
          <w:sz w:val="20"/>
          <w:szCs w:val="20"/>
          <w:color w:val="auto"/>
        </w:rPr>
      </w:pPr>
      <w:r>
        <w:rPr>
          <w:rFonts w:ascii="Arial" w:cs="Arial" w:eastAsia="Arial" w:hAnsi="Arial"/>
          <w:sz w:val="18"/>
          <w:szCs w:val="18"/>
          <w:color w:val="auto"/>
        </w:rPr>
        <w:t>Balance at January 28, 2017</w:t>
      </w:r>
    </w:p>
    <w:p>
      <w:pPr>
        <w:spacing w:after="0" w:line="7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Other comprehensive income (loss) before reclassifications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246620" cy="1714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pacing w:after="0" w:line="43" w:lineRule="exact"/>
        <w:rPr>
          <w:sz w:val="20"/>
          <w:szCs w:val="20"/>
          <w:color w:val="auto"/>
        </w:rPr>
      </w:pPr>
    </w:p>
    <w:p>
      <w:pPr>
        <w:ind w:left="380"/>
        <w:spacing w:after="0"/>
        <w:rPr>
          <w:sz w:val="20"/>
          <w:szCs w:val="20"/>
          <w:color w:val="auto"/>
        </w:rPr>
      </w:pPr>
      <w:r>
        <w:rPr>
          <w:rFonts w:ascii="Arial" w:cs="Arial" w:eastAsia="Arial" w:hAnsi="Arial"/>
          <w:sz w:val="16"/>
          <w:szCs w:val="16"/>
          <w:color w:val="auto"/>
        </w:rPr>
        <w:t>Amounts reclassified from accumulated other comprehensive income (loss)</w:t>
      </w:r>
    </w:p>
    <w:p>
      <w:pPr>
        <w:spacing w:after="0" w:line="20" w:lineRule="exact"/>
        <w:rPr>
          <w:sz w:val="20"/>
          <w:szCs w:val="20"/>
          <w:color w:val="auto"/>
        </w:rPr>
      </w:pPr>
      <w:r>
        <w:rPr>
          <w:sz w:val="20"/>
          <w:szCs w:val="20"/>
          <w:color w:val="auto"/>
        </w:rPr>
        <w:br w:type="column"/>
      </w:r>
    </w:p>
    <w:p>
      <w:pPr>
        <w:spacing w:after="0" w:line="2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2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(2,322)</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(733)</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ind w:right="12"/>
              <w:spacing w:after="0"/>
              <w:rPr>
                <w:sz w:val="20"/>
                <w:szCs w:val="20"/>
                <w:color w:val="auto"/>
              </w:rPr>
            </w:pPr>
            <w:r>
              <w:rPr>
                <w:rFonts w:ascii="Arial" w:cs="Arial" w:eastAsia="Arial" w:hAnsi="Arial"/>
                <w:sz w:val="18"/>
                <w:szCs w:val="18"/>
                <w:color w:val="auto"/>
              </w:rPr>
              <w:t>3,055</w:t>
            </w:r>
          </w:p>
        </w:tc>
        <w:tc>
          <w:tcPr>
            <w:tcW w:w="0" w:type="dxa"/>
            <w:vAlign w:val="bottom"/>
          </w:tcPr>
          <w:p>
            <w:pPr>
              <w:spacing w:after="0"/>
              <w:rPr>
                <w:sz w:val="1"/>
                <w:szCs w:val="1"/>
                <w:color w:val="auto"/>
              </w:rPr>
            </w:pPr>
          </w:p>
        </w:tc>
      </w:tr>
      <w:tr>
        <w:trPr>
          <w:trHeight w:val="27"/>
        </w:trPr>
        <w:tc>
          <w:tcPr>
            <w:tcW w:w="2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2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80" w:type="dxa"/>
            <w:vAlign w:val="bottom"/>
          </w:tcPr>
          <w:p>
            <w:pPr>
              <w:jc w:val="right"/>
              <w:ind w:right="12"/>
              <w:spacing w:after="0"/>
              <w:rPr>
                <w:sz w:val="20"/>
                <w:szCs w:val="20"/>
                <w:color w:val="auto"/>
              </w:rPr>
            </w:pPr>
            <w:r>
              <w:rPr>
                <w:rFonts w:ascii="Arial" w:cs="Arial" w:eastAsia="Arial" w:hAnsi="Arial"/>
                <w:sz w:val="18"/>
                <w:szCs w:val="18"/>
                <w:color w:val="auto"/>
              </w:rPr>
              <w:t>2,322</w:t>
            </w:r>
          </w:p>
        </w:tc>
        <w:tc>
          <w:tcPr>
            <w:tcW w:w="0" w:type="dxa"/>
            <w:vAlign w:val="bottom"/>
          </w:tcPr>
          <w:p>
            <w:pPr>
              <w:spacing w:after="0"/>
              <w:rPr>
                <w:sz w:val="1"/>
                <w:szCs w:val="1"/>
                <w:color w:val="auto"/>
              </w:rPr>
            </w:pPr>
          </w:p>
        </w:tc>
      </w:tr>
      <w:tr>
        <w:trPr>
          <w:trHeight w:val="27"/>
        </w:trPr>
        <w:tc>
          <w:tcPr>
            <w:tcW w:w="2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2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8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20" w:type="dxa"/>
            <w:vAlign w:val="bottom"/>
          </w:tcPr>
          <w:p>
            <w:pPr>
              <w:spacing w:after="0"/>
              <w:rPr>
                <w:sz w:val="2"/>
                <w:szCs w:val="2"/>
                <w:color w:val="auto"/>
              </w:rPr>
            </w:pPr>
          </w:p>
        </w:tc>
        <w:tc>
          <w:tcPr>
            <w:tcW w:w="150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6"/>
              </w:rPr>
              <w:t>Unrealized Gain</w:t>
            </w:r>
          </w:p>
        </w:tc>
        <w:tc>
          <w:tcPr>
            <w:tcW w:w="180" w:type="dxa"/>
            <w:vAlign w:val="bottom"/>
          </w:tcPr>
          <w:p>
            <w:pPr>
              <w:spacing w:after="0"/>
              <w:rPr>
                <w:sz w:val="2"/>
                <w:szCs w:val="2"/>
                <w:color w:val="auto"/>
              </w:rPr>
            </w:pPr>
          </w:p>
        </w:tc>
        <w:tc>
          <w:tcPr>
            <w:tcW w:w="14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4"/>
              </w:rPr>
              <w:t>Unrealized Gain</w:t>
            </w: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220" w:type="dxa"/>
            <w:vAlign w:val="bottom"/>
          </w:tcPr>
          <w:p>
            <w:pPr>
              <w:spacing w:after="0" w:line="20" w:lineRule="exact"/>
              <w:rPr>
                <w:sz w:val="1"/>
                <w:szCs w:val="1"/>
                <w:color w:val="auto"/>
              </w:rPr>
            </w:pPr>
          </w:p>
        </w:tc>
        <w:tc>
          <w:tcPr>
            <w:tcW w:w="1500" w:type="dxa"/>
            <w:vAlign w:val="bottom"/>
            <w:gridSpan w:val="2"/>
            <w:vMerge w:val="continu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0" w:type="dxa"/>
            <w:vAlign w:val="bottom"/>
            <w:gridSpan w:val="2"/>
            <w:vMerge w:val="continu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8"/>
        </w:trPr>
        <w:tc>
          <w:tcPr>
            <w:tcW w:w="220" w:type="dxa"/>
            <w:vAlign w:val="bottom"/>
          </w:tcPr>
          <w:p>
            <w:pPr>
              <w:spacing w:after="0"/>
              <w:rPr>
                <w:sz w:val="23"/>
                <w:szCs w:val="23"/>
                <w:color w:val="auto"/>
              </w:rPr>
            </w:pPr>
          </w:p>
        </w:tc>
        <w:tc>
          <w:tcPr>
            <w:tcW w:w="1500" w:type="dxa"/>
            <w:vAlign w:val="bottom"/>
            <w:gridSpan w:val="2"/>
            <w:vMerge w:val="continue"/>
          </w:tcPr>
          <w:p>
            <w:pPr>
              <w:spacing w:after="0"/>
              <w:rPr>
                <w:sz w:val="23"/>
                <w:szCs w:val="23"/>
                <w:color w:val="auto"/>
              </w:rPr>
            </w:pPr>
          </w:p>
        </w:tc>
        <w:tc>
          <w:tcPr>
            <w:tcW w:w="180" w:type="dxa"/>
            <w:vAlign w:val="bottom"/>
          </w:tcPr>
          <w:p>
            <w:pPr>
              <w:spacing w:after="0"/>
              <w:rPr>
                <w:sz w:val="23"/>
                <w:szCs w:val="23"/>
                <w:color w:val="auto"/>
              </w:rPr>
            </w:pPr>
          </w:p>
        </w:tc>
        <w:tc>
          <w:tcPr>
            <w:tcW w:w="1400" w:type="dxa"/>
            <w:vAlign w:val="bottom"/>
            <w:gridSpan w:val="2"/>
            <w:vMerge w:val="continue"/>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49"/>
        </w:trPr>
        <w:tc>
          <w:tcPr>
            <w:tcW w:w="220" w:type="dxa"/>
            <w:vAlign w:val="bottom"/>
          </w:tcPr>
          <w:p>
            <w:pPr>
              <w:spacing w:after="0"/>
              <w:rPr>
                <w:sz w:val="12"/>
                <w:szCs w:val="12"/>
                <w:color w:val="auto"/>
              </w:rPr>
            </w:pPr>
          </w:p>
        </w:tc>
        <w:tc>
          <w:tcPr>
            <w:tcW w:w="15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(Loss) on</w:t>
            </w:r>
          </w:p>
        </w:tc>
        <w:tc>
          <w:tcPr>
            <w:tcW w:w="180" w:type="dxa"/>
            <w:vAlign w:val="bottom"/>
          </w:tcPr>
          <w:p>
            <w:pPr>
              <w:spacing w:after="0"/>
              <w:rPr>
                <w:sz w:val="12"/>
                <w:szCs w:val="12"/>
                <w:color w:val="auto"/>
              </w:rPr>
            </w:pPr>
          </w:p>
        </w:tc>
        <w:tc>
          <w:tcPr>
            <w:tcW w:w="140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20" w:type="dxa"/>
            <w:vAlign w:val="bottom"/>
          </w:tcPr>
          <w:p>
            <w:pPr>
              <w:spacing w:after="0"/>
              <w:rPr>
                <w:sz w:val="12"/>
                <w:szCs w:val="12"/>
                <w:color w:val="auto"/>
              </w:rPr>
            </w:pPr>
          </w:p>
        </w:tc>
        <w:tc>
          <w:tcPr>
            <w:tcW w:w="15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8"/>
              </w:rPr>
              <w:t>Marketable</w:t>
            </w:r>
          </w:p>
        </w:tc>
        <w:tc>
          <w:tcPr>
            <w:tcW w:w="180" w:type="dxa"/>
            <w:vAlign w:val="bottom"/>
          </w:tcPr>
          <w:p>
            <w:pPr>
              <w:spacing w:after="0"/>
              <w:rPr>
                <w:sz w:val="12"/>
                <w:szCs w:val="12"/>
                <w:color w:val="auto"/>
              </w:rPr>
            </w:pPr>
          </w:p>
        </w:tc>
        <w:tc>
          <w:tcPr>
            <w:tcW w:w="14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1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80" w:type="dxa"/>
            <w:vAlign w:val="bottom"/>
            <w:vMerge w:val="restart"/>
          </w:tcPr>
          <w:p>
            <w:pPr>
              <w:jc w:val="right"/>
              <w:ind w:right="4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220" w:type="dxa"/>
            <w:vAlign w:val="bottom"/>
          </w:tcPr>
          <w:p>
            <w:pPr>
              <w:spacing w:after="0"/>
              <w:rPr>
                <w:sz w:val="16"/>
                <w:szCs w:val="16"/>
                <w:color w:val="auto"/>
              </w:rPr>
            </w:pPr>
          </w:p>
        </w:tc>
        <w:tc>
          <w:tcPr>
            <w:tcW w:w="15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3"/>
              </w:rPr>
              <w:t>Securities (1)</w:t>
            </w:r>
          </w:p>
        </w:tc>
        <w:tc>
          <w:tcPr>
            <w:tcW w:w="180" w:type="dxa"/>
            <w:vAlign w:val="bottom"/>
          </w:tcPr>
          <w:p>
            <w:pPr>
              <w:spacing w:after="0"/>
              <w:rPr>
                <w:sz w:val="16"/>
                <w:szCs w:val="16"/>
                <w:color w:val="auto"/>
              </w:rPr>
            </w:pPr>
          </w:p>
        </w:tc>
        <w:tc>
          <w:tcPr>
            <w:tcW w:w="14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Flow Hedges (2)</w:t>
            </w:r>
          </w:p>
        </w:tc>
        <w:tc>
          <w:tcPr>
            <w:tcW w:w="1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3"/>
        </w:trPr>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4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(801)</w:t>
            </w:r>
          </w:p>
        </w:tc>
        <w:tc>
          <w:tcPr>
            <w:tcW w:w="100" w:type="dxa"/>
            <w:vAlign w:val="bottom"/>
          </w:tcPr>
          <w:p>
            <w:pPr>
              <w:spacing w:after="0"/>
              <w:rPr>
                <w:sz w:val="21"/>
                <w:szCs w:val="21"/>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19"/>
              <w:spacing w:after="0"/>
              <w:rPr>
                <w:sz w:val="20"/>
                <w:szCs w:val="20"/>
                <w:color w:val="auto"/>
              </w:rPr>
            </w:pPr>
            <w:r>
              <w:rPr>
                <w:rFonts w:ascii="Arial" w:cs="Arial" w:eastAsia="Arial" w:hAnsi="Arial"/>
                <w:sz w:val="18"/>
                <w:szCs w:val="18"/>
                <w:color w:val="auto"/>
              </w:rPr>
              <w:t>824</w:t>
            </w:r>
          </w:p>
        </w:tc>
        <w:tc>
          <w:tcPr>
            <w:tcW w:w="100" w:type="dxa"/>
            <w:vAlign w:val="bottom"/>
          </w:tcPr>
          <w:p>
            <w:pPr>
              <w:spacing w:after="0"/>
              <w:rPr>
                <w:sz w:val="21"/>
                <w:szCs w:val="21"/>
                <w:color w:val="auto"/>
              </w:rPr>
            </w:pPr>
          </w:p>
        </w:tc>
        <w:tc>
          <w:tcPr>
            <w:tcW w:w="400" w:type="dxa"/>
            <w:vAlign w:val="bottom"/>
            <w:tcBorders>
              <w:top w:val="single" w:sz="8" w:color="auto"/>
            </w:tcBorders>
            <w:gridSpan w:val="2"/>
          </w:tcPr>
          <w:p>
            <w:pPr>
              <w:jc w:val="right"/>
              <w:ind w:right="28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(146)</w:t>
            </w: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jc w:val="right"/>
              <w:ind w:right="19"/>
              <w:spacing w:after="0"/>
              <w:rPr>
                <w:sz w:val="20"/>
                <w:szCs w:val="20"/>
                <w:color w:val="auto"/>
              </w:rPr>
            </w:pPr>
            <w:r>
              <w:rPr>
                <w:rFonts w:ascii="Arial" w:cs="Arial" w:eastAsia="Arial" w:hAnsi="Arial"/>
                <w:sz w:val="18"/>
                <w:szCs w:val="18"/>
                <w:color w:val="auto"/>
              </w:rPr>
              <w:t>2,341</w:t>
            </w: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ind w:right="12"/>
              <w:spacing w:after="0"/>
              <w:rPr>
                <w:sz w:val="20"/>
                <w:szCs w:val="20"/>
                <w:color w:val="auto"/>
              </w:rPr>
            </w:pPr>
            <w:r>
              <w:rPr>
                <w:rFonts w:ascii="Arial" w:cs="Arial" w:eastAsia="Arial" w:hAnsi="Arial"/>
                <w:sz w:val="18"/>
                <w:szCs w:val="18"/>
                <w:color w:val="auto"/>
              </w:rPr>
              <w:t>2,195</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jc w:val="right"/>
              <w:ind w:right="20"/>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(1,348)</w:t>
            </w: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(1,319)</w:t>
            </w:r>
          </w:p>
        </w:tc>
        <w:tc>
          <w:tcPr>
            <w:tcW w:w="0" w:type="dxa"/>
            <w:vAlign w:val="bottom"/>
          </w:tcPr>
          <w:p>
            <w:pPr>
              <w:spacing w:after="0"/>
              <w:rPr>
                <w:sz w:val="1"/>
                <w:szCs w:val="1"/>
                <w:color w:val="auto"/>
              </w:rPr>
            </w:pPr>
          </w:p>
        </w:tc>
      </w:tr>
    </w:tbl>
    <w:p>
      <w:pPr>
        <w:spacing w:after="0" w:line="7" w:lineRule="exact"/>
        <w:rPr>
          <w:sz w:val="20"/>
          <w:szCs w:val="20"/>
          <w:color w:val="auto"/>
        </w:rPr>
      </w:pPr>
    </w:p>
    <w:p>
      <w:pPr>
        <w:sectPr>
          <w:pgSz w:w="11900" w:h="16838" w:orient="portrait"/>
          <w:cols w:equalWidth="0" w:num="2">
            <w:col w:w="5920" w:space="720"/>
            <w:col w:w="4780"/>
          </w:cols>
          <w:pgMar w:left="240" w:top="130" w:right="239" w:bottom="1440" w:gutter="0" w:footer="0" w:header="0"/>
          <w:type w:val="continuous"/>
        </w:sectPr>
      </w:pPr>
    </w:p>
    <w:tbl>
      <w:tblPr>
        <w:tblLayout w:type="fixed"/>
        <w:tblInd w:w="0" w:type="dxa"/>
        <w:tblCellMar>
          <w:top w:w="0" w:type="dxa"/>
          <w:left w:w="0" w:type="dxa"/>
          <w:bottom w:w="0" w:type="dxa"/>
          <w:right w:w="0" w:type="dxa"/>
        </w:tblCellMar>
      </w:tblPr>
      <w:tr>
        <w:trPr>
          <w:trHeight w:val="257"/>
        </w:trPr>
        <w:tc>
          <w:tcPr>
            <w:tcW w:w="5500" w:type="dxa"/>
            <w:vAlign w:val="bottom"/>
          </w:tcPr>
          <w:p>
            <w:pPr>
              <w:ind w:left="720"/>
              <w:spacing w:after="0"/>
              <w:rPr>
                <w:sz w:val="20"/>
                <w:szCs w:val="20"/>
                <w:color w:val="auto"/>
              </w:rPr>
            </w:pPr>
            <w:r>
              <w:rPr>
                <w:rFonts w:ascii="Arial" w:cs="Arial" w:eastAsia="Arial" w:hAnsi="Arial"/>
                <w:sz w:val="18"/>
                <w:szCs w:val="18"/>
                <w:color w:val="auto"/>
                <w:w w:val="92"/>
              </w:rPr>
              <w:t>Net current-period other comprehensive income (loss), net of tax</w:t>
            </w:r>
          </w:p>
        </w:tc>
        <w:tc>
          <w:tcPr>
            <w:tcW w:w="1140" w:type="dxa"/>
            <w:vAlign w:val="bottom"/>
          </w:tcPr>
          <w:p>
            <w:pPr>
              <w:spacing w:after="0"/>
              <w:rPr>
                <w:sz w:val="22"/>
                <w:szCs w:val="22"/>
                <w:color w:val="auto"/>
              </w:rPr>
            </w:pPr>
          </w:p>
        </w:tc>
        <w:tc>
          <w:tcPr>
            <w:tcW w:w="640" w:type="dxa"/>
            <w:vAlign w:val="bottom"/>
            <w:tcBorders>
              <w:top w:val="single" w:sz="8" w:color="auto"/>
            </w:tcBorders>
          </w:tcPr>
          <w:p>
            <w:pPr>
              <w:spacing w:after="0"/>
              <w:rPr>
                <w:sz w:val="22"/>
                <w:szCs w:val="22"/>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w:t>
            </w:r>
          </w:p>
        </w:tc>
        <w:tc>
          <w:tcPr>
            <w:tcW w:w="100" w:type="dxa"/>
            <w:vAlign w:val="bottom"/>
          </w:tcPr>
          <w:p>
            <w:pPr>
              <w:spacing w:after="0"/>
              <w:rPr>
                <w:sz w:val="22"/>
                <w:szCs w:val="22"/>
                <w:color w:val="auto"/>
              </w:rPr>
            </w:pPr>
          </w:p>
        </w:tc>
        <w:tc>
          <w:tcPr>
            <w:tcW w:w="540" w:type="dxa"/>
            <w:vAlign w:val="bottom"/>
            <w:tcBorders>
              <w:top w:val="single" w:sz="8" w:color="auto"/>
            </w:tcBorders>
          </w:tcPr>
          <w:p>
            <w:pPr>
              <w:spacing w:after="0"/>
              <w:rPr>
                <w:sz w:val="22"/>
                <w:szCs w:val="22"/>
                <w:color w:val="auto"/>
              </w:rPr>
            </w:pPr>
          </w:p>
        </w:tc>
        <w:tc>
          <w:tcPr>
            <w:tcW w:w="9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993</w:t>
            </w:r>
          </w:p>
        </w:tc>
        <w:tc>
          <w:tcPr>
            <w:tcW w:w="100" w:type="dxa"/>
            <w:vAlign w:val="bottom"/>
          </w:tcPr>
          <w:p>
            <w:pPr>
              <w:spacing w:after="0"/>
              <w:rPr>
                <w:sz w:val="22"/>
                <w:szCs w:val="22"/>
                <w:color w:val="auto"/>
              </w:rPr>
            </w:pPr>
          </w:p>
        </w:tc>
        <w:tc>
          <w:tcPr>
            <w:tcW w:w="620" w:type="dxa"/>
            <w:vAlign w:val="bottom"/>
            <w:tcBorders>
              <w:top w:val="single" w:sz="8" w:color="auto"/>
            </w:tcBorders>
          </w:tcPr>
          <w:p>
            <w:pPr>
              <w:spacing w:after="0"/>
              <w:rPr>
                <w:sz w:val="22"/>
                <w:szCs w:val="22"/>
                <w:color w:val="auto"/>
              </w:rPr>
            </w:pPr>
          </w:p>
        </w:tc>
        <w:tc>
          <w:tcPr>
            <w:tcW w:w="8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876</w:t>
            </w:r>
          </w:p>
        </w:tc>
        <w:tc>
          <w:tcPr>
            <w:tcW w:w="0" w:type="dxa"/>
            <w:vAlign w:val="bottom"/>
          </w:tcPr>
          <w:p>
            <w:pPr>
              <w:spacing w:after="0"/>
              <w:rPr>
                <w:sz w:val="1"/>
                <w:szCs w:val="1"/>
                <w:color w:val="auto"/>
              </w:rPr>
            </w:pPr>
          </w:p>
        </w:tc>
      </w:tr>
      <w:tr>
        <w:trPr>
          <w:trHeight w:val="27"/>
        </w:trPr>
        <w:tc>
          <w:tcPr>
            <w:tcW w:w="5500" w:type="dxa"/>
            <w:vAlign w:val="bottom"/>
            <w:tcBorders>
              <w:bottom w:val="single" w:sz="8" w:color="CCEEFF"/>
            </w:tcBorders>
          </w:tcPr>
          <w:p>
            <w:pPr>
              <w:spacing w:after="0"/>
              <w:rPr>
                <w:sz w:val="2"/>
                <w:szCs w:val="2"/>
                <w:color w:val="auto"/>
              </w:rPr>
            </w:pPr>
          </w:p>
        </w:tc>
        <w:tc>
          <w:tcPr>
            <w:tcW w:w="1140" w:type="dxa"/>
            <w:vAlign w:val="bottom"/>
            <w:tcBorders>
              <w:bottom w:val="single" w:sz="8" w:color="CCEEFF"/>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July 29, 2017</w:t>
            </w:r>
          </w:p>
        </w:tc>
        <w:tc>
          <w:tcPr>
            <w:tcW w:w="1780" w:type="dxa"/>
            <w:vAlign w:val="bottom"/>
            <w:tcBorders>
              <w:bottom w:val="single" w:sz="8" w:color="CCEEFF"/>
            </w:tcBorders>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(918)</w:t>
            </w:r>
          </w:p>
        </w:tc>
        <w:tc>
          <w:tcPr>
            <w:tcW w:w="100" w:type="dxa"/>
            <w:vAlign w:val="bottom"/>
            <w:tcBorders>
              <w:bottom w:val="single" w:sz="8" w:color="CCEEFF"/>
            </w:tcBorders>
            <w:shd w:val="clear" w:color="auto" w:fill="CCEEFF"/>
          </w:tcPr>
          <w:p>
            <w:pPr>
              <w:spacing w:after="0"/>
              <w:rPr>
                <w:sz w:val="22"/>
                <w:szCs w:val="22"/>
                <w:color w:val="auto"/>
              </w:rPr>
            </w:pPr>
          </w:p>
        </w:tc>
        <w:tc>
          <w:tcPr>
            <w:tcW w:w="540" w:type="dxa"/>
            <w:vAlign w:val="bottom"/>
            <w:tcBorders>
              <w:bottom w:val="single" w:sz="8" w:color="CCEEFF"/>
            </w:tcBorders>
            <w:shd w:val="clear" w:color="auto" w:fill="CCEEFF"/>
          </w:tcPr>
          <w:p>
            <w:pPr>
              <w:jc w:val="right"/>
              <w:ind w:right="33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1,817</w:t>
            </w:r>
          </w:p>
        </w:tc>
        <w:tc>
          <w:tcPr>
            <w:tcW w:w="100" w:type="dxa"/>
            <w:vAlign w:val="bottom"/>
            <w:tcBorders>
              <w:bottom w:val="single" w:sz="8" w:color="CCEEFF"/>
            </w:tcBorders>
            <w:shd w:val="clear" w:color="auto" w:fill="CCEEFF"/>
          </w:tcPr>
          <w:p>
            <w:pPr>
              <w:spacing w:after="0"/>
              <w:rPr>
                <w:sz w:val="22"/>
                <w:szCs w:val="22"/>
                <w:color w:val="auto"/>
              </w:rPr>
            </w:pPr>
          </w:p>
        </w:tc>
        <w:tc>
          <w:tcPr>
            <w:tcW w:w="620" w:type="dxa"/>
            <w:vAlign w:val="bottom"/>
            <w:tcBorders>
              <w:bottom w:val="single" w:sz="8" w:color="CCEEFF"/>
            </w:tcBorders>
            <w:shd w:val="clear" w:color="auto" w:fill="CCEEFF"/>
          </w:tcPr>
          <w:p>
            <w:pPr>
              <w:jc w:val="right"/>
              <w:ind w:right="410"/>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899</w:t>
            </w:r>
          </w:p>
        </w:tc>
        <w:tc>
          <w:tcPr>
            <w:tcW w:w="0" w:type="dxa"/>
            <w:vAlign w:val="bottom"/>
          </w:tcPr>
          <w:p>
            <w:pPr>
              <w:spacing w:after="0"/>
              <w:rPr>
                <w:sz w:val="1"/>
                <w:szCs w:val="1"/>
                <w:color w:val="auto"/>
              </w:rPr>
            </w:pPr>
          </w:p>
        </w:tc>
      </w:tr>
      <w:tr>
        <w:trPr>
          <w:trHeight w:val="20"/>
        </w:trPr>
        <w:tc>
          <w:tcPr>
            <w:tcW w:w="5500" w:type="dxa"/>
            <w:vAlign w:val="bottom"/>
            <w:tcBorders>
              <w:top w:val="single" w:sz="8" w:color="CCEEFF"/>
            </w:tcBorders>
          </w:tcPr>
          <w:p>
            <w:pPr>
              <w:spacing w:after="0" w:line="20" w:lineRule="exact"/>
              <w:rPr>
                <w:sz w:val="1"/>
                <w:szCs w:val="1"/>
                <w:color w:val="auto"/>
              </w:rPr>
            </w:pPr>
          </w:p>
        </w:tc>
        <w:tc>
          <w:tcPr>
            <w:tcW w:w="1140" w:type="dxa"/>
            <w:vAlign w:val="bottom"/>
            <w:tcBorders>
              <w:top w:val="single" w:sz="8" w:color="CCEEFF"/>
              <w:bottom w:val="single" w:sz="8" w:color="CCEEFF"/>
            </w:tcBorders>
            <w:vMerge w:val="restart"/>
          </w:tcPr>
          <w:p>
            <w:pPr>
              <w:jc w:val="right"/>
              <w:ind w:right="750"/>
              <w:spacing w:after="0"/>
              <w:rPr>
                <w:sz w:val="20"/>
                <w:szCs w:val="20"/>
                <w:color w:val="auto"/>
              </w:rPr>
            </w:pPr>
            <w:r>
              <w:rPr>
                <w:rFonts w:ascii="Arial" w:cs="Arial" w:eastAsia="Arial" w:hAnsi="Arial"/>
                <w:sz w:val="18"/>
                <w:szCs w:val="18"/>
                <w:color w:val="auto"/>
              </w:rPr>
              <w:t>20</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5500" w:type="dxa"/>
            <w:vAlign w:val="bottom"/>
          </w:tcPr>
          <w:p>
            <w:pPr>
              <w:spacing w:after="0"/>
              <w:rPr>
                <w:sz w:val="24"/>
                <w:szCs w:val="24"/>
                <w:color w:val="auto"/>
              </w:rPr>
            </w:pPr>
          </w:p>
        </w:tc>
        <w:tc>
          <w:tcPr>
            <w:tcW w:w="1140" w:type="dxa"/>
            <w:vAlign w:val="bottom"/>
            <w:vMerge w:val="continue"/>
          </w:tcPr>
          <w:p>
            <w:pPr>
              <w:spacing w:after="0"/>
              <w:rPr>
                <w:sz w:val="24"/>
                <w:szCs w:val="24"/>
                <w:color w:val="auto"/>
              </w:rPr>
            </w:pPr>
          </w:p>
        </w:tc>
        <w:tc>
          <w:tcPr>
            <w:tcW w:w="6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30" w:right="239" w:bottom="1440" w:gutter="0" w:footer="0" w:header="0"/>
          <w:type w:val="continuous"/>
        </w:sectPr>
      </w:pPr>
    </w:p>
    <w:bookmarkStart w:id="22" w:name="page23"/>
    <w:bookmarkEnd w:id="2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08" w:lineRule="exact"/>
        <w:rPr>
          <w:sz w:val="20"/>
          <w:szCs w:val="20"/>
          <w:color w:val="auto"/>
        </w:rPr>
      </w:pPr>
    </w:p>
    <w:p>
      <w:pPr>
        <w:ind w:right="120" w:firstLine="8"/>
        <w:spacing w:after="0" w:line="277" w:lineRule="auto"/>
        <w:tabs>
          <w:tab w:leader="none" w:pos="255"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marketable securities reclassified from accumulated other comprehensive income (loss) are recorded in interest and other income, net.</w:t>
      </w:r>
    </w:p>
    <w:p>
      <w:pPr>
        <w:spacing w:after="0" w:line="8" w:lineRule="exact"/>
        <w:rPr>
          <w:rFonts w:ascii="Arial" w:cs="Arial" w:eastAsia="Arial" w:hAnsi="Arial"/>
          <w:sz w:val="18"/>
          <w:szCs w:val="18"/>
          <w:color w:val="auto"/>
        </w:rPr>
      </w:pPr>
    </w:p>
    <w:p>
      <w:pPr>
        <w:ind w:right="80" w:firstLine="8"/>
        <w:spacing w:after="0" w:line="264" w:lineRule="auto"/>
        <w:tabs>
          <w:tab w:leader="none" w:pos="255"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derivative financial instruments reclassified from accumulated other comprehensive income (loss) are recorded in operating expenses. See "Note 10- Derivative Financial Instruments" for additional information on the affected line items in the condensed consolidated statements of operations.</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94" w:lineRule="exact"/>
        <w:rPr>
          <w:sz w:val="20"/>
          <w:szCs w:val="20"/>
          <w:color w:val="auto"/>
        </w:rPr>
      </w:pPr>
    </w:p>
    <w:p>
      <w:pPr>
        <w:ind w:left="400"/>
        <w:spacing w:after="0"/>
        <w:rPr>
          <w:sz w:val="20"/>
          <w:szCs w:val="20"/>
          <w:color w:val="auto"/>
        </w:rPr>
      </w:pPr>
      <w:r>
        <w:rPr>
          <w:rFonts w:ascii="Arial" w:cs="Arial" w:eastAsia="Arial" w:hAnsi="Arial"/>
          <w:sz w:val="18"/>
          <w:szCs w:val="18"/>
          <w:color w:val="auto"/>
        </w:rPr>
        <w:t>The noncash consideration paid for the acquisition of Cavium was $3.3 billion for the three and six months ended August 4, 2018.</w:t>
      </w:r>
    </w:p>
    <w:p>
      <w:pPr>
        <w:spacing w:after="0" w:line="200" w:lineRule="exact"/>
        <w:rPr>
          <w:sz w:val="20"/>
          <w:szCs w:val="20"/>
          <w:color w:val="auto"/>
        </w:rPr>
      </w:pPr>
    </w:p>
    <w:p>
      <w:pPr>
        <w:spacing w:after="0" w:line="3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Investments</w:t>
      </w:r>
    </w:p>
    <w:p>
      <w:pPr>
        <w:spacing w:after="0" w:line="94" w:lineRule="exact"/>
        <w:rPr>
          <w:sz w:val="20"/>
          <w:szCs w:val="20"/>
          <w:color w:val="auto"/>
        </w:rPr>
      </w:pPr>
    </w:p>
    <w:p>
      <w:pPr>
        <w:ind w:right="240" w:firstLine="405"/>
        <w:spacing w:after="0" w:line="277" w:lineRule="auto"/>
        <w:rPr>
          <w:sz w:val="20"/>
          <w:szCs w:val="20"/>
          <w:color w:val="auto"/>
        </w:rPr>
      </w:pPr>
      <w:r>
        <w:rPr>
          <w:rFonts w:ascii="Arial" w:cs="Arial" w:eastAsia="Arial" w:hAnsi="Arial"/>
          <w:sz w:val="18"/>
          <w:szCs w:val="18"/>
          <w:color w:val="auto"/>
        </w:rPr>
        <w:t>As of August 4, 2018, the Company has $25.0 million time deposits on hand. As of February 3, 2018, the following table summarizes the Company’s investments (in thousands):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3160" w:type="dxa"/>
            <w:vAlign w:val="bottom"/>
            <w:tcBorders>
              <w:bottom w:val="single" w:sz="8" w:color="auto"/>
            </w:tcBorders>
            <w:gridSpan w:val="6"/>
          </w:tcPr>
          <w:p>
            <w:pPr>
              <w:ind w:left="1000"/>
              <w:spacing w:after="0"/>
              <w:rPr>
                <w:sz w:val="20"/>
                <w:szCs w:val="20"/>
                <w:color w:val="auto"/>
              </w:rPr>
            </w:pPr>
            <w:r>
              <w:rPr>
                <w:rFonts w:ascii="Arial" w:cs="Arial" w:eastAsia="Arial" w:hAnsi="Arial"/>
                <w:sz w:val="14"/>
                <w:szCs w:val="14"/>
                <w:b w:val="1"/>
                <w:bCs w:val="1"/>
                <w:color w:val="auto"/>
              </w:rPr>
              <w:t>February 3, 2018</w:t>
            </w: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96"/>
              </w:rPr>
              <w:t>Amortized</w:t>
            </w:r>
          </w:p>
        </w:tc>
        <w:tc>
          <w:tcPr>
            <w:tcW w:w="1080" w:type="dxa"/>
            <w:vAlign w:val="bottom"/>
          </w:tcPr>
          <w:p>
            <w:pPr>
              <w:jc w:val="center"/>
              <w:ind w:left="322"/>
              <w:spacing w:after="0" w:line="153" w:lineRule="exact"/>
              <w:rPr>
                <w:sz w:val="20"/>
                <w:szCs w:val="20"/>
                <w:color w:val="auto"/>
              </w:rPr>
            </w:pPr>
            <w:r>
              <w:rPr>
                <w:rFonts w:ascii="Arial" w:cs="Arial" w:eastAsia="Arial" w:hAnsi="Arial"/>
                <w:sz w:val="14"/>
                <w:szCs w:val="14"/>
                <w:b w:val="1"/>
                <w:bCs w:val="1"/>
                <w:color w:val="auto"/>
                <w:w w:val="88"/>
              </w:rPr>
              <w:t>Gross</w:t>
            </w: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220" w:type="dxa"/>
            <w:vAlign w:val="bottom"/>
            <w:vMerge w:val="restart"/>
          </w:tcPr>
          <w:p>
            <w:pPr>
              <w:jc w:val="right"/>
              <w:ind w:right="354"/>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080" w:type="dxa"/>
            <w:vAlign w:val="bottom"/>
          </w:tcPr>
          <w:p>
            <w:pPr>
              <w:jc w:val="center"/>
              <w:ind w:left="322"/>
              <w:spacing w:after="0" w:line="149" w:lineRule="exact"/>
              <w:rPr>
                <w:sz w:val="20"/>
                <w:szCs w:val="20"/>
                <w:color w:val="auto"/>
              </w:rPr>
            </w:pPr>
            <w:r>
              <w:rPr>
                <w:rFonts w:ascii="Arial" w:cs="Arial" w:eastAsia="Arial" w:hAnsi="Arial"/>
                <w:sz w:val="14"/>
                <w:szCs w:val="14"/>
                <w:b w:val="1"/>
                <w:bCs w:val="1"/>
                <w:color w:val="auto"/>
                <w:w w:val="95"/>
              </w:rPr>
              <w:t>Unrealized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1080" w:type="dxa"/>
            <w:vAlign w:val="bottom"/>
          </w:tcPr>
          <w:p>
            <w:pPr>
              <w:jc w:val="center"/>
              <w:ind w:left="322"/>
              <w:spacing w:after="0"/>
              <w:rPr>
                <w:sz w:val="20"/>
                <w:szCs w:val="20"/>
                <w:color w:val="auto"/>
              </w:rPr>
            </w:pPr>
            <w:r>
              <w:rPr>
                <w:rFonts w:ascii="Arial" w:cs="Arial" w:eastAsia="Arial" w:hAnsi="Arial"/>
                <w:sz w:val="14"/>
                <w:szCs w:val="14"/>
                <w:b w:val="1"/>
                <w:bCs w:val="1"/>
                <w:color w:val="auto"/>
                <w:w w:val="92"/>
              </w:rPr>
              <w:t>Gains</w:t>
            </w: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2"/>
              </w:rPr>
              <w:t>Losses</w:t>
            </w:r>
          </w:p>
        </w:tc>
        <w:tc>
          <w:tcPr>
            <w:tcW w:w="260" w:type="dxa"/>
            <w:vAlign w:val="bottom"/>
          </w:tcPr>
          <w:p>
            <w:pPr>
              <w:spacing w:after="0"/>
              <w:rPr>
                <w:sz w:val="16"/>
                <w:szCs w:val="16"/>
                <w:color w:val="auto"/>
              </w:rPr>
            </w:pPr>
          </w:p>
        </w:tc>
        <w:tc>
          <w:tcPr>
            <w:tcW w:w="1220" w:type="dxa"/>
            <w:vAlign w:val="bottom"/>
          </w:tcPr>
          <w:p>
            <w:pPr>
              <w:jc w:val="right"/>
              <w:ind w:right="334"/>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248,336</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882"/>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49</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247,741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7,004</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6,987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2,734</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2,728</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504,609</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30"/>
              <w:spacing w:after="0"/>
              <w:rPr>
                <w:sz w:val="20"/>
                <w:szCs w:val="20"/>
                <w:color w:val="auto"/>
              </w:rPr>
            </w:pPr>
            <w:r>
              <w:rPr>
                <w:rFonts w:ascii="Arial" w:cs="Arial" w:eastAsia="Arial" w:hAnsi="Arial"/>
                <w:sz w:val="18"/>
                <w:szCs w:val="18"/>
                <w:color w:val="auto"/>
                <w:w w:val="86"/>
              </w:rPr>
              <w:t>469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(1,999)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503,079</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42,429</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42,255</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Held-to-maturity:</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short-term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955,112</w:t>
            </w:r>
          </w:p>
        </w:tc>
        <w:tc>
          <w:tcPr>
            <w:tcW w:w="100" w:type="dxa"/>
            <w:vAlign w:val="bottom"/>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86"/>
              </w:rPr>
              <w:t>521</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(2,843)</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952,790</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investments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955,112</w:t>
            </w:r>
          </w:p>
        </w:tc>
        <w:tc>
          <w:tcPr>
            <w:tcW w:w="10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882"/>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86"/>
              </w:rPr>
              <w:t>521</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(2,843)</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952,790</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80" w:firstLine="378"/>
        <w:spacing w:after="0" w:line="286" w:lineRule="auto"/>
        <w:rPr>
          <w:sz w:val="20"/>
          <w:szCs w:val="20"/>
          <w:color w:val="auto"/>
        </w:rPr>
      </w:pPr>
      <w:r>
        <w:rPr>
          <w:rFonts w:ascii="Arial" w:cs="Arial" w:eastAsia="Arial" w:hAnsi="Arial"/>
          <w:sz w:val="17"/>
          <w:szCs w:val="17"/>
          <w:color w:val="auto"/>
        </w:rPr>
        <w:t>Short-term, highly liquid investments of $78.5 million and $267.6 million as of August 4, 2018 and February 3, 2018, respectively, included in cash and cash equivalents on the accompanying consolidated balance sheets are not included in the table above because the gross unrealized gains and losses were immaterial as the carrying values approximate fair value due to the short term maturity of such investments.</w:t>
      </w:r>
    </w:p>
    <w:p>
      <w:pPr>
        <w:spacing w:after="0" w:line="11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Gross realized gains and gross realized losses on sales of available-for-sale securities are presented in the following tables (in thousands):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90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3"/>
          </w:tcPr>
          <w:p>
            <w:pPr>
              <w:jc w:val="right"/>
              <w:ind w:right="359"/>
              <w:spacing w:after="0"/>
              <w:rPr>
                <w:sz w:val="20"/>
                <w:szCs w:val="20"/>
                <w:color w:val="auto"/>
              </w:rPr>
            </w:pPr>
            <w:r>
              <w:rPr>
                <w:rFonts w:ascii="Arial" w:cs="Arial" w:eastAsia="Arial" w:hAnsi="Arial"/>
                <w:sz w:val="14"/>
                <w:szCs w:val="14"/>
                <w:b w:val="1"/>
                <w:bCs w:val="1"/>
                <w:color w:val="auto"/>
                <w:w w:val="93"/>
              </w:rPr>
              <w:t>Three Months Ended</w:t>
            </w:r>
          </w:p>
        </w:tc>
        <w:tc>
          <w:tcPr>
            <w:tcW w:w="4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57"/>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1620" w:type="dxa"/>
            <w:vAlign w:val="bottom"/>
            <w:gridSpan w:val="3"/>
          </w:tcPr>
          <w:p>
            <w:pPr>
              <w:ind w:left="440"/>
              <w:spacing w:after="0" w:line="153" w:lineRule="exact"/>
              <w:rPr>
                <w:sz w:val="20"/>
                <w:szCs w:val="20"/>
                <w:color w:val="auto"/>
              </w:rPr>
            </w:pPr>
            <w:r>
              <w:rPr>
                <w:rFonts w:ascii="Arial" w:cs="Arial" w:eastAsia="Arial" w:hAnsi="Arial"/>
                <w:sz w:val="14"/>
                <w:szCs w:val="14"/>
                <w:b w:val="1"/>
                <w:bCs w:val="1"/>
                <w:color w:val="auto"/>
              </w:rPr>
              <w:t>August 4,</w:t>
            </w:r>
          </w:p>
        </w:tc>
        <w:tc>
          <w:tcPr>
            <w:tcW w:w="104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July 29,</w:t>
            </w:r>
          </w:p>
        </w:tc>
        <w:tc>
          <w:tcPr>
            <w:tcW w:w="4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180" w:type="dxa"/>
            <w:vAlign w:val="bottom"/>
          </w:tcPr>
          <w:p>
            <w:pPr>
              <w:jc w:val="right"/>
              <w:ind w:right="437"/>
              <w:spacing w:after="0" w:line="153" w:lineRule="exact"/>
              <w:rPr>
                <w:sz w:val="20"/>
                <w:szCs w:val="20"/>
                <w:color w:val="auto"/>
              </w:rPr>
            </w:pPr>
            <w:r>
              <w:rPr>
                <w:rFonts w:ascii="Arial" w:cs="Arial" w:eastAsia="Arial" w:hAnsi="Arial"/>
                <w:sz w:val="14"/>
                <w:szCs w:val="14"/>
                <w:b w:val="1"/>
                <w:bCs w:val="1"/>
                <w:color w:val="auto"/>
              </w:rPr>
              <w:t>July 29,</w:t>
            </w:r>
          </w:p>
        </w:tc>
      </w:tr>
      <w:tr>
        <w:trPr>
          <w:trHeight w:val="192"/>
        </w:trPr>
        <w:tc>
          <w:tcPr>
            <w:tcW w:w="5160" w:type="dxa"/>
            <w:vAlign w:val="bottom"/>
            <w:tcBorders>
              <w:bottom w:val="single" w:sz="8" w:color="CCEEFF"/>
            </w:tcBorders>
          </w:tcPr>
          <w:p>
            <w:pPr>
              <w:spacing w:after="0"/>
              <w:rPr>
                <w:sz w:val="16"/>
                <w:szCs w:val="16"/>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2018</w:t>
            </w:r>
          </w:p>
        </w:tc>
        <w:tc>
          <w:tcPr>
            <w:tcW w:w="60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04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rPr>
              <w:t>2017</w:t>
            </w:r>
          </w:p>
        </w:tc>
        <w:tc>
          <w:tcPr>
            <w:tcW w:w="4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realized gains</w:t>
            </w:r>
          </w:p>
        </w:tc>
        <w:tc>
          <w:tcPr>
            <w:tcW w:w="900" w:type="dxa"/>
            <w:vAlign w:val="bottom"/>
            <w:tcBorders>
              <w:bottom w:val="single" w:sz="8" w:color="CCEEFF"/>
            </w:tcBorders>
            <w:shd w:val="clear" w:color="auto" w:fill="CCEEFF"/>
          </w:tcPr>
          <w:p>
            <w:pPr>
              <w:jc w:val="right"/>
              <w:ind w:right="697"/>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369</w:t>
            </w:r>
          </w:p>
        </w:tc>
        <w:tc>
          <w:tcPr>
            <w:tcW w:w="1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839"/>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371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85</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Gross realized losses</w:t>
            </w:r>
          </w:p>
        </w:tc>
        <w:tc>
          <w:tcPr>
            <w:tcW w:w="900" w:type="dxa"/>
            <w:vAlign w:val="bottom"/>
          </w:tcPr>
          <w:p>
            <w:pPr>
              <w:spacing w:after="0"/>
              <w:rPr>
                <w:sz w:val="21"/>
                <w:szCs w:val="21"/>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91"/>
              </w:rPr>
              <w:t>(2,575)</w:t>
            </w:r>
          </w:p>
        </w:tc>
        <w:tc>
          <w:tcPr>
            <w:tcW w:w="1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(69)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(3,437)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(113)</w:t>
            </w:r>
          </w:p>
        </w:tc>
      </w:tr>
      <w:tr>
        <w:trPr>
          <w:trHeight w:val="27"/>
        </w:trPr>
        <w:tc>
          <w:tcPr>
            <w:tcW w:w="5160" w:type="dxa"/>
            <w:vAlign w:val="bottom"/>
            <w:tcBorders>
              <w:bottom w:val="single" w:sz="8" w:color="CCEEFF"/>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net realized gains (losses)</w:t>
            </w:r>
          </w:p>
        </w:tc>
        <w:tc>
          <w:tcPr>
            <w:tcW w:w="900" w:type="dxa"/>
            <w:vAlign w:val="bottom"/>
            <w:tcBorders>
              <w:bottom w:val="single" w:sz="8" w:color="CCEEFF"/>
            </w:tcBorders>
            <w:shd w:val="clear" w:color="auto" w:fill="CCEEFF"/>
          </w:tcPr>
          <w:p>
            <w:pPr>
              <w:jc w:val="right"/>
              <w:ind w:right="697"/>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1"/>
              </w:rPr>
              <w:t>(2,206)</w:t>
            </w:r>
          </w:p>
        </w:tc>
        <w:tc>
          <w:tcPr>
            <w:tcW w:w="1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839"/>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(3,066)</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r>
        <w:trPr>
          <w:trHeight w:val="440"/>
        </w:trPr>
        <w:tc>
          <w:tcPr>
            <w:tcW w:w="5160" w:type="dxa"/>
            <w:vAlign w:val="bottom"/>
          </w:tcPr>
          <w:p>
            <w:pPr>
              <w:spacing w:after="0"/>
              <w:rPr>
                <w:sz w:val="24"/>
                <w:szCs w:val="24"/>
                <w:color w:val="auto"/>
              </w:rPr>
            </w:pPr>
          </w:p>
        </w:tc>
        <w:tc>
          <w:tcPr>
            <w:tcW w:w="900" w:type="dxa"/>
            <w:vAlign w:val="bottom"/>
          </w:tcPr>
          <w:p>
            <w:pPr>
              <w:jc w:val="right"/>
              <w:ind w:right="177"/>
              <w:spacing w:after="0"/>
              <w:rPr>
                <w:sz w:val="20"/>
                <w:szCs w:val="20"/>
                <w:color w:val="auto"/>
              </w:rPr>
            </w:pPr>
            <w:r>
              <w:rPr>
                <w:rFonts w:ascii="Arial" w:cs="Arial" w:eastAsia="Arial" w:hAnsi="Arial"/>
                <w:sz w:val="18"/>
                <w:szCs w:val="18"/>
                <w:color w:val="auto"/>
              </w:rPr>
              <w:t>21</w:t>
            </w: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ectPr>
          <w:pgSz w:w="11900" w:h="16838" w:orient="portrait"/>
          <w:cols w:equalWidth="0" w:num="1">
            <w:col w:w="11420"/>
          </w:cols>
          <w:pgMar w:left="240" w:top="130" w:right="239" w:bottom="1440" w:gutter="0" w:footer="0" w:header="0"/>
        </w:sectPr>
      </w:pPr>
    </w:p>
    <w:bookmarkStart w:id="23" w:name="page24"/>
    <w:bookmarkEnd w:id="2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contractual maturities of available-for-sale and held-to-maturity securities are presented in the following tables (in thousands):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August 4, 2018</w:t>
            </w:r>
          </w:p>
        </w:tc>
        <w:tc>
          <w:tcPr>
            <w:tcW w:w="10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916"/>
              <w:spacing w:after="0"/>
              <w:rPr>
                <w:sz w:val="20"/>
                <w:szCs w:val="20"/>
                <w:color w:val="auto"/>
              </w:rPr>
            </w:pPr>
            <w:r>
              <w:rPr>
                <w:rFonts w:ascii="Arial" w:cs="Arial" w:eastAsia="Arial" w:hAnsi="Arial"/>
                <w:sz w:val="14"/>
                <w:szCs w:val="14"/>
                <w:b w:val="1"/>
                <w:bCs w:val="1"/>
                <w:color w:val="auto"/>
              </w:rPr>
              <w:t>February 3, 2018</w:t>
            </w: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w w:val="96"/>
              </w:rPr>
              <w:t>Amortized</w:t>
            </w:r>
          </w:p>
        </w:tc>
        <w:tc>
          <w:tcPr>
            <w:tcW w:w="400" w:type="dxa"/>
            <w:vAlign w:val="bottom"/>
          </w:tcPr>
          <w:p>
            <w:pPr>
              <w:spacing w:after="0"/>
              <w:rPr>
                <w:sz w:val="13"/>
                <w:szCs w:val="13"/>
                <w:color w:val="auto"/>
              </w:rPr>
            </w:pPr>
          </w:p>
        </w:tc>
        <w:tc>
          <w:tcPr>
            <w:tcW w:w="1180" w:type="dxa"/>
            <w:vAlign w:val="bottom"/>
            <w:gridSpan w:val="2"/>
          </w:tcPr>
          <w:p>
            <w:pPr>
              <w:ind w:left="20"/>
              <w:spacing w:after="0" w:line="153" w:lineRule="exact"/>
              <w:rPr>
                <w:sz w:val="20"/>
                <w:szCs w:val="20"/>
                <w:color w:val="auto"/>
              </w:rPr>
            </w:pPr>
            <w:r>
              <w:rPr>
                <w:rFonts w:ascii="Arial" w:cs="Arial" w:eastAsia="Arial" w:hAnsi="Arial"/>
                <w:sz w:val="14"/>
                <w:szCs w:val="14"/>
                <w:b w:val="1"/>
                <w:bCs w:val="1"/>
                <w:color w:val="auto"/>
              </w:rPr>
              <w:t>Estimated</w:t>
            </w:r>
          </w:p>
        </w:tc>
        <w:tc>
          <w:tcPr>
            <w:tcW w:w="260" w:type="dxa"/>
            <w:vAlign w:val="bottom"/>
          </w:tcPr>
          <w:p>
            <w:pPr>
              <w:spacing w:after="0"/>
              <w:rPr>
                <w:sz w:val="13"/>
                <w:szCs w:val="13"/>
                <w:color w:val="auto"/>
              </w:rPr>
            </w:pPr>
          </w:p>
        </w:tc>
        <w:tc>
          <w:tcPr>
            <w:tcW w:w="132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3"/>
                <w:szCs w:val="13"/>
                <w:color w:val="auto"/>
              </w:rPr>
            </w:pPr>
          </w:p>
        </w:tc>
        <w:tc>
          <w:tcPr>
            <w:tcW w:w="1220" w:type="dxa"/>
            <w:vAlign w:val="bottom"/>
          </w:tcPr>
          <w:p>
            <w:pPr>
              <w:jc w:val="right"/>
              <w:ind w:right="356"/>
              <w:spacing w:after="0" w:line="153" w:lineRule="exact"/>
              <w:rPr>
                <w:sz w:val="20"/>
                <w:szCs w:val="20"/>
                <w:color w:val="auto"/>
              </w:rPr>
            </w:pPr>
            <w:r>
              <w:rPr>
                <w:rFonts w:ascii="Arial" w:cs="Arial" w:eastAsia="Arial" w:hAnsi="Arial"/>
                <w:sz w:val="14"/>
                <w:szCs w:val="14"/>
                <w:b w:val="1"/>
                <w:bCs w:val="1"/>
                <w:color w:val="auto"/>
              </w:rPr>
              <w:t>Estimated</w:t>
            </w:r>
          </w:p>
        </w:tc>
      </w:tr>
      <w:tr>
        <w:trPr>
          <w:trHeight w:val="192"/>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400" w:type="dxa"/>
            <w:vAlign w:val="bottom"/>
          </w:tcPr>
          <w:p>
            <w:pPr>
              <w:spacing w:after="0"/>
              <w:rPr>
                <w:sz w:val="16"/>
                <w:szCs w:val="16"/>
                <w:color w:val="auto"/>
              </w:rPr>
            </w:pPr>
          </w:p>
        </w:tc>
        <w:tc>
          <w:tcPr>
            <w:tcW w:w="118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6"/>
                <w:szCs w:val="16"/>
                <w:color w:val="auto"/>
              </w:rPr>
            </w:pPr>
          </w:p>
        </w:tc>
        <w:tc>
          <w:tcPr>
            <w:tcW w:w="1220" w:type="dxa"/>
            <w:vAlign w:val="bottom"/>
          </w:tcPr>
          <w:p>
            <w:pPr>
              <w:jc w:val="right"/>
              <w:ind w:right="336"/>
              <w:spacing w:after="0"/>
              <w:rPr>
                <w:sz w:val="20"/>
                <w:szCs w:val="20"/>
                <w:color w:val="auto"/>
              </w:rPr>
            </w:pPr>
            <w:r>
              <w:rPr>
                <w:rFonts w:ascii="Arial" w:cs="Arial" w:eastAsia="Arial" w:hAnsi="Arial"/>
                <w:sz w:val="14"/>
                <w:szCs w:val="14"/>
                <w:b w:val="1"/>
                <w:bCs w:val="1"/>
                <w:color w:val="auto"/>
              </w:rPr>
              <w:t>Fair Value</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in one year or less</w:t>
            </w: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25,000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25,000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554,247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553,866</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Due between one and five years</w:t>
            </w:r>
          </w:p>
        </w:tc>
        <w:tc>
          <w:tcPr>
            <w:tcW w:w="28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ind w:right="38"/>
              <w:spacing w:after="0"/>
              <w:rPr>
                <w:sz w:val="20"/>
                <w:szCs w:val="20"/>
                <w:color w:val="auto"/>
              </w:rPr>
            </w:pPr>
            <w:r>
              <w:rPr>
                <w:rFonts w:ascii="Arial" w:cs="Arial" w:eastAsia="Arial" w:hAnsi="Arial"/>
                <w:sz w:val="18"/>
                <w:szCs w:val="18"/>
                <w:color w:val="auto"/>
              </w:rPr>
              <w:t>400,866</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Arial" w:cs="Arial" w:eastAsia="Arial" w:hAnsi="Arial"/>
                <w:sz w:val="18"/>
                <w:szCs w:val="18"/>
                <w:color w:val="auto"/>
              </w:rPr>
              <w:t>398,924</w:t>
            </w: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over five years</w:t>
            </w:r>
          </w:p>
        </w:tc>
        <w:tc>
          <w:tcPr>
            <w:tcW w:w="2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w:t>
            </w:r>
          </w:p>
        </w:tc>
      </w:tr>
      <w:tr>
        <w:trPr>
          <w:trHeight w:val="237"/>
        </w:trPr>
        <w:tc>
          <w:tcPr>
            <w:tcW w:w="514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25,000</w:t>
            </w:r>
          </w:p>
        </w:tc>
        <w:tc>
          <w:tcPr>
            <w:tcW w:w="100" w:type="dxa"/>
            <w:vAlign w:val="bottom"/>
          </w:tcPr>
          <w:p>
            <w:pPr>
              <w:spacing w:after="0"/>
              <w:rPr>
                <w:sz w:val="20"/>
                <w:szCs w:val="20"/>
                <w:color w:val="auto"/>
              </w:rPr>
            </w:pPr>
          </w:p>
        </w:tc>
        <w:tc>
          <w:tcPr>
            <w:tcW w:w="400" w:type="dxa"/>
            <w:vAlign w:val="bottom"/>
            <w:tcBorders>
              <w:top w:val="single" w:sz="8" w:color="auto"/>
            </w:tcBorders>
          </w:tcPr>
          <w:p>
            <w:pPr>
              <w:jc w:val="right"/>
              <w:ind w:right="19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25,000</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955,113</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952,790</w:t>
            </w:r>
          </w:p>
        </w:tc>
      </w:tr>
      <w:tr>
        <w:trPr>
          <w:trHeight w:val="27"/>
        </w:trPr>
        <w:tc>
          <w:tcPr>
            <w:tcW w:w="51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right="240" w:firstLine="405"/>
        <w:spacing w:after="0" w:line="277" w:lineRule="auto"/>
        <w:rPr>
          <w:sz w:val="20"/>
          <w:szCs w:val="20"/>
          <w:color w:val="auto"/>
        </w:rPr>
      </w:pPr>
      <w:r>
        <w:rPr>
          <w:rFonts w:ascii="Arial" w:cs="Arial" w:eastAsia="Arial" w:hAnsi="Arial"/>
          <w:sz w:val="18"/>
          <w:szCs w:val="18"/>
          <w:color w:val="auto"/>
        </w:rPr>
        <w:t>There are no securities on hand at August 4, 2018 that have been in a continuous unrealized loss position. Such securities are presented as follows for the fiscal year ended February 3, 2018:</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5"/>
          </w:tcPr>
          <w:p>
            <w:pPr>
              <w:ind w:left="500"/>
              <w:spacing w:after="0"/>
              <w:rPr>
                <w:sz w:val="20"/>
                <w:szCs w:val="20"/>
                <w:color w:val="auto"/>
              </w:rPr>
            </w:pPr>
            <w:r>
              <w:rPr>
                <w:rFonts w:ascii="Arial" w:cs="Arial" w:eastAsia="Arial" w:hAnsi="Arial"/>
                <w:sz w:val="14"/>
                <w:szCs w:val="14"/>
                <w:b w:val="1"/>
                <w:bCs w:val="1"/>
                <w:color w:val="auto"/>
              </w:rPr>
              <w:t>February 3, 2018</w:t>
            </w: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634"/>
              <w:spacing w:after="0"/>
              <w:rPr>
                <w:sz w:val="20"/>
                <w:szCs w:val="20"/>
                <w:color w:val="auto"/>
              </w:rPr>
            </w:pPr>
            <w:r>
              <w:rPr>
                <w:rFonts w:ascii="Arial" w:cs="Arial" w:eastAsia="Arial" w:hAnsi="Arial"/>
                <w:sz w:val="14"/>
                <w:szCs w:val="14"/>
                <w:b w:val="1"/>
                <w:bCs w:val="1"/>
                <w:color w:val="auto"/>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ind w:left="22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Unrealized</w:t>
            </w:r>
          </w:p>
        </w:tc>
        <w:tc>
          <w:tcPr>
            <w:tcW w:w="280" w:type="dxa"/>
            <w:vAlign w:val="bottom"/>
          </w:tcPr>
          <w:p>
            <w:pPr>
              <w:spacing w:after="0"/>
              <w:rPr>
                <w:sz w:val="13"/>
                <w:szCs w:val="13"/>
                <w:color w:val="auto"/>
              </w:rPr>
            </w:pPr>
          </w:p>
        </w:tc>
        <w:tc>
          <w:tcPr>
            <w:tcW w:w="108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ind w:left="80"/>
              <w:spacing w:after="0" w:line="153" w:lineRule="exact"/>
              <w:rPr>
                <w:sz w:val="20"/>
                <w:szCs w:val="20"/>
                <w:color w:val="auto"/>
              </w:rPr>
            </w:pPr>
            <w:r>
              <w:rPr>
                <w:rFonts w:ascii="Arial" w:cs="Arial" w:eastAsia="Arial" w:hAnsi="Arial"/>
                <w:sz w:val="14"/>
                <w:szCs w:val="14"/>
                <w:b w:val="1"/>
                <w:bCs w:val="1"/>
                <w:color w:val="auto"/>
              </w:rPr>
              <w:t>Unrealized</w:t>
            </w:r>
          </w:p>
        </w:tc>
        <w:tc>
          <w:tcPr>
            <w:tcW w:w="280" w:type="dxa"/>
            <w:vAlign w:val="bottom"/>
          </w:tcPr>
          <w:p>
            <w:pPr>
              <w:spacing w:after="0"/>
              <w:rPr>
                <w:sz w:val="13"/>
                <w:szCs w:val="13"/>
                <w:color w:val="auto"/>
              </w:rPr>
            </w:pPr>
          </w:p>
        </w:tc>
        <w:tc>
          <w:tcPr>
            <w:tcW w:w="880" w:type="dxa"/>
            <w:vAlign w:val="bottom"/>
          </w:tcPr>
          <w:p>
            <w:pPr>
              <w:jc w:val="right"/>
              <w:ind w:right="31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right"/>
              <w:ind w:right="214"/>
              <w:spacing w:after="0" w:line="153" w:lineRule="exact"/>
              <w:rPr>
                <w:sz w:val="20"/>
                <w:szCs w:val="20"/>
                <w:color w:val="auto"/>
              </w:rPr>
            </w:pPr>
            <w:r>
              <w:rPr>
                <w:rFonts w:ascii="Arial" w:cs="Arial" w:eastAsia="Arial" w:hAnsi="Arial"/>
                <w:sz w:val="14"/>
                <w:szCs w:val="14"/>
                <w:b w:val="1"/>
                <w:bCs w:val="1"/>
                <w:color w:val="auto"/>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76"/>
              <w:spacing w:after="0"/>
              <w:rPr>
                <w:sz w:val="20"/>
                <w:szCs w:val="20"/>
                <w:color w:val="auto"/>
              </w:rPr>
            </w:pPr>
            <w:r>
              <w:rPr>
                <w:rFonts w:ascii="Arial" w:cs="Arial" w:eastAsia="Arial" w:hAnsi="Arial"/>
                <w:sz w:val="14"/>
                <w:szCs w:val="14"/>
                <w:b w:val="1"/>
                <w:bCs w:val="1"/>
                <w:color w:val="auto"/>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right"/>
              <w:ind w:right="357"/>
              <w:spacing w:after="0"/>
              <w:rPr>
                <w:sz w:val="20"/>
                <w:szCs w:val="20"/>
                <w:color w:val="auto"/>
              </w:rPr>
            </w:pPr>
            <w:r>
              <w:rPr>
                <w:rFonts w:ascii="Arial" w:cs="Arial" w:eastAsia="Arial" w:hAnsi="Arial"/>
                <w:sz w:val="14"/>
                <w:szCs w:val="14"/>
                <w:b w:val="1"/>
                <w:bCs w:val="1"/>
                <w:color w:val="auto"/>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148,538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(298)</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51,332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199,870</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(644)</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3,993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2,994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6,987</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1,969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1,969</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253,380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(1,514)</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46,805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(485)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300,185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(1,999)</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37,636</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2,167</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39,803</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w:t>
            </w:r>
          </w:p>
        </w:tc>
      </w:tr>
      <w:tr>
        <w:trPr>
          <w:trHeight w:val="237"/>
        </w:trPr>
        <w:tc>
          <w:tcPr>
            <w:tcW w:w="3340" w:type="dxa"/>
            <w:vAlign w:val="bottom"/>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445,516</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(1,964)</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103,298</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(879)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548,814</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(2,843)</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130" w:right="239" w:bottom="1440" w:gutter="0" w:footer="0" w:header="0"/>
        </w:sectPr>
      </w:pPr>
    </w:p>
    <w:bookmarkStart w:id="24" w:name="page25"/>
    <w:bookmarkEnd w:id="2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Derivative Financial Instruments</w:t>
      </w:r>
    </w:p>
    <w:p>
      <w:pPr>
        <w:spacing w:after="0" w:line="94" w:lineRule="exact"/>
        <w:rPr>
          <w:sz w:val="20"/>
          <w:szCs w:val="20"/>
          <w:color w:val="auto"/>
        </w:rPr>
      </w:pPr>
    </w:p>
    <w:p>
      <w:pPr>
        <w:ind w:right="100" w:firstLine="405"/>
        <w:spacing w:after="0" w:line="255" w:lineRule="auto"/>
        <w:rPr>
          <w:sz w:val="20"/>
          <w:szCs w:val="20"/>
          <w:color w:val="auto"/>
        </w:rPr>
      </w:pPr>
      <w:r>
        <w:rPr>
          <w:rFonts w:ascii="Arial" w:cs="Arial" w:eastAsia="Arial" w:hAnsi="Arial"/>
          <w:sz w:val="18"/>
          <w:szCs w:val="18"/>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which mitigates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 There were no outstanding forward contracts at August 4, 2018 and February 3, 2018.</w:t>
      </w:r>
    </w:p>
    <w:p>
      <w:pPr>
        <w:spacing w:after="0" w:line="193"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3" w:lineRule="exact"/>
        <w:rPr>
          <w:sz w:val="20"/>
          <w:szCs w:val="20"/>
          <w:color w:val="auto"/>
        </w:rPr>
      </w:pPr>
    </w:p>
    <w:p>
      <w:pPr>
        <w:ind w:right="540" w:firstLine="405"/>
        <w:spacing w:after="0" w:line="264" w:lineRule="auto"/>
        <w:rPr>
          <w:sz w:val="20"/>
          <w:szCs w:val="20"/>
          <w:color w:val="auto"/>
        </w:rPr>
      </w:pPr>
      <w:r>
        <w:rPr>
          <w:rFonts w:ascii="Arial" w:cs="Arial" w:eastAsia="Arial" w:hAnsi="Arial"/>
          <w:sz w:val="18"/>
          <w:szCs w:val="18"/>
          <w:color w:val="auto"/>
        </w:rPr>
        <w:t>For the three and six months ended August 4, 2018, the Company did not have any derivative financial instruments. The following table provides information about gains (losses) associated with the Company’s derivative financial instruments for the three and six months ended July 29, 2017 (in thousands):</w:t>
      </w: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40" w:type="dxa"/>
            <w:vAlign w:val="bottom"/>
          </w:tcPr>
          <w:p>
            <w:pPr>
              <w:spacing w:after="0"/>
              <w:rPr>
                <w:sz w:val="16"/>
                <w:szCs w:val="16"/>
                <w:color w:val="auto"/>
              </w:rPr>
            </w:pPr>
          </w:p>
        </w:tc>
        <w:tc>
          <w:tcPr>
            <w:tcW w:w="3320" w:type="dxa"/>
            <w:vAlign w:val="bottom"/>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3620" w:type="dxa"/>
            <w:vAlign w:val="bottom"/>
            <w:tcBorders>
              <w:bottom w:val="single" w:sz="8" w:color="auto"/>
            </w:tcBorders>
            <w:gridSpan w:val="4"/>
          </w:tcPr>
          <w:p>
            <w:pPr>
              <w:jc w:val="right"/>
              <w:ind w:right="179"/>
              <w:spacing w:after="0"/>
              <w:rPr>
                <w:sz w:val="20"/>
                <w:szCs w:val="20"/>
                <w:color w:val="auto"/>
              </w:rPr>
            </w:pPr>
            <w:r>
              <w:rPr>
                <w:rFonts w:ascii="Arial" w:cs="Arial" w:eastAsia="Arial" w:hAnsi="Arial"/>
                <w:sz w:val="14"/>
                <w:szCs w:val="14"/>
                <w:b w:val="1"/>
                <w:bCs w:val="1"/>
                <w:color w:val="auto"/>
                <w:w w:val="91"/>
              </w:rPr>
              <w:t>Amount of Gains (Losses) in Statements of Operations</w:t>
            </w:r>
          </w:p>
        </w:tc>
      </w:tr>
      <w:tr>
        <w:trPr>
          <w:trHeight w:val="196"/>
        </w:trPr>
        <w:tc>
          <w:tcPr>
            <w:tcW w:w="4240" w:type="dxa"/>
            <w:vAlign w:val="bottom"/>
          </w:tcPr>
          <w:p>
            <w:pPr>
              <w:spacing w:after="0"/>
              <w:rPr>
                <w:sz w:val="17"/>
                <w:szCs w:val="17"/>
                <w:color w:val="auto"/>
              </w:rPr>
            </w:pPr>
          </w:p>
        </w:tc>
        <w:tc>
          <w:tcPr>
            <w:tcW w:w="3320" w:type="dxa"/>
            <w:vAlign w:val="bottom"/>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40" w:type="dxa"/>
            <w:vAlign w:val="bottom"/>
            <w:tcBorders>
              <w:bottom w:val="single" w:sz="8" w:color="auto"/>
            </w:tcBorders>
          </w:tcPr>
          <w:p>
            <w:pPr>
              <w:spacing w:after="0"/>
              <w:rPr>
                <w:sz w:val="17"/>
                <w:szCs w:val="17"/>
                <w:color w:val="auto"/>
              </w:rPr>
            </w:pPr>
          </w:p>
        </w:tc>
        <w:tc>
          <w:tcPr>
            <w:tcW w:w="180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17"/>
                <w:szCs w:val="17"/>
                <w:color w:val="auto"/>
              </w:rPr>
            </w:pPr>
          </w:p>
        </w:tc>
        <w:tc>
          <w:tcPr>
            <w:tcW w:w="1620" w:type="dxa"/>
            <w:vAlign w:val="bottom"/>
            <w:tcBorders>
              <w:bottom w:val="single" w:sz="8" w:color="auto"/>
            </w:tcBorders>
          </w:tcPr>
          <w:p>
            <w:pPr>
              <w:jc w:val="right"/>
              <w:ind w:right="319"/>
              <w:spacing w:after="0"/>
              <w:rPr>
                <w:sz w:val="20"/>
                <w:szCs w:val="20"/>
                <w:color w:val="auto"/>
              </w:rPr>
            </w:pPr>
            <w:r>
              <w:rPr>
                <w:rFonts w:ascii="Arial" w:cs="Arial" w:eastAsia="Arial" w:hAnsi="Arial"/>
                <w:sz w:val="14"/>
                <w:szCs w:val="14"/>
                <w:b w:val="1"/>
                <w:bCs w:val="1"/>
                <w:color w:val="auto"/>
                <w:w w:val="98"/>
              </w:rPr>
              <w:t>Six Months Ended</w:t>
            </w:r>
          </w:p>
        </w:tc>
      </w:tr>
      <w:tr>
        <w:trPr>
          <w:trHeight w:val="152"/>
        </w:trPr>
        <w:tc>
          <w:tcPr>
            <w:tcW w:w="4240" w:type="dxa"/>
            <w:vAlign w:val="bottom"/>
          </w:tcPr>
          <w:p>
            <w:pPr>
              <w:spacing w:after="0"/>
              <w:rPr>
                <w:sz w:val="13"/>
                <w:szCs w:val="13"/>
                <w:color w:val="auto"/>
              </w:rPr>
            </w:pPr>
          </w:p>
        </w:tc>
        <w:tc>
          <w:tcPr>
            <w:tcW w:w="3420" w:type="dxa"/>
            <w:vAlign w:val="bottom"/>
            <w:gridSpan w:val="2"/>
          </w:tcPr>
          <w:p>
            <w:pPr>
              <w:ind w:left="20"/>
              <w:spacing w:after="0" w:line="153" w:lineRule="exact"/>
              <w:rPr>
                <w:sz w:val="20"/>
                <w:szCs w:val="20"/>
                <w:color w:val="auto"/>
              </w:rPr>
            </w:pPr>
            <w:r>
              <w:rPr>
                <w:rFonts w:ascii="Arial" w:cs="Arial" w:eastAsia="Arial" w:hAnsi="Arial"/>
                <w:sz w:val="14"/>
                <w:szCs w:val="14"/>
                <w:b w:val="1"/>
                <w:bCs w:val="1"/>
                <w:color w:val="auto"/>
              </w:rPr>
              <w:t>Location of Gains (Losses)</w:t>
            </w:r>
          </w:p>
        </w:tc>
        <w:tc>
          <w:tcPr>
            <w:tcW w:w="140" w:type="dxa"/>
            <w:vAlign w:val="bottom"/>
          </w:tcPr>
          <w:p>
            <w:pPr>
              <w:spacing w:after="0"/>
              <w:rPr>
                <w:sz w:val="13"/>
                <w:szCs w:val="13"/>
                <w:color w:val="auto"/>
              </w:rPr>
            </w:pPr>
          </w:p>
        </w:tc>
        <w:tc>
          <w:tcPr>
            <w:tcW w:w="1800" w:type="dxa"/>
            <w:vAlign w:val="bottom"/>
            <w:gridSpan w:val="2"/>
          </w:tcPr>
          <w:p>
            <w:pPr>
              <w:ind w:left="520"/>
              <w:spacing w:after="0" w:line="153" w:lineRule="exact"/>
              <w:rPr>
                <w:sz w:val="20"/>
                <w:szCs w:val="20"/>
                <w:color w:val="auto"/>
              </w:rPr>
            </w:pPr>
            <w:r>
              <w:rPr>
                <w:rFonts w:ascii="Arial" w:cs="Arial" w:eastAsia="Arial" w:hAnsi="Arial"/>
                <w:sz w:val="14"/>
                <w:szCs w:val="14"/>
                <w:b w:val="1"/>
                <w:bCs w:val="1"/>
                <w:color w:val="auto"/>
              </w:rPr>
              <w:t>July 29,</w:t>
            </w:r>
          </w:p>
        </w:tc>
        <w:tc>
          <w:tcPr>
            <w:tcW w:w="200" w:type="dxa"/>
            <w:vAlign w:val="bottom"/>
          </w:tcPr>
          <w:p>
            <w:pPr>
              <w:spacing w:after="0"/>
              <w:rPr>
                <w:sz w:val="13"/>
                <w:szCs w:val="13"/>
                <w:color w:val="auto"/>
              </w:rPr>
            </w:pPr>
          </w:p>
        </w:tc>
        <w:tc>
          <w:tcPr>
            <w:tcW w:w="1620" w:type="dxa"/>
            <w:vAlign w:val="bottom"/>
          </w:tcPr>
          <w:p>
            <w:pPr>
              <w:jc w:val="right"/>
              <w:ind w:right="599"/>
              <w:spacing w:after="0" w:line="153" w:lineRule="exact"/>
              <w:rPr>
                <w:sz w:val="20"/>
                <w:szCs w:val="20"/>
                <w:color w:val="auto"/>
              </w:rPr>
            </w:pPr>
            <w:r>
              <w:rPr>
                <w:rFonts w:ascii="Arial" w:cs="Arial" w:eastAsia="Arial" w:hAnsi="Arial"/>
                <w:sz w:val="14"/>
                <w:szCs w:val="14"/>
                <w:b w:val="1"/>
                <w:bCs w:val="1"/>
                <w:color w:val="auto"/>
              </w:rPr>
              <w:t>July 29,</w:t>
            </w:r>
          </w:p>
        </w:tc>
      </w:tr>
      <w:tr>
        <w:trPr>
          <w:trHeight w:val="192"/>
        </w:trPr>
        <w:tc>
          <w:tcPr>
            <w:tcW w:w="4240" w:type="dxa"/>
            <w:vAlign w:val="bottom"/>
          </w:tcPr>
          <w:p>
            <w:pPr>
              <w:spacing w:after="0"/>
              <w:rPr>
                <w:sz w:val="16"/>
                <w:szCs w:val="16"/>
                <w:color w:val="auto"/>
              </w:rPr>
            </w:pPr>
          </w:p>
        </w:tc>
        <w:tc>
          <w:tcPr>
            <w:tcW w:w="3420" w:type="dxa"/>
            <w:vAlign w:val="bottom"/>
            <w:gridSpan w:val="2"/>
          </w:tcPr>
          <w:p>
            <w:pPr>
              <w:ind w:left="20"/>
              <w:spacing w:after="0"/>
              <w:rPr>
                <w:sz w:val="20"/>
                <w:szCs w:val="20"/>
                <w:color w:val="auto"/>
              </w:rPr>
            </w:pPr>
            <w:r>
              <w:rPr>
                <w:rFonts w:ascii="Arial" w:cs="Arial" w:eastAsia="Arial" w:hAnsi="Arial"/>
                <w:sz w:val="14"/>
                <w:szCs w:val="14"/>
                <w:b w:val="1"/>
                <w:bCs w:val="1"/>
                <w:color w:val="auto"/>
              </w:rPr>
              <w:t>in Statements of Operations</w:t>
            </w:r>
          </w:p>
        </w:tc>
        <w:tc>
          <w:tcPr>
            <w:tcW w:w="140" w:type="dxa"/>
            <w:vAlign w:val="bottom"/>
          </w:tcPr>
          <w:p>
            <w:pPr>
              <w:spacing w:after="0"/>
              <w:rPr>
                <w:sz w:val="16"/>
                <w:szCs w:val="16"/>
                <w:color w:val="auto"/>
              </w:rPr>
            </w:pPr>
          </w:p>
        </w:tc>
        <w:tc>
          <w:tcPr>
            <w:tcW w:w="1680" w:type="dxa"/>
            <w:vAlign w:val="bottom"/>
          </w:tcPr>
          <w:p>
            <w:pPr>
              <w:jc w:val="right"/>
              <w:ind w:right="680"/>
              <w:spacing w:after="0"/>
              <w:rPr>
                <w:sz w:val="20"/>
                <w:szCs w:val="20"/>
                <w:color w:val="auto"/>
              </w:rPr>
            </w:pPr>
            <w:r>
              <w:rPr>
                <w:rFonts w:ascii="Arial" w:cs="Arial" w:eastAsia="Arial" w:hAnsi="Arial"/>
                <w:sz w:val="14"/>
                <w:szCs w:val="14"/>
                <w:b w:val="1"/>
                <w:bCs w:val="1"/>
                <w:color w:val="auto"/>
              </w:rPr>
              <w:t>2017</w:t>
            </w: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20" w:type="dxa"/>
            <w:vAlign w:val="bottom"/>
          </w:tcPr>
          <w:p>
            <w:pPr>
              <w:jc w:val="right"/>
              <w:ind w:right="679"/>
              <w:spacing w:after="0"/>
              <w:rPr>
                <w:sz w:val="20"/>
                <w:szCs w:val="20"/>
                <w:color w:val="auto"/>
              </w:rPr>
            </w:pPr>
            <w:r>
              <w:rPr>
                <w:rFonts w:ascii="Arial" w:cs="Arial" w:eastAsia="Arial" w:hAnsi="Arial"/>
                <w:sz w:val="14"/>
                <w:szCs w:val="14"/>
                <w:b w:val="1"/>
                <w:bCs w:val="1"/>
                <w:color w:val="auto"/>
              </w:rPr>
              <w:t>2017</w:t>
            </w:r>
          </w:p>
        </w:tc>
      </w:tr>
      <w:tr>
        <w:trPr>
          <w:trHeight w:val="250"/>
        </w:trPr>
        <w:tc>
          <w:tcPr>
            <w:tcW w:w="42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Derivatives designated as cash flow hedges:</w:t>
            </w:r>
          </w:p>
        </w:tc>
        <w:tc>
          <w:tcPr>
            <w:tcW w:w="33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68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6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4240" w:type="dxa"/>
            <w:vAlign w:val="bottom"/>
          </w:tcPr>
          <w:p>
            <w:pPr>
              <w:ind w:left="380"/>
              <w:spacing w:after="0"/>
              <w:rPr>
                <w:sz w:val="20"/>
                <w:szCs w:val="20"/>
                <w:color w:val="auto"/>
              </w:rPr>
            </w:pPr>
            <w:r>
              <w:rPr>
                <w:rFonts w:ascii="Arial" w:cs="Arial" w:eastAsia="Arial" w:hAnsi="Arial"/>
                <w:sz w:val="18"/>
                <w:szCs w:val="18"/>
                <w:color w:val="auto"/>
              </w:rPr>
              <w:t>Forward contracts:</w:t>
            </w:r>
          </w:p>
        </w:tc>
        <w:tc>
          <w:tcPr>
            <w:tcW w:w="3420" w:type="dxa"/>
            <w:vAlign w:val="bottom"/>
            <w:gridSpan w:val="2"/>
          </w:tcPr>
          <w:p>
            <w:pPr>
              <w:ind w:left="20"/>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80" w:type="dxa"/>
            <w:vAlign w:val="bottom"/>
          </w:tcPr>
          <w:p>
            <w:pPr>
              <w:jc w:val="right"/>
              <w:ind w:right="20"/>
              <w:spacing w:after="0"/>
              <w:rPr>
                <w:sz w:val="20"/>
                <w:szCs w:val="20"/>
                <w:color w:val="auto"/>
              </w:rPr>
            </w:pPr>
            <w:r>
              <w:rPr>
                <w:rFonts w:ascii="Arial" w:cs="Arial" w:eastAsia="Arial" w:hAnsi="Arial"/>
                <w:sz w:val="18"/>
                <w:szCs w:val="18"/>
                <w:color w:val="auto"/>
              </w:rPr>
              <w:t>1,251</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20" w:type="dxa"/>
            <w:vAlign w:val="bottom"/>
          </w:tcPr>
          <w:p>
            <w:pPr>
              <w:jc w:val="right"/>
              <w:ind w:right="19"/>
              <w:spacing w:after="0"/>
              <w:rPr>
                <w:sz w:val="20"/>
                <w:szCs w:val="20"/>
                <w:color w:val="auto"/>
              </w:rPr>
            </w:pPr>
            <w:r>
              <w:rPr>
                <w:rFonts w:ascii="Arial" w:cs="Arial" w:eastAsia="Arial" w:hAnsi="Arial"/>
                <w:sz w:val="18"/>
                <w:szCs w:val="18"/>
                <w:color w:val="auto"/>
              </w:rPr>
              <w:t>1,726</w:t>
            </w:r>
          </w:p>
        </w:tc>
      </w:tr>
      <w:tr>
        <w:trPr>
          <w:trHeight w:val="27"/>
        </w:trPr>
        <w:tc>
          <w:tcPr>
            <w:tcW w:w="4240" w:type="dxa"/>
            <w:vAlign w:val="bottom"/>
          </w:tcPr>
          <w:p>
            <w:pPr>
              <w:spacing w:after="0"/>
              <w:rPr>
                <w:sz w:val="2"/>
                <w:szCs w:val="2"/>
                <w:color w:val="auto"/>
              </w:rPr>
            </w:pPr>
          </w:p>
        </w:tc>
        <w:tc>
          <w:tcPr>
            <w:tcW w:w="3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20" w:type="dxa"/>
            <w:vAlign w:val="bottom"/>
          </w:tcPr>
          <w:p>
            <w:pPr>
              <w:spacing w:after="0"/>
              <w:rPr>
                <w:sz w:val="2"/>
                <w:szCs w:val="2"/>
                <w:color w:val="auto"/>
              </w:rPr>
            </w:pPr>
          </w:p>
        </w:tc>
      </w:tr>
      <w:tr>
        <w:trPr>
          <w:trHeight w:val="270"/>
        </w:trPr>
        <w:tc>
          <w:tcPr>
            <w:tcW w:w="4240" w:type="dxa"/>
            <w:vAlign w:val="bottom"/>
            <w:tcBorders>
              <w:bottom w:val="single" w:sz="8" w:color="CCEEFF"/>
            </w:tcBorders>
            <w:shd w:val="clear" w:color="auto" w:fill="CCEEFF"/>
          </w:tcPr>
          <w:p>
            <w:pPr>
              <w:spacing w:after="0"/>
              <w:rPr>
                <w:sz w:val="23"/>
                <w:szCs w:val="23"/>
                <w:color w:val="auto"/>
              </w:rPr>
            </w:pPr>
          </w:p>
        </w:tc>
        <w:tc>
          <w:tcPr>
            <w:tcW w:w="34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140" w:type="dxa"/>
            <w:vAlign w:val="bottom"/>
            <w:tcBorders>
              <w:bottom w:val="single" w:sz="8" w:color="CCEEFF"/>
            </w:tcBorders>
            <w:shd w:val="clear" w:color="auto" w:fill="CCEEFF"/>
          </w:tcPr>
          <w:p>
            <w:pPr>
              <w:spacing w:after="0"/>
              <w:rPr>
                <w:sz w:val="23"/>
                <w:szCs w:val="23"/>
                <w:color w:val="auto"/>
              </w:rPr>
            </w:pPr>
          </w:p>
        </w:tc>
        <w:tc>
          <w:tcPr>
            <w:tcW w:w="168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8"/>
                <w:szCs w:val="18"/>
                <w:color w:val="auto"/>
              </w:rPr>
              <w:t>331</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6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394</w:t>
            </w:r>
          </w:p>
        </w:tc>
      </w:tr>
      <w:tr>
        <w:trPr>
          <w:trHeight w:val="237"/>
        </w:trPr>
        <w:tc>
          <w:tcPr>
            <w:tcW w:w="4240" w:type="dxa"/>
            <w:vAlign w:val="bottom"/>
          </w:tcPr>
          <w:p>
            <w:pPr>
              <w:spacing w:after="0"/>
              <w:rPr>
                <w:sz w:val="20"/>
                <w:szCs w:val="20"/>
                <w:color w:val="auto"/>
              </w:rPr>
            </w:pPr>
          </w:p>
        </w:tc>
        <w:tc>
          <w:tcPr>
            <w:tcW w:w="3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680" w:type="dxa"/>
            <w:vAlign w:val="bottom"/>
            <w:tcBorders>
              <w:top w:val="single" w:sz="8" w:color="auto"/>
            </w:tcBorders>
          </w:tcPr>
          <w:p>
            <w:pPr>
              <w:jc w:val="right"/>
              <w:ind w:right="20"/>
              <w:spacing w:after="0"/>
              <w:rPr>
                <w:sz w:val="20"/>
                <w:szCs w:val="20"/>
                <w:color w:val="auto"/>
              </w:rPr>
            </w:pPr>
            <w:r>
              <w:rPr>
                <w:rFonts w:ascii="Arial" w:cs="Arial" w:eastAsia="Arial" w:hAnsi="Arial"/>
                <w:sz w:val="18"/>
                <w:szCs w:val="18"/>
                <w:color w:val="auto"/>
              </w:rPr>
              <w:t>1,582</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620" w:type="dxa"/>
            <w:vAlign w:val="bottom"/>
            <w:tcBorders>
              <w:top w:val="single" w:sz="8" w:color="auto"/>
            </w:tcBorders>
          </w:tcPr>
          <w:p>
            <w:pPr>
              <w:jc w:val="right"/>
              <w:ind w:right="19"/>
              <w:spacing w:after="0"/>
              <w:rPr>
                <w:sz w:val="20"/>
                <w:szCs w:val="20"/>
                <w:color w:val="auto"/>
              </w:rPr>
            </w:pPr>
            <w:r>
              <w:rPr>
                <w:rFonts w:ascii="Arial" w:cs="Arial" w:eastAsia="Arial" w:hAnsi="Arial"/>
                <w:sz w:val="18"/>
                <w:szCs w:val="18"/>
                <w:color w:val="auto"/>
              </w:rPr>
              <w:t>2,120</w:t>
            </w:r>
          </w:p>
        </w:tc>
      </w:tr>
      <w:tr>
        <w:trPr>
          <w:trHeight w:val="27"/>
        </w:trPr>
        <w:tc>
          <w:tcPr>
            <w:tcW w:w="4240" w:type="dxa"/>
            <w:vAlign w:val="bottom"/>
          </w:tcPr>
          <w:p>
            <w:pPr>
              <w:spacing w:after="0"/>
              <w:rPr>
                <w:sz w:val="2"/>
                <w:szCs w:val="2"/>
                <w:color w:val="auto"/>
              </w:rPr>
            </w:pPr>
          </w:p>
        </w:tc>
        <w:tc>
          <w:tcPr>
            <w:tcW w:w="3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r>
      <w:tr>
        <w:trPr>
          <w:trHeight w:val="20"/>
        </w:trPr>
        <w:tc>
          <w:tcPr>
            <w:tcW w:w="4240" w:type="dxa"/>
            <w:vAlign w:val="bottom"/>
          </w:tcPr>
          <w:p>
            <w:pPr>
              <w:spacing w:after="0" w:line="20" w:lineRule="exact"/>
              <w:rPr>
                <w:sz w:val="1"/>
                <w:szCs w:val="1"/>
                <w:color w:val="auto"/>
              </w:rPr>
            </w:pPr>
          </w:p>
        </w:tc>
        <w:tc>
          <w:tcPr>
            <w:tcW w:w="3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The amounts of gains (losses) associated with the Company's derivative financial instruments reclassified from accumulated other comprehensive loss for the three and six months ended July 29, 2017 are presented in the following table (in thousands):</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5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jc w:val="right"/>
              <w:ind w:right="219"/>
              <w:spacing w:after="0"/>
              <w:rPr>
                <w:sz w:val="20"/>
                <w:szCs w:val="20"/>
                <w:color w:val="auto"/>
              </w:rPr>
            </w:pPr>
            <w:r>
              <w:rPr>
                <w:rFonts w:ascii="Arial" w:cs="Arial" w:eastAsia="Arial" w:hAnsi="Arial"/>
                <w:sz w:val="14"/>
                <w:szCs w:val="14"/>
                <w:b w:val="1"/>
                <w:bCs w:val="1"/>
                <w:color w:val="auto"/>
                <w:w w:val="96"/>
              </w:rPr>
              <w:t>Three Months Ended</w:t>
            </w:r>
          </w:p>
        </w:tc>
        <w:tc>
          <w:tcPr>
            <w:tcW w:w="1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right="139"/>
              <w:spacing w:after="0"/>
              <w:rPr>
                <w:sz w:val="20"/>
                <w:szCs w:val="20"/>
                <w:color w:val="auto"/>
              </w:rPr>
            </w:pPr>
            <w:r>
              <w:rPr>
                <w:rFonts w:ascii="Arial" w:cs="Arial" w:eastAsia="Arial" w:hAnsi="Arial"/>
                <w:sz w:val="14"/>
                <w:szCs w:val="14"/>
                <w:b w:val="1"/>
                <w:bCs w:val="1"/>
                <w:color w:val="auto"/>
                <w:w w:val="93"/>
              </w:rPr>
              <w:t>Six Months Ended</w:t>
            </w:r>
          </w:p>
        </w:tc>
        <w:tc>
          <w:tcPr>
            <w:tcW w:w="0" w:type="dxa"/>
            <w:vAlign w:val="bottom"/>
          </w:tcPr>
          <w:p>
            <w:pPr>
              <w:spacing w:after="0"/>
              <w:rPr>
                <w:sz w:val="1"/>
                <w:szCs w:val="1"/>
                <w:color w:val="auto"/>
              </w:rPr>
            </w:pPr>
          </w:p>
        </w:tc>
      </w:tr>
      <w:tr>
        <w:trPr>
          <w:trHeight w:val="152"/>
        </w:trPr>
        <w:tc>
          <w:tcPr>
            <w:tcW w:w="754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Affected Line Item in the Statements of Operations:</w:t>
            </w:r>
          </w:p>
        </w:tc>
        <w:tc>
          <w:tcPr>
            <w:tcW w:w="120" w:type="dxa"/>
            <w:vAlign w:val="bottom"/>
            <w:vMerge w:val="restart"/>
          </w:tcPr>
          <w:p>
            <w:pPr>
              <w:spacing w:after="0"/>
              <w:rPr>
                <w:sz w:val="13"/>
                <w:szCs w:val="13"/>
                <w:color w:val="auto"/>
              </w:rPr>
            </w:pPr>
          </w:p>
        </w:tc>
        <w:tc>
          <w:tcPr>
            <w:tcW w:w="160" w:type="dxa"/>
            <w:vAlign w:val="bottom"/>
          </w:tcPr>
          <w:p>
            <w:pPr>
              <w:spacing w:after="0"/>
              <w:rPr>
                <w:sz w:val="13"/>
                <w:szCs w:val="13"/>
                <w:color w:val="auto"/>
              </w:rPr>
            </w:pPr>
          </w:p>
        </w:tc>
        <w:tc>
          <w:tcPr>
            <w:tcW w:w="1780" w:type="dxa"/>
            <w:vAlign w:val="bottom"/>
            <w:gridSpan w:val="2"/>
          </w:tcPr>
          <w:p>
            <w:pPr>
              <w:ind w:left="500"/>
              <w:spacing w:after="0" w:line="153" w:lineRule="exact"/>
              <w:rPr>
                <w:sz w:val="20"/>
                <w:szCs w:val="20"/>
                <w:color w:val="auto"/>
              </w:rPr>
            </w:pPr>
            <w:r>
              <w:rPr>
                <w:rFonts w:ascii="Arial" w:cs="Arial" w:eastAsia="Arial" w:hAnsi="Arial"/>
                <w:sz w:val="14"/>
                <w:szCs w:val="14"/>
                <w:b w:val="1"/>
                <w:bCs w:val="1"/>
                <w:color w:val="auto"/>
              </w:rPr>
              <w:t>July 29,</w:t>
            </w:r>
          </w:p>
        </w:tc>
        <w:tc>
          <w:tcPr>
            <w:tcW w:w="220" w:type="dxa"/>
            <w:vAlign w:val="bottom"/>
          </w:tcPr>
          <w:p>
            <w:pPr>
              <w:spacing w:after="0"/>
              <w:rPr>
                <w:sz w:val="13"/>
                <w:szCs w:val="13"/>
                <w:color w:val="auto"/>
              </w:rPr>
            </w:pPr>
          </w:p>
        </w:tc>
        <w:tc>
          <w:tcPr>
            <w:tcW w:w="1600" w:type="dxa"/>
            <w:vAlign w:val="bottom"/>
          </w:tcPr>
          <w:p>
            <w:pPr>
              <w:jc w:val="center"/>
              <w:ind w:right="159"/>
              <w:spacing w:after="0" w:line="153" w:lineRule="exact"/>
              <w:rPr>
                <w:sz w:val="20"/>
                <w:szCs w:val="20"/>
                <w:color w:val="auto"/>
              </w:rPr>
            </w:pPr>
            <w:r>
              <w:rPr>
                <w:rFonts w:ascii="Arial" w:cs="Arial" w:eastAsia="Arial" w:hAnsi="Arial"/>
                <w:sz w:val="14"/>
                <w:szCs w:val="14"/>
                <w:b w:val="1"/>
                <w:bCs w:val="1"/>
                <w:color w:val="auto"/>
                <w:w w:val="93"/>
              </w:rPr>
              <w:t>July 29,</w:t>
            </w:r>
          </w:p>
        </w:tc>
        <w:tc>
          <w:tcPr>
            <w:tcW w:w="0" w:type="dxa"/>
            <w:vAlign w:val="bottom"/>
          </w:tcPr>
          <w:p>
            <w:pPr>
              <w:spacing w:after="0"/>
              <w:rPr>
                <w:sz w:val="1"/>
                <w:szCs w:val="1"/>
                <w:color w:val="auto"/>
              </w:rPr>
            </w:pPr>
          </w:p>
        </w:tc>
      </w:tr>
      <w:tr>
        <w:trPr>
          <w:trHeight w:val="192"/>
        </w:trPr>
        <w:tc>
          <w:tcPr>
            <w:tcW w:w="754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jc w:val="right"/>
              <w:ind w:right="679"/>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tcPr>
          <w:p>
            <w:pPr>
              <w:jc w:val="center"/>
              <w:ind w:right="139"/>
              <w:spacing w:after="0"/>
              <w:rPr>
                <w:sz w:val="20"/>
                <w:szCs w:val="20"/>
                <w:color w:val="auto"/>
              </w:rPr>
            </w:pPr>
            <w:r>
              <w:rPr>
                <w:rFonts w:ascii="Arial" w:cs="Arial" w:eastAsia="Arial" w:hAnsi="Arial"/>
                <w:sz w:val="14"/>
                <w:szCs w:val="14"/>
                <w:b w:val="1"/>
                <w:bCs w:val="1"/>
                <w:color w:val="auto"/>
                <w:w w:val="96"/>
              </w:rPr>
              <w:t>2017</w:t>
            </w:r>
          </w:p>
        </w:tc>
        <w:tc>
          <w:tcPr>
            <w:tcW w:w="0" w:type="dxa"/>
            <w:vAlign w:val="bottom"/>
          </w:tcPr>
          <w:p>
            <w:pPr>
              <w:spacing w:after="0"/>
              <w:rPr>
                <w:sz w:val="1"/>
                <w:szCs w:val="1"/>
                <w:color w:val="auto"/>
              </w:rPr>
            </w:pPr>
          </w:p>
        </w:tc>
      </w:tr>
      <w:tr>
        <w:trPr>
          <w:trHeight w:val="250"/>
        </w:trPr>
        <w:tc>
          <w:tcPr>
            <w:tcW w:w="76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Operating costs and expenses:</w:t>
            </w:r>
          </w:p>
        </w:tc>
        <w:tc>
          <w:tcPr>
            <w:tcW w:w="160" w:type="dxa"/>
            <w:vAlign w:val="bottom"/>
            <w:tcBorders>
              <w:bottom w:val="single" w:sz="8" w:color="CCEEFF"/>
            </w:tcBorders>
            <w:shd w:val="clear" w:color="auto" w:fill="CCEEFF"/>
          </w:tcPr>
          <w:p>
            <w:pPr>
              <w:spacing w:after="0"/>
              <w:rPr>
                <w:sz w:val="21"/>
                <w:szCs w:val="21"/>
                <w:color w:val="auto"/>
              </w:rPr>
            </w:pPr>
          </w:p>
        </w:tc>
        <w:tc>
          <w:tcPr>
            <w:tcW w:w="16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6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660" w:type="dxa"/>
            <w:vAlign w:val="bottom"/>
            <w:gridSpan w:val="2"/>
          </w:tcPr>
          <w:p>
            <w:pPr>
              <w:ind w:left="260"/>
              <w:spacing w:after="0"/>
              <w:rPr>
                <w:sz w:val="20"/>
                <w:szCs w:val="20"/>
                <w:color w:val="auto"/>
              </w:rPr>
            </w:pPr>
            <w:r>
              <w:rPr>
                <w:rFonts w:ascii="Arial" w:cs="Arial" w:eastAsia="Arial" w:hAnsi="Arial"/>
                <w:sz w:val="18"/>
                <w:szCs w:val="18"/>
                <w:color w:val="auto"/>
              </w:rPr>
              <w:t>Cash flow hedges:</w:t>
            </w:r>
          </w:p>
        </w:tc>
        <w:tc>
          <w:tcPr>
            <w:tcW w:w="160" w:type="dxa"/>
            <w:vAlign w:val="bottom"/>
          </w:tcPr>
          <w:p>
            <w:pPr>
              <w:spacing w:after="0"/>
              <w:rPr>
                <w:sz w:val="21"/>
                <w:szCs w:val="21"/>
                <w:color w:val="auto"/>
              </w:rPr>
            </w:pPr>
          </w:p>
        </w:tc>
        <w:tc>
          <w:tcPr>
            <w:tcW w:w="16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660" w:type="dxa"/>
            <w:vAlign w:val="bottom"/>
            <w:tcBorders>
              <w:bottom w:val="single" w:sz="8" w:color="CCEEFF"/>
            </w:tcBorders>
            <w:gridSpan w:val="2"/>
            <w:shd w:val="clear" w:color="auto" w:fill="CCEEFF"/>
          </w:tcPr>
          <w:p>
            <w:pPr>
              <w:ind w:left="620"/>
              <w:spacing w:after="0"/>
              <w:rPr>
                <w:sz w:val="20"/>
                <w:szCs w:val="20"/>
                <w:color w:val="auto"/>
              </w:rPr>
            </w:pPr>
            <w:r>
              <w:rPr>
                <w:rFonts w:ascii="Arial" w:cs="Arial" w:eastAsia="Arial" w:hAnsi="Arial"/>
                <w:sz w:val="18"/>
                <w:szCs w:val="18"/>
                <w:color w:val="auto"/>
              </w:rPr>
              <w:t>Research and development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1,003</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6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1,074</w:t>
            </w:r>
          </w:p>
        </w:tc>
        <w:tc>
          <w:tcPr>
            <w:tcW w:w="0" w:type="dxa"/>
            <w:vAlign w:val="bottom"/>
          </w:tcPr>
          <w:p>
            <w:pPr>
              <w:spacing w:after="0"/>
              <w:rPr>
                <w:sz w:val="1"/>
                <w:szCs w:val="1"/>
                <w:color w:val="auto"/>
              </w:rPr>
            </w:pPr>
          </w:p>
        </w:tc>
      </w:tr>
      <w:tr>
        <w:trPr>
          <w:trHeight w:val="243"/>
        </w:trPr>
        <w:tc>
          <w:tcPr>
            <w:tcW w:w="7660" w:type="dxa"/>
            <w:vAlign w:val="bottom"/>
            <w:gridSpan w:val="2"/>
          </w:tcPr>
          <w:p>
            <w:pPr>
              <w:ind w:left="620"/>
              <w:spacing w:after="0"/>
              <w:rPr>
                <w:sz w:val="20"/>
                <w:szCs w:val="20"/>
                <w:color w:val="auto"/>
              </w:rPr>
            </w:pPr>
            <w:r>
              <w:rPr>
                <w:rFonts w:ascii="Arial" w:cs="Arial" w:eastAsia="Arial" w:hAnsi="Arial"/>
                <w:sz w:val="18"/>
                <w:szCs w:val="18"/>
                <w:color w:val="auto"/>
              </w:rPr>
              <w:t>Selling, general and administrative</w:t>
            </w:r>
          </w:p>
        </w:tc>
        <w:tc>
          <w:tcPr>
            <w:tcW w:w="160" w:type="dxa"/>
            <w:vAlign w:val="bottom"/>
          </w:tcPr>
          <w:p>
            <w:pPr>
              <w:spacing w:after="0"/>
              <w:rPr>
                <w:sz w:val="21"/>
                <w:szCs w:val="21"/>
                <w:color w:val="auto"/>
              </w:rPr>
            </w:pPr>
          </w:p>
        </w:tc>
        <w:tc>
          <w:tcPr>
            <w:tcW w:w="1660" w:type="dxa"/>
            <w:vAlign w:val="bottom"/>
          </w:tcPr>
          <w:p>
            <w:pPr>
              <w:jc w:val="right"/>
              <w:ind w:right="19"/>
              <w:spacing w:after="0"/>
              <w:rPr>
                <w:sz w:val="20"/>
                <w:szCs w:val="20"/>
                <w:color w:val="auto"/>
              </w:rPr>
            </w:pPr>
            <w:r>
              <w:rPr>
                <w:rFonts w:ascii="Arial" w:cs="Arial" w:eastAsia="Arial" w:hAnsi="Arial"/>
                <w:sz w:val="18"/>
                <w:szCs w:val="18"/>
                <w:color w:val="auto"/>
              </w:rPr>
              <w:t>265</w:t>
            </w: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0" w:type="dxa"/>
            <w:vAlign w:val="bottom"/>
          </w:tcPr>
          <w:p>
            <w:pPr>
              <w:jc w:val="right"/>
              <w:ind w:right="19"/>
              <w:spacing w:after="0"/>
              <w:rPr>
                <w:sz w:val="20"/>
                <w:szCs w:val="20"/>
                <w:color w:val="auto"/>
              </w:rPr>
            </w:pPr>
            <w:r>
              <w:rPr>
                <w:rFonts w:ascii="Arial" w:cs="Arial" w:eastAsia="Arial" w:hAnsi="Arial"/>
                <w:sz w:val="18"/>
                <w:szCs w:val="18"/>
                <w:color w:val="auto"/>
              </w:rPr>
              <w:t>274</w:t>
            </w:r>
          </w:p>
        </w:tc>
        <w:tc>
          <w:tcPr>
            <w:tcW w:w="0" w:type="dxa"/>
            <w:vAlign w:val="bottom"/>
          </w:tcPr>
          <w:p>
            <w:pPr>
              <w:spacing w:after="0"/>
              <w:rPr>
                <w:sz w:val="1"/>
                <w:szCs w:val="1"/>
                <w:color w:val="auto"/>
              </w:rPr>
            </w:pPr>
          </w:p>
        </w:tc>
      </w:tr>
      <w:tr>
        <w:trPr>
          <w:trHeight w:val="27"/>
        </w:trPr>
        <w:tc>
          <w:tcPr>
            <w:tcW w:w="754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766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Total</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1,268</w:t>
            </w: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6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1,348</w:t>
            </w:r>
          </w:p>
        </w:tc>
        <w:tc>
          <w:tcPr>
            <w:tcW w:w="0" w:type="dxa"/>
            <w:vAlign w:val="bottom"/>
          </w:tcPr>
          <w:p>
            <w:pPr>
              <w:spacing w:after="0"/>
              <w:rPr>
                <w:sz w:val="1"/>
                <w:szCs w:val="1"/>
                <w:color w:val="auto"/>
              </w:rPr>
            </w:pPr>
          </w:p>
        </w:tc>
      </w:tr>
      <w:tr>
        <w:trPr>
          <w:trHeight w:val="20"/>
        </w:trPr>
        <w:tc>
          <w:tcPr>
            <w:tcW w:w="75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6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jc w:val="both"/>
        <w:ind w:right="60" w:firstLine="405"/>
        <w:spacing w:after="0" w:line="312" w:lineRule="auto"/>
        <w:rPr>
          <w:sz w:val="20"/>
          <w:szCs w:val="20"/>
          <w:color w:val="auto"/>
        </w:rPr>
      </w:pPr>
      <w:r>
        <w:rPr>
          <w:rFonts w:ascii="Arial" w:cs="Arial" w:eastAsia="Arial" w:hAnsi="Arial"/>
          <w:sz w:val="16"/>
          <w:szCs w:val="16"/>
          <w:color w:val="auto"/>
        </w:rPr>
        <w:t>The portion of gains (losses) excluded from the assessment of hedge effectiveness is included in interest and other income, net. These amounts were not material in the three and six months ended July 29, 2017. The Company did not have hedge ineffectiveness from derivative financial instruments in the three and six months ended August 4, 2018 and July 29, 2017. No cash flow hedges were terminated as a result of forecasted transactions that did not occur.</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130" w:right="239" w:bottom="1440" w:gutter="0" w:footer="0" w:header="0"/>
        </w:sectPr>
      </w:pPr>
    </w:p>
    <w:bookmarkStart w:id="25" w:name="page26"/>
    <w:bookmarkEnd w:id="2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Fair Value Measurements</w:t>
      </w:r>
    </w:p>
    <w:p>
      <w:pPr>
        <w:spacing w:after="0" w:line="94" w:lineRule="exact"/>
        <w:rPr>
          <w:sz w:val="20"/>
          <w:szCs w:val="20"/>
          <w:color w:val="auto"/>
        </w:rPr>
      </w:pPr>
    </w:p>
    <w:p>
      <w:pPr>
        <w:ind w:right="26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200" w:lineRule="exact"/>
        <w:rPr>
          <w:sz w:val="20"/>
          <w:szCs w:val="20"/>
          <w:color w:val="auto"/>
        </w:rPr>
      </w:pPr>
    </w:p>
    <w:p>
      <w:pPr>
        <w:spacing w:after="0" w:line="21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right="20" w:firstLine="432"/>
        <w:spacing w:after="0" w:line="297"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foreign government and agency debt, municipal debt securities, corporate debt securities and asset backed securities as the market inputs used to value these instruments consist of market yields, reported trades and broker/dealer quotes, which are corroborated with observable market data. In addition, the severance pay fund is classified as Level 2 assets as the valuation inputs are based on quoted prices and market observable data of similar instruments.</w:t>
      </w:r>
    </w:p>
    <w:p>
      <w:pPr>
        <w:spacing w:after="0" w:line="104"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08" w:lineRule="exact"/>
        <w:rPr>
          <w:sz w:val="20"/>
          <w:szCs w:val="20"/>
          <w:color w:val="auto"/>
        </w:rPr>
      </w:pPr>
    </w:p>
    <w:p>
      <w:pPr>
        <w:ind w:left="6940"/>
        <w:spacing w:after="0"/>
        <w:rPr>
          <w:sz w:val="20"/>
          <w:szCs w:val="20"/>
          <w:color w:val="auto"/>
        </w:rPr>
      </w:pPr>
      <w:r>
        <w:rPr>
          <w:rFonts w:ascii="Arial" w:cs="Arial" w:eastAsia="Arial" w:hAnsi="Arial"/>
          <w:sz w:val="14"/>
          <w:szCs w:val="14"/>
          <w:b w:val="1"/>
          <w:bCs w:val="1"/>
          <w:color w:val="auto"/>
        </w:rPr>
        <w:t>Fair Value Measurements at August 4,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3"/>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17,759</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3"/>
              <w:spacing w:after="0"/>
              <w:rPr>
                <w:sz w:val="20"/>
                <w:szCs w:val="20"/>
                <w:color w:val="auto"/>
              </w:rPr>
            </w:pPr>
            <w:r>
              <w:rPr>
                <w:rFonts w:ascii="Arial" w:cs="Arial" w:eastAsia="Arial" w:hAnsi="Arial"/>
                <w:sz w:val="18"/>
                <w:szCs w:val="18"/>
                <w:color w:val="auto"/>
              </w:rPr>
              <w:t>17,759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60,730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60,730</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25,000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25,000</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869</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869</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17,759</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86,599</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104,358</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130" w:right="259" w:bottom="1440" w:gutter="0" w:footer="0" w:header="0"/>
        </w:sectPr>
      </w:pPr>
    </w:p>
    <w:bookmarkStart w:id="26" w:name="page27"/>
    <w:bookmarkEnd w:id="2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4"/>
          <w:szCs w:val="14"/>
          <w:b w:val="1"/>
          <w:bCs w:val="1"/>
          <w:color w:val="auto"/>
        </w:rPr>
        <w:t>Fair Value Measurements at February 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18,503</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18,503</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65,117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65,117</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51,589</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51,589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5,290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5,290</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127,076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127,076</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150,000</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247,741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247,741</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6,987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6,987</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2,728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2,728</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503,079</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503,079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42,255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42,255</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896</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896</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317,833</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903,428</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1,221,261</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25"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At August 4, 2018, the estimated aggregate fair value of the 2023 Notes and 2028 Notes was $1.0 billion and were classified as Level 2 as there are quoted prices from less active markets for the notes.</w:t>
      </w: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Commitments and Contingencies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90"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color w:val="auto"/>
        </w:rPr>
        <w:t>The Company leases some of its facilities, equipment and computer aided design software under non-cancelable operating leases. Further, the Company assumed operating leases following the acquisition of Cavium. The Company also purchases certain intellectual property under technology license obligations and assumed similar liability from the acquisition of Cavium. Technology license obligations include the liabilities under agreements for technology licenses between the Company and various vendors. Future minimum lease payments, net of estimated sublease income, and payments under technology license obligations as of August 4, 2018 are presented in the following table (in thousands):</w:t>
      </w:r>
    </w:p>
    <w:p>
      <w:pPr>
        <w:spacing w:after="0" w:line="200" w:lineRule="exact"/>
        <w:rPr>
          <w:sz w:val="20"/>
          <w:szCs w:val="20"/>
          <w:color w:val="auto"/>
        </w:rPr>
      </w:pPr>
    </w:p>
    <w:p>
      <w:pPr>
        <w:spacing w:after="0" w:line="2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130" w:right="239" w:bottom="1440" w:gutter="0" w:footer="0" w:header="0"/>
        </w:sectPr>
      </w:pPr>
    </w:p>
    <w:bookmarkStart w:id="27" w:name="page28"/>
    <w:bookmarkEnd w:id="2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6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Fiscal Year</w:t>
            </w:r>
          </w:p>
        </w:tc>
        <w:tc>
          <w:tcPr>
            <w:tcW w:w="200" w:type="dxa"/>
            <w:vAlign w:val="bottom"/>
          </w:tcPr>
          <w:p>
            <w:pPr>
              <w:spacing w:after="0"/>
              <w:rPr>
                <w:sz w:val="14"/>
                <w:szCs w:val="14"/>
                <w:color w:val="auto"/>
              </w:rPr>
            </w:pPr>
          </w:p>
        </w:tc>
        <w:tc>
          <w:tcPr>
            <w:tcW w:w="1540" w:type="dxa"/>
            <w:vAlign w:val="bottom"/>
          </w:tcPr>
          <w:p>
            <w:pPr>
              <w:jc w:val="right"/>
              <w:ind w:right="193"/>
              <w:spacing w:after="0"/>
              <w:rPr>
                <w:sz w:val="20"/>
                <w:szCs w:val="20"/>
                <w:color w:val="auto"/>
              </w:rPr>
            </w:pPr>
            <w:r>
              <w:rPr>
                <w:rFonts w:ascii="Arial" w:cs="Arial" w:eastAsia="Arial" w:hAnsi="Arial"/>
                <w:sz w:val="14"/>
                <w:szCs w:val="14"/>
                <w:b w:val="1"/>
                <w:bCs w:val="1"/>
                <w:color w:val="auto"/>
                <w:w w:val="92"/>
              </w:rPr>
              <w:t>Technology License</w:t>
            </w: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00" w:type="dxa"/>
            <w:vAlign w:val="bottom"/>
            <w:vMerge w:val="restart"/>
          </w:tcPr>
          <w:p>
            <w:pPr>
              <w:jc w:val="right"/>
              <w:ind w:right="232"/>
              <w:spacing w:after="0"/>
              <w:rPr>
                <w:sz w:val="20"/>
                <w:szCs w:val="20"/>
                <w:color w:val="auto"/>
              </w:rPr>
            </w:pPr>
            <w:r>
              <w:rPr>
                <w:rFonts w:ascii="Arial" w:cs="Arial" w:eastAsia="Arial" w:hAnsi="Arial"/>
                <w:sz w:val="14"/>
                <w:szCs w:val="14"/>
                <w:b w:val="1"/>
                <w:bCs w:val="1"/>
                <w:color w:val="auto"/>
                <w:w w:val="98"/>
              </w:rPr>
              <w:t>Operating Leases</w:t>
            </w:r>
          </w:p>
        </w:tc>
        <w:tc>
          <w:tcPr>
            <w:tcW w:w="100" w:type="dxa"/>
            <w:vAlign w:val="bottom"/>
            <w:vMerge w:val="restart"/>
          </w:tcPr>
          <w:p>
            <w:pPr>
              <w:spacing w:after="0"/>
              <w:rPr>
                <w:sz w:val="14"/>
                <w:szCs w:val="14"/>
                <w:color w:val="auto"/>
              </w:rPr>
            </w:pPr>
          </w:p>
        </w:tc>
        <w:tc>
          <w:tcPr>
            <w:tcW w:w="400" w:type="dxa"/>
            <w:vAlign w:val="bottom"/>
          </w:tcPr>
          <w:p>
            <w:pPr>
              <w:spacing w:after="0"/>
              <w:rPr>
                <w:sz w:val="14"/>
                <w:szCs w:val="14"/>
                <w:color w:val="auto"/>
              </w:rPr>
            </w:pPr>
          </w:p>
        </w:tc>
        <w:tc>
          <w:tcPr>
            <w:tcW w:w="1300" w:type="dxa"/>
            <w:vAlign w:val="bottom"/>
            <w:vMerge w:val="restart"/>
          </w:tcPr>
          <w:p>
            <w:pPr>
              <w:jc w:val="right"/>
              <w:ind w:right="61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6060" w:type="dxa"/>
            <w:vAlign w:val="bottom"/>
            <w:tcBorders>
              <w:bottom w:val="single" w:sz="8" w:color="CCEEFF"/>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tcPr>
          <w:p>
            <w:pPr>
              <w:jc w:val="right"/>
              <w:ind w:right="433"/>
              <w:spacing w:after="0"/>
              <w:rPr>
                <w:sz w:val="20"/>
                <w:szCs w:val="20"/>
                <w:color w:val="auto"/>
              </w:rPr>
            </w:pPr>
            <w:r>
              <w:rPr>
                <w:rFonts w:ascii="Arial" w:cs="Arial" w:eastAsia="Arial" w:hAnsi="Arial"/>
                <w:sz w:val="14"/>
                <w:szCs w:val="14"/>
                <w:b w:val="1"/>
                <w:bCs w:val="1"/>
                <w:color w:val="auto"/>
              </w:rPr>
              <w:t>Obligations</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vMerge w:val="continue"/>
          </w:tcPr>
          <w:p>
            <w:pPr>
              <w:spacing w:after="0"/>
              <w:rPr>
                <w:sz w:val="16"/>
                <w:szCs w:val="16"/>
                <w:color w:val="auto"/>
              </w:rPr>
            </w:pPr>
          </w:p>
        </w:tc>
        <w:tc>
          <w:tcPr>
            <w:tcW w:w="100" w:type="dxa"/>
            <w:vAlign w:val="bottom"/>
            <w:tcBorders>
              <w:bottom w:val="single" w:sz="8" w:color="CCEEFF"/>
            </w:tcBorders>
            <w:vMerge w:val="continue"/>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60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Remainder of 2019</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22,934</w:t>
            </w:r>
          </w:p>
        </w:tc>
        <w:tc>
          <w:tcPr>
            <w:tcW w:w="32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5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31,994</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54,928</w:t>
            </w:r>
          </w:p>
        </w:tc>
        <w:tc>
          <w:tcPr>
            <w:tcW w:w="0" w:type="dxa"/>
            <w:vAlign w:val="bottom"/>
          </w:tcPr>
          <w:p>
            <w:pPr>
              <w:spacing w:after="0"/>
              <w:rPr>
                <w:sz w:val="1"/>
                <w:szCs w:val="1"/>
                <w:color w:val="auto"/>
              </w:rPr>
            </w:pPr>
          </w:p>
        </w:tc>
      </w:tr>
      <w:tr>
        <w:trPr>
          <w:trHeight w:val="243"/>
        </w:trPr>
        <w:tc>
          <w:tcPr>
            <w:tcW w:w="6060" w:type="dxa"/>
            <w:vAlign w:val="bottom"/>
          </w:tcPr>
          <w:p>
            <w:pPr>
              <w:ind w:left="40"/>
              <w:spacing w:after="0"/>
              <w:rPr>
                <w:sz w:val="20"/>
                <w:szCs w:val="20"/>
                <w:color w:val="auto"/>
              </w:rPr>
            </w:pPr>
            <w:r>
              <w:rPr>
                <w:rFonts w:ascii="Arial" w:cs="Arial" w:eastAsia="Arial" w:hAnsi="Arial"/>
                <w:sz w:val="18"/>
                <w:szCs w:val="18"/>
                <w:color w:val="auto"/>
              </w:rPr>
              <w:t>2020</w:t>
            </w:r>
          </w:p>
        </w:tc>
        <w:tc>
          <w:tcPr>
            <w:tcW w:w="200" w:type="dxa"/>
            <w:vAlign w:val="bottom"/>
          </w:tcPr>
          <w:p>
            <w:pPr>
              <w:spacing w:after="0"/>
              <w:rPr>
                <w:sz w:val="21"/>
                <w:szCs w:val="21"/>
                <w:color w:val="auto"/>
              </w:rPr>
            </w:pPr>
          </w:p>
        </w:tc>
        <w:tc>
          <w:tcPr>
            <w:tcW w:w="1540" w:type="dxa"/>
            <w:vAlign w:val="bottom"/>
          </w:tcPr>
          <w:p>
            <w:pPr>
              <w:jc w:val="right"/>
              <w:ind w:right="33"/>
              <w:spacing w:after="0"/>
              <w:rPr>
                <w:sz w:val="20"/>
                <w:szCs w:val="20"/>
                <w:color w:val="auto"/>
              </w:rPr>
            </w:pPr>
            <w:r>
              <w:rPr>
                <w:rFonts w:ascii="Arial" w:cs="Arial" w:eastAsia="Arial" w:hAnsi="Arial"/>
                <w:sz w:val="18"/>
                <w:szCs w:val="18"/>
                <w:color w:val="auto"/>
              </w:rPr>
              <w:t>30,522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500" w:type="dxa"/>
            <w:vAlign w:val="bottom"/>
          </w:tcPr>
          <w:p>
            <w:pPr>
              <w:jc w:val="right"/>
              <w:ind w:right="32"/>
              <w:spacing w:after="0"/>
              <w:rPr>
                <w:sz w:val="20"/>
                <w:szCs w:val="20"/>
                <w:color w:val="auto"/>
              </w:rPr>
            </w:pPr>
            <w:r>
              <w:rPr>
                <w:rFonts w:ascii="Arial" w:cs="Arial" w:eastAsia="Arial" w:hAnsi="Arial"/>
                <w:sz w:val="18"/>
                <w:szCs w:val="18"/>
                <w:color w:val="auto"/>
              </w:rPr>
              <w:t>40,812</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300" w:type="dxa"/>
            <w:vAlign w:val="bottom"/>
          </w:tcPr>
          <w:p>
            <w:pPr>
              <w:jc w:val="right"/>
              <w:ind w:right="12"/>
              <w:spacing w:after="0"/>
              <w:rPr>
                <w:sz w:val="20"/>
                <w:szCs w:val="20"/>
                <w:color w:val="auto"/>
              </w:rPr>
            </w:pPr>
            <w:r>
              <w:rPr>
                <w:rFonts w:ascii="Arial" w:cs="Arial" w:eastAsia="Arial" w:hAnsi="Arial"/>
                <w:sz w:val="18"/>
                <w:szCs w:val="18"/>
                <w:color w:val="auto"/>
              </w:rPr>
              <w:t>71,334</w:t>
            </w:r>
          </w:p>
        </w:tc>
        <w:tc>
          <w:tcPr>
            <w:tcW w:w="0" w:type="dxa"/>
            <w:vAlign w:val="bottom"/>
          </w:tcPr>
          <w:p>
            <w:pPr>
              <w:spacing w:after="0"/>
              <w:rPr>
                <w:sz w:val="1"/>
                <w:szCs w:val="1"/>
                <w:color w:val="auto"/>
              </w:rPr>
            </w:pPr>
          </w:p>
        </w:tc>
      </w:tr>
      <w:tr>
        <w:trPr>
          <w:trHeight w:val="27"/>
        </w:trPr>
        <w:tc>
          <w:tcPr>
            <w:tcW w:w="60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0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2021</w:t>
            </w:r>
          </w:p>
        </w:tc>
        <w:tc>
          <w:tcPr>
            <w:tcW w:w="2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7,800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28,299</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36,099</w:t>
            </w:r>
          </w:p>
        </w:tc>
        <w:tc>
          <w:tcPr>
            <w:tcW w:w="0" w:type="dxa"/>
            <w:vAlign w:val="bottom"/>
          </w:tcPr>
          <w:p>
            <w:pPr>
              <w:spacing w:after="0"/>
              <w:rPr>
                <w:sz w:val="1"/>
                <w:szCs w:val="1"/>
                <w:color w:val="auto"/>
              </w:rPr>
            </w:pPr>
          </w:p>
        </w:tc>
      </w:tr>
      <w:tr>
        <w:trPr>
          <w:trHeight w:val="243"/>
        </w:trPr>
        <w:tc>
          <w:tcPr>
            <w:tcW w:w="6060" w:type="dxa"/>
            <w:vAlign w:val="bottom"/>
          </w:tcPr>
          <w:p>
            <w:pPr>
              <w:ind w:left="40"/>
              <w:spacing w:after="0"/>
              <w:rPr>
                <w:sz w:val="20"/>
                <w:szCs w:val="20"/>
                <w:color w:val="auto"/>
              </w:rPr>
            </w:pPr>
            <w:r>
              <w:rPr>
                <w:rFonts w:ascii="Arial" w:cs="Arial" w:eastAsia="Arial" w:hAnsi="Arial"/>
                <w:sz w:val="18"/>
                <w:szCs w:val="18"/>
                <w:color w:val="auto"/>
              </w:rPr>
              <w:t>2022</w:t>
            </w:r>
          </w:p>
        </w:tc>
        <w:tc>
          <w:tcPr>
            <w:tcW w:w="200" w:type="dxa"/>
            <w:vAlign w:val="bottom"/>
          </w:tcPr>
          <w:p>
            <w:pPr>
              <w:spacing w:after="0"/>
              <w:rPr>
                <w:sz w:val="21"/>
                <w:szCs w:val="21"/>
                <w:color w:val="auto"/>
              </w:rPr>
            </w:pPr>
          </w:p>
        </w:tc>
        <w:tc>
          <w:tcPr>
            <w:tcW w:w="154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500" w:type="dxa"/>
            <w:vAlign w:val="bottom"/>
          </w:tcPr>
          <w:p>
            <w:pPr>
              <w:jc w:val="right"/>
              <w:ind w:right="32"/>
              <w:spacing w:after="0"/>
              <w:rPr>
                <w:sz w:val="20"/>
                <w:szCs w:val="20"/>
                <w:color w:val="auto"/>
              </w:rPr>
            </w:pPr>
            <w:r>
              <w:rPr>
                <w:rFonts w:ascii="Arial" w:cs="Arial" w:eastAsia="Arial" w:hAnsi="Arial"/>
                <w:sz w:val="18"/>
                <w:szCs w:val="18"/>
                <w:color w:val="auto"/>
              </w:rPr>
              <w:t>26,005</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300" w:type="dxa"/>
            <w:vAlign w:val="bottom"/>
          </w:tcPr>
          <w:p>
            <w:pPr>
              <w:jc w:val="right"/>
              <w:ind w:right="12"/>
              <w:spacing w:after="0"/>
              <w:rPr>
                <w:sz w:val="20"/>
                <w:szCs w:val="20"/>
                <w:color w:val="auto"/>
              </w:rPr>
            </w:pPr>
            <w:r>
              <w:rPr>
                <w:rFonts w:ascii="Arial" w:cs="Arial" w:eastAsia="Arial" w:hAnsi="Arial"/>
                <w:sz w:val="18"/>
                <w:szCs w:val="18"/>
                <w:color w:val="auto"/>
              </w:rPr>
              <w:t>26,005</w:t>
            </w:r>
          </w:p>
        </w:tc>
        <w:tc>
          <w:tcPr>
            <w:tcW w:w="0" w:type="dxa"/>
            <w:vAlign w:val="bottom"/>
          </w:tcPr>
          <w:p>
            <w:pPr>
              <w:spacing w:after="0"/>
              <w:rPr>
                <w:sz w:val="1"/>
                <w:szCs w:val="1"/>
                <w:color w:val="auto"/>
              </w:rPr>
            </w:pPr>
          </w:p>
        </w:tc>
      </w:tr>
      <w:tr>
        <w:trPr>
          <w:trHeight w:val="27"/>
        </w:trPr>
        <w:tc>
          <w:tcPr>
            <w:tcW w:w="60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0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2023</w:t>
            </w:r>
          </w:p>
        </w:tc>
        <w:tc>
          <w:tcPr>
            <w:tcW w:w="2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19,215</w:t>
            </w: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19,215</w:t>
            </w:r>
          </w:p>
        </w:tc>
        <w:tc>
          <w:tcPr>
            <w:tcW w:w="0" w:type="dxa"/>
            <w:vAlign w:val="bottom"/>
          </w:tcPr>
          <w:p>
            <w:pPr>
              <w:spacing w:after="0"/>
              <w:rPr>
                <w:sz w:val="1"/>
                <w:szCs w:val="1"/>
                <w:color w:val="auto"/>
              </w:rPr>
            </w:pPr>
          </w:p>
        </w:tc>
      </w:tr>
      <w:tr>
        <w:trPr>
          <w:trHeight w:val="243"/>
        </w:trPr>
        <w:tc>
          <w:tcPr>
            <w:tcW w:w="6060" w:type="dxa"/>
            <w:vAlign w:val="bottom"/>
          </w:tcPr>
          <w:p>
            <w:pPr>
              <w:ind w:left="40"/>
              <w:spacing w:after="0"/>
              <w:rPr>
                <w:sz w:val="20"/>
                <w:szCs w:val="20"/>
                <w:color w:val="auto"/>
              </w:rPr>
            </w:pPr>
            <w:r>
              <w:rPr>
                <w:rFonts w:ascii="Arial" w:cs="Arial" w:eastAsia="Arial" w:hAnsi="Arial"/>
                <w:sz w:val="18"/>
                <w:szCs w:val="18"/>
                <w:color w:val="auto"/>
              </w:rPr>
              <w:t>Thereafter</w:t>
            </w:r>
          </w:p>
        </w:tc>
        <w:tc>
          <w:tcPr>
            <w:tcW w:w="200" w:type="dxa"/>
            <w:vAlign w:val="bottom"/>
          </w:tcPr>
          <w:p>
            <w:pPr>
              <w:spacing w:after="0"/>
              <w:rPr>
                <w:sz w:val="21"/>
                <w:szCs w:val="21"/>
                <w:color w:val="auto"/>
              </w:rPr>
            </w:pPr>
          </w:p>
        </w:tc>
        <w:tc>
          <w:tcPr>
            <w:tcW w:w="1540" w:type="dxa"/>
            <w:vAlign w:val="bottom"/>
          </w:tcPr>
          <w:p>
            <w:pPr>
              <w:jc w:val="right"/>
              <w:ind w:right="3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500" w:type="dxa"/>
            <w:vAlign w:val="bottom"/>
          </w:tcPr>
          <w:p>
            <w:pPr>
              <w:jc w:val="right"/>
              <w:ind w:right="32"/>
              <w:spacing w:after="0"/>
              <w:rPr>
                <w:sz w:val="20"/>
                <w:szCs w:val="20"/>
                <w:color w:val="auto"/>
              </w:rPr>
            </w:pPr>
            <w:r>
              <w:rPr>
                <w:rFonts w:ascii="Arial" w:cs="Arial" w:eastAsia="Arial" w:hAnsi="Arial"/>
                <w:sz w:val="18"/>
                <w:szCs w:val="18"/>
                <w:color w:val="auto"/>
              </w:rPr>
              <w:t>28,569</w:t>
            </w:r>
          </w:p>
        </w:tc>
        <w:tc>
          <w:tcPr>
            <w:tcW w:w="10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300" w:type="dxa"/>
            <w:vAlign w:val="bottom"/>
          </w:tcPr>
          <w:p>
            <w:pPr>
              <w:jc w:val="right"/>
              <w:ind w:right="12"/>
              <w:spacing w:after="0"/>
              <w:rPr>
                <w:sz w:val="20"/>
                <w:szCs w:val="20"/>
                <w:color w:val="auto"/>
              </w:rPr>
            </w:pPr>
            <w:r>
              <w:rPr>
                <w:rFonts w:ascii="Arial" w:cs="Arial" w:eastAsia="Arial" w:hAnsi="Arial"/>
                <w:sz w:val="18"/>
                <w:szCs w:val="18"/>
                <w:color w:val="auto"/>
              </w:rPr>
              <w:t>28,569</w:t>
            </w:r>
          </w:p>
        </w:tc>
        <w:tc>
          <w:tcPr>
            <w:tcW w:w="0" w:type="dxa"/>
            <w:vAlign w:val="bottom"/>
          </w:tcPr>
          <w:p>
            <w:pPr>
              <w:spacing w:after="0"/>
              <w:rPr>
                <w:sz w:val="1"/>
                <w:szCs w:val="1"/>
                <w:color w:val="auto"/>
              </w:rPr>
            </w:pPr>
          </w:p>
        </w:tc>
      </w:tr>
      <w:tr>
        <w:trPr>
          <w:trHeight w:val="27"/>
        </w:trPr>
        <w:tc>
          <w:tcPr>
            <w:tcW w:w="60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6060" w:type="dxa"/>
            <w:vAlign w:val="bottom"/>
            <w:shd w:val="clear" w:color="auto" w:fill="CCEEFF"/>
          </w:tcPr>
          <w:p>
            <w:pPr>
              <w:ind w:left="40"/>
              <w:spacing w:after="0"/>
              <w:rPr>
                <w:sz w:val="20"/>
                <w:szCs w:val="20"/>
                <w:color w:val="auto"/>
              </w:rPr>
            </w:pPr>
            <w:r>
              <w:rPr>
                <w:rFonts w:ascii="Arial" w:cs="Arial" w:eastAsia="Arial" w:hAnsi="Arial"/>
                <w:sz w:val="18"/>
                <w:szCs w:val="18"/>
                <w:color w:val="auto"/>
              </w:rPr>
              <w:t>Total future minimum lease payments</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40" w:type="dxa"/>
            <w:vAlign w:val="bottom"/>
            <w:shd w:val="clear" w:color="auto" w:fill="CCEEFF"/>
          </w:tcPr>
          <w:p>
            <w:pPr>
              <w:jc w:val="right"/>
              <w:ind w:right="33"/>
              <w:spacing w:after="0"/>
              <w:rPr>
                <w:sz w:val="20"/>
                <w:szCs w:val="20"/>
                <w:color w:val="auto"/>
              </w:rPr>
            </w:pPr>
            <w:r>
              <w:rPr>
                <w:rFonts w:ascii="Arial" w:cs="Arial" w:eastAsia="Arial" w:hAnsi="Arial"/>
                <w:sz w:val="18"/>
                <w:szCs w:val="18"/>
                <w:color w:val="auto"/>
              </w:rPr>
              <w:t>61,256</w:t>
            </w:r>
          </w:p>
        </w:tc>
        <w:tc>
          <w:tcPr>
            <w:tcW w:w="3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50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rPr>
              <w:t>174,894</w:t>
            </w:r>
          </w:p>
        </w:tc>
        <w:tc>
          <w:tcPr>
            <w:tcW w:w="100" w:type="dxa"/>
            <w:vAlign w:val="bottom"/>
            <w:shd w:val="clear" w:color="auto" w:fill="CCEEFF"/>
          </w:tcPr>
          <w:p>
            <w:pPr>
              <w:spacing w:after="0"/>
              <w:rPr>
                <w:sz w:val="22"/>
                <w:szCs w:val="22"/>
                <w:color w:val="auto"/>
              </w:rPr>
            </w:pPr>
          </w:p>
        </w:tc>
        <w:tc>
          <w:tcPr>
            <w:tcW w:w="40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13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236,150</w:t>
            </w:r>
          </w:p>
        </w:tc>
        <w:tc>
          <w:tcPr>
            <w:tcW w:w="0" w:type="dxa"/>
            <w:vAlign w:val="bottom"/>
          </w:tcPr>
          <w:p>
            <w:pPr>
              <w:spacing w:after="0"/>
              <w:rPr>
                <w:sz w:val="1"/>
                <w:szCs w:val="1"/>
                <w:color w:val="auto"/>
              </w:rPr>
            </w:pPr>
          </w:p>
        </w:tc>
      </w:tr>
      <w:tr>
        <w:trPr>
          <w:trHeight w:val="20"/>
        </w:trPr>
        <w:tc>
          <w:tcPr>
            <w:tcW w:w="60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Less: Amount representing interest</w:t>
            </w:r>
          </w:p>
        </w:tc>
        <w:tc>
          <w:tcPr>
            <w:tcW w:w="2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(986)</w:t>
            </w: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6060" w:type="dxa"/>
            <w:vAlign w:val="bottom"/>
            <w:vMerge w:val="continue"/>
          </w:tcPr>
          <w:p>
            <w:pPr>
              <w:spacing w:after="0"/>
              <w:rPr>
                <w:sz w:val="20"/>
                <w:szCs w:val="20"/>
                <w:color w:val="auto"/>
              </w:rPr>
            </w:pPr>
          </w:p>
        </w:tc>
        <w:tc>
          <w:tcPr>
            <w:tcW w:w="200" w:type="dxa"/>
            <w:vAlign w:val="bottom"/>
          </w:tcPr>
          <w:p>
            <w:pPr>
              <w:spacing w:after="0"/>
              <w:rPr>
                <w:sz w:val="20"/>
                <w:szCs w:val="20"/>
                <w:color w:val="auto"/>
              </w:rPr>
            </w:pPr>
          </w:p>
        </w:tc>
        <w:tc>
          <w:tcPr>
            <w:tcW w:w="1540" w:type="dxa"/>
            <w:vAlign w:val="bottom"/>
            <w:vMerge w:val="continue"/>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5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60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50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CCEEFF"/>
            </w:tcBorders>
          </w:tcPr>
          <w:p>
            <w:pPr>
              <w:spacing w:after="0"/>
              <w:rPr>
                <w:sz w:val="2"/>
                <w:szCs w:val="2"/>
                <w:color w:val="auto"/>
              </w:rPr>
            </w:pPr>
          </w:p>
        </w:tc>
        <w:tc>
          <w:tcPr>
            <w:tcW w:w="130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60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Present value of future minimum payments</w:t>
            </w: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4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60,270</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150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0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60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Less: Current portion</w:t>
            </w:r>
          </w:p>
        </w:tc>
        <w:tc>
          <w:tcPr>
            <w:tcW w:w="200" w:type="dxa"/>
            <w:vAlign w:val="bottom"/>
            <w:tcBorders>
              <w:bottom w:val="single" w:sz="8" w:color="auto"/>
            </w:tcBorders>
          </w:tcPr>
          <w:p>
            <w:pPr>
              <w:spacing w:after="0"/>
              <w:rPr>
                <w:sz w:val="24"/>
                <w:szCs w:val="24"/>
                <w:color w:val="auto"/>
              </w:rPr>
            </w:pPr>
          </w:p>
        </w:tc>
        <w:tc>
          <w:tcPr>
            <w:tcW w:w="1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(35,352)</w:t>
            </w:r>
          </w:p>
        </w:tc>
        <w:tc>
          <w:tcPr>
            <w:tcW w:w="100" w:type="dxa"/>
            <w:vAlign w:val="bottom"/>
            <w:tcBorders>
              <w:bottom w:val="single" w:sz="8" w:color="CCEEFF"/>
            </w:tcBorders>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1500" w:type="dxa"/>
            <w:vAlign w:val="bottom"/>
            <w:tcBorders>
              <w:bottom w:val="single" w:sz="8" w:color="CCEEFF"/>
            </w:tcBorders>
          </w:tcPr>
          <w:p>
            <w:pPr>
              <w:spacing w:after="0"/>
              <w:rPr>
                <w:sz w:val="24"/>
                <w:szCs w:val="24"/>
                <w:color w:val="auto"/>
              </w:rPr>
            </w:pPr>
          </w:p>
        </w:tc>
        <w:tc>
          <w:tcPr>
            <w:tcW w:w="100" w:type="dxa"/>
            <w:vAlign w:val="bottom"/>
            <w:tcBorders>
              <w:bottom w:val="single" w:sz="8" w:color="CCEEFF"/>
            </w:tcBorders>
          </w:tcPr>
          <w:p>
            <w:pPr>
              <w:spacing w:after="0"/>
              <w:rPr>
                <w:sz w:val="24"/>
                <w:szCs w:val="24"/>
                <w:color w:val="auto"/>
              </w:rPr>
            </w:pPr>
          </w:p>
        </w:tc>
        <w:tc>
          <w:tcPr>
            <w:tcW w:w="400" w:type="dxa"/>
            <w:vAlign w:val="bottom"/>
            <w:tcBorders>
              <w:bottom w:val="single" w:sz="8" w:color="CCEEFF"/>
            </w:tcBorders>
          </w:tcPr>
          <w:p>
            <w:pPr>
              <w:spacing w:after="0"/>
              <w:rPr>
                <w:sz w:val="24"/>
                <w:szCs w:val="24"/>
                <w:color w:val="auto"/>
              </w:rPr>
            </w:pPr>
          </w:p>
        </w:tc>
        <w:tc>
          <w:tcPr>
            <w:tcW w:w="1300" w:type="dxa"/>
            <w:vAlign w:val="bottom"/>
            <w:tcBorders>
              <w:bottom w:val="single" w:sz="8" w:color="CCEEFF"/>
            </w:tcBorders>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60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portion</w:t>
            </w: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540" w:type="dxa"/>
            <w:vAlign w:val="bottom"/>
            <w:tcBorders>
              <w:bottom w:val="single" w:sz="8" w:color="auto"/>
            </w:tcBorders>
            <w:shd w:val="clear" w:color="auto" w:fill="CCEEFF"/>
          </w:tcPr>
          <w:p>
            <w:pPr>
              <w:jc w:val="right"/>
              <w:ind w:right="33"/>
              <w:spacing w:after="0"/>
              <w:rPr>
                <w:sz w:val="20"/>
                <w:szCs w:val="20"/>
                <w:color w:val="auto"/>
              </w:rPr>
            </w:pPr>
            <w:r>
              <w:rPr>
                <w:rFonts w:ascii="Arial" w:cs="Arial" w:eastAsia="Arial" w:hAnsi="Arial"/>
                <w:sz w:val="18"/>
                <w:szCs w:val="18"/>
                <w:color w:val="auto"/>
              </w:rPr>
              <w:t>24,918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0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40" w:firstLine="405"/>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August 4, 2018, these foundries had incurred approximately $160.8 million of manufacturing costs and expenses relating to the Company’s outstanding purchase orders.</w:t>
      </w:r>
    </w:p>
    <w:p>
      <w:pPr>
        <w:spacing w:after="0" w:line="1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117" w:lineRule="exact"/>
        <w:rPr>
          <w:sz w:val="20"/>
          <w:szCs w:val="20"/>
          <w:color w:val="auto"/>
        </w:rPr>
      </w:pPr>
    </w:p>
    <w:p>
      <w:pPr>
        <w:ind w:right="20" w:firstLine="432"/>
        <w:spacing w:after="0" w:line="253" w:lineRule="auto"/>
        <w:rPr>
          <w:sz w:val="20"/>
          <w:szCs w:val="20"/>
          <w:color w:val="auto"/>
        </w:rPr>
      </w:pPr>
      <w:r>
        <w:rPr>
          <w:rFonts w:ascii="Arial" w:cs="Arial" w:eastAsia="Arial" w:hAnsi="Arial"/>
          <w:sz w:val="18"/>
          <w:szCs w:val="18"/>
          <w:color w:val="auto"/>
        </w:rPr>
        <w:t>The Company has agreed to indemnify certain customers for claims made against the Company’s products where such claims allege infringement or misappropriation of third-party intellectual property rights, including, but not limited to, patents, registered trademarks, copyrights and/or trade secrets. Under the aforementioned indemnification clauses, the Company may be obligated to defend customers and pay for the damages awarded against the customer under an infringement or misappropriation claim, as well as customers' attorneys’ fees and costs. The Company’s indemnification obligations generally do not expire after termination or expiration of the agreement containing the indemnification obligation. However, there are typically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2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17" w:lineRule="exact"/>
        <w:rPr>
          <w:sz w:val="20"/>
          <w:szCs w:val="20"/>
          <w:color w:val="auto"/>
        </w:rPr>
      </w:pPr>
    </w:p>
    <w:p>
      <w:pPr>
        <w:ind w:right="280" w:firstLine="432"/>
        <w:spacing w:after="0" w:line="271" w:lineRule="auto"/>
        <w:rPr>
          <w:sz w:val="20"/>
          <w:szCs w:val="20"/>
          <w:color w:val="auto"/>
        </w:rPr>
      </w:pPr>
      <w:r>
        <w:rPr>
          <w:rFonts w:ascii="Arial" w:cs="Arial" w:eastAsia="Arial" w:hAnsi="Arial"/>
          <w:sz w:val="17"/>
          <w:szCs w:val="17"/>
          <w:color w:val="auto"/>
        </w:rPr>
        <w:t>The Company and certain of its subsidiaries are engaged in legal proceedings and claims which arise in the ordinary course of its business. The Company is currently unable to predict the final outcome of these matters and, therefore, cannot determine the likelihood of loss or estimate a range of possible loss, except with respect to amounts where it has determined a loss is both probable and estimable and where it has made an accrual. Litigation is subject to inherent uncertainties and unfavorable rulings could occur. An unfavorable ruling in litigation, particularly patent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There can be no assurance that these matters will be resolved in a manner that is not adverse to the Company’s business, financial condition, results of operations or cash flows.</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130" w:right="239" w:bottom="1440" w:gutter="0" w:footer="0" w:header="0"/>
        </w:sectPr>
      </w:pPr>
    </w:p>
    <w:bookmarkStart w:id="28" w:name="page29"/>
    <w:bookmarkEnd w:id="2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17" w:lineRule="exact"/>
        <w:rPr>
          <w:sz w:val="20"/>
          <w:szCs w:val="20"/>
          <w:color w:val="auto"/>
        </w:rPr>
      </w:pPr>
    </w:p>
    <w:p>
      <w:pPr>
        <w:ind w:firstLine="432"/>
        <w:spacing w:after="0" w:line="269" w:lineRule="auto"/>
        <w:rPr>
          <w:sz w:val="20"/>
          <w:szCs w:val="20"/>
          <w:color w:val="auto"/>
        </w:rPr>
      </w:pPr>
      <w:r>
        <w:rPr>
          <w:rFonts w:ascii="Arial" w:cs="Arial" w:eastAsia="Arial" w:hAnsi="Arial"/>
          <w:sz w:val="17"/>
          <w:szCs w:val="17"/>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that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the loss is both estimable and probable.</w:t>
      </w:r>
    </w:p>
    <w:p>
      <w:pPr>
        <w:spacing w:after="0" w:line="3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Shareholder's Equity</w:t>
      </w:r>
    </w:p>
    <w:p>
      <w:pPr>
        <w:spacing w:after="0" w:line="256" w:lineRule="exact"/>
        <w:rPr>
          <w:sz w:val="20"/>
          <w:szCs w:val="20"/>
          <w:color w:val="auto"/>
        </w:rPr>
      </w:pPr>
    </w:p>
    <w:p>
      <w:pPr>
        <w:ind w:right="160" w:firstLine="405"/>
        <w:spacing w:after="0" w:line="271" w:lineRule="auto"/>
        <w:rPr>
          <w:sz w:val="20"/>
          <w:szCs w:val="20"/>
          <w:color w:val="auto"/>
        </w:rPr>
      </w:pPr>
      <w:r>
        <w:rPr>
          <w:rFonts w:ascii="Arial" w:cs="Arial" w:eastAsia="Arial" w:hAnsi="Arial"/>
          <w:sz w:val="17"/>
          <w:szCs w:val="17"/>
          <w:color w:val="auto"/>
        </w:rPr>
        <w:t>Following the Cavium acquisition and in accordance with the Cavium merger agreement, certain outstanding options to purchase shares of Cavium common stock and certain restricted stock units with respect to Cavium common stock, each granted under Cavium 2016 Equity Incentive Plan (“Cavium 2016 EIP”), Cavium 2007 Equity Incentive Plan (“Cavium 2007 EIP”) and QLogic 2005 Performance Incentive Plan, as assumed by Cavium effective August 16, 2016 (“QLogic 2005 Plan”), (and collectively, with the Cavium 2016 EIP and the Cavium 2007 EIP, the “Cavium Plans”), were assumed by the Company and converted into options to purchase common shares of the Company and restricted stock units with respect to common shares of the Company, respectively. The Company filed a registration statement on July 6, 2018 to register 15,824,555 common shares of the Company, issuable under the Cavium Plans, comprised of 2,535,940 common shares issuable pursuant to outstanding but unexercised options under the Cavium Plans and 13,288,615 common shares issuable pursuant to outstanding unvested restricted stock units under the Cavium Plans.</w:t>
      </w:r>
    </w:p>
    <w:p>
      <w:pPr>
        <w:spacing w:after="0" w:line="20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Cavium 2016 EIP</w:t>
      </w:r>
    </w:p>
    <w:p>
      <w:pPr>
        <w:spacing w:after="0" w:line="225" w:lineRule="exact"/>
        <w:rPr>
          <w:sz w:val="20"/>
          <w:szCs w:val="20"/>
          <w:color w:val="auto"/>
        </w:rPr>
      </w:pPr>
    </w:p>
    <w:p>
      <w:pPr>
        <w:ind w:right="200" w:firstLine="405"/>
        <w:spacing w:after="0" w:line="257" w:lineRule="auto"/>
        <w:rPr>
          <w:sz w:val="20"/>
          <w:szCs w:val="20"/>
          <w:color w:val="auto"/>
        </w:rPr>
      </w:pPr>
      <w:r>
        <w:rPr>
          <w:rFonts w:ascii="Arial" w:cs="Arial" w:eastAsia="Arial" w:hAnsi="Arial"/>
          <w:sz w:val="18"/>
          <w:szCs w:val="18"/>
          <w:color w:val="auto"/>
        </w:rPr>
        <w:t>The Cavium 2016 EIP was adopted by Cavium on June 15, 2016 and was intended as the successor to and continuation of Cavium 2007 EIP. The Cavium 2016 EIP provided for the grant of incentive stock options, non-statutory stock options, stock appreciation rights, restricted stock awards, restricted stock unit awards, performance stock awards, performance cash awards and other stock awards, which may be granted to employees, directors and consultants. Awards under the Cavium 2016 EIP generally vest over four years and expire seven to ten years from the date of grant. Following the effective date, no additional awards were granted under the Cavium 2007 EIP.</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Cavium 2007 EIP</w:t>
      </w:r>
    </w:p>
    <w:p>
      <w:pPr>
        <w:spacing w:after="0" w:line="225" w:lineRule="exact"/>
        <w:rPr>
          <w:sz w:val="20"/>
          <w:szCs w:val="20"/>
          <w:color w:val="auto"/>
        </w:rPr>
      </w:pPr>
    </w:p>
    <w:p>
      <w:pPr>
        <w:ind w:right="20" w:firstLine="405"/>
        <w:spacing w:after="0" w:line="293" w:lineRule="auto"/>
        <w:rPr>
          <w:sz w:val="20"/>
          <w:szCs w:val="20"/>
          <w:color w:val="auto"/>
        </w:rPr>
      </w:pPr>
      <w:r>
        <w:rPr>
          <w:rFonts w:ascii="Arial" w:cs="Arial" w:eastAsia="Arial" w:hAnsi="Arial"/>
          <w:sz w:val="16"/>
          <w:szCs w:val="16"/>
          <w:color w:val="auto"/>
        </w:rPr>
        <w:t>Cavium adopted the Cavium 2017 EIP in May 2017 upon completion of its initial public offering. The Cavium 2007 EIP provided for the grant of incentive stock options, non-statutory stock options, restricted stock awards, restricted stock unit awards, stock appreciation rights, performance stock awards, and other forms of equity compensation and performance cash awards, all of which may be granted to employees (including officers), directors, and consultants or affiliates. Awards granted under the Cavium 2007 EIP vest at the rate specified by the plan administrator, for stock options, typically with 1/8th of the shares vesting six months after the date of grant and 1/48th of the shares vesting monthly thereafter over the next three and one half years and for restricted stock unit awards typically with quarterly vesting over four years. Awards expire seven to ten years from the date of grant.</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130" w:right="239" w:bottom="1440" w:gutter="0" w:footer="0" w:header="0"/>
        </w:sectPr>
      </w:pPr>
    </w:p>
    <w:bookmarkStart w:id="29" w:name="page30"/>
    <w:bookmarkEnd w:id="2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QLogic 2005 Plan</w:t>
      </w:r>
    </w:p>
    <w:p>
      <w:pPr>
        <w:spacing w:after="0" w:line="225" w:lineRule="exact"/>
        <w:rPr>
          <w:sz w:val="20"/>
          <w:szCs w:val="20"/>
          <w:color w:val="auto"/>
        </w:rPr>
      </w:pPr>
    </w:p>
    <w:p>
      <w:pPr>
        <w:ind w:right="80" w:firstLine="405"/>
        <w:spacing w:after="0" w:line="257" w:lineRule="auto"/>
        <w:rPr>
          <w:sz w:val="20"/>
          <w:szCs w:val="20"/>
          <w:color w:val="auto"/>
        </w:rPr>
      </w:pPr>
      <w:r>
        <w:rPr>
          <w:rFonts w:ascii="Arial" w:cs="Arial" w:eastAsia="Arial" w:hAnsi="Arial"/>
          <w:sz w:val="18"/>
          <w:szCs w:val="18"/>
          <w:color w:val="auto"/>
        </w:rPr>
        <w:t>The QLogic 2005 Plan was assumed and registered by Cavium upon its completion of acquisition of QLogic Corporation on August 16, 2016. The QLogic 2005 Plan provided for the issuance of restricted stock unit awards, incentive and non-qualified stock options, and other stock-based incentive awards. Restricted stock unit awards granted pursuant to the QLogic 2005 Plan to employees subject to a service condition generally vest over four years from the date of grant. Stock options granted pursuant to the QLogic 2005 Plan to employees have ten-year terms and generally vest over four years from the date of grant.</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Cavium Acquisition-related Equity Awards</w:t>
      </w:r>
    </w:p>
    <w:p>
      <w:pPr>
        <w:spacing w:after="0" w:line="225"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The awards under the Cavium Plans assumed by the Company in the Cavium acquisition were measured at the acquisition date based on the estimated fair value of $357.1 million. A portion of that fair value, $68.9 million, which represented the pre-acquisition service provided by employees to Cavium, was included in the total consideration transferred as part of the acquisition. As of the acquisition date, the remaining portion of the fair value of those awards was $288.2 million, representing post-acquisition share-based compensation expense that will be recognized as these employees provide service over the remaining vesting periods. During the three months ended August 4, 2018, the Company recognized $47.1 million of share-based compensation expense in connection with the acquisition of Cavium, of which $37.8 million was due to the accelerated vesting of outstanding equity awards of certain Cavium employees.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Share-based Compensation Expense</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share-based compensation expense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4"/>
          </w:tcPr>
          <w:p>
            <w:pPr>
              <w:jc w:val="right"/>
              <w:ind w:right="653"/>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4"/>
          </w:tcPr>
          <w:p>
            <w:pPr>
              <w:jc w:val="right"/>
              <w:ind w:right="753"/>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4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4,</w:t>
            </w:r>
          </w:p>
        </w:tc>
        <w:tc>
          <w:tcPr>
            <w:tcW w:w="280" w:type="dxa"/>
            <w:vAlign w:val="bottom"/>
          </w:tcPr>
          <w:p>
            <w:pPr>
              <w:spacing w:after="0"/>
              <w:rPr>
                <w:sz w:val="13"/>
                <w:szCs w:val="13"/>
                <w:color w:val="auto"/>
              </w:rPr>
            </w:pPr>
          </w:p>
        </w:tc>
        <w:tc>
          <w:tcPr>
            <w:tcW w:w="12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3"/>
                <w:szCs w:val="13"/>
                <w:color w:val="auto"/>
              </w:rPr>
            </w:pPr>
          </w:p>
        </w:tc>
        <w:tc>
          <w:tcPr>
            <w:tcW w:w="12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August 4,</w:t>
            </w:r>
          </w:p>
        </w:tc>
        <w:tc>
          <w:tcPr>
            <w:tcW w:w="280" w:type="dxa"/>
            <w:vAlign w:val="bottom"/>
          </w:tcPr>
          <w:p>
            <w:pPr>
              <w:spacing w:after="0"/>
              <w:rPr>
                <w:sz w:val="13"/>
                <w:szCs w:val="13"/>
                <w:color w:val="auto"/>
              </w:rPr>
            </w:pPr>
          </w:p>
        </w:tc>
        <w:tc>
          <w:tcPr>
            <w:tcW w:w="1100" w:type="dxa"/>
            <w:vAlign w:val="bottom"/>
          </w:tcPr>
          <w:p>
            <w:pPr>
              <w:jc w:val="right"/>
              <w:ind w:right="373"/>
              <w:spacing w:after="0" w:line="153" w:lineRule="exact"/>
              <w:rPr>
                <w:sz w:val="20"/>
                <w:szCs w:val="20"/>
                <w:color w:val="auto"/>
              </w:rPr>
            </w:pPr>
            <w:r>
              <w:rPr>
                <w:rFonts w:ascii="Arial" w:cs="Arial" w:eastAsia="Arial" w:hAnsi="Arial"/>
                <w:sz w:val="14"/>
                <w:szCs w:val="14"/>
                <w:b w:val="1"/>
                <w:bCs w:val="1"/>
                <w:color w:val="auto"/>
              </w:rPr>
              <w:t>July 29,</w:t>
            </w:r>
          </w:p>
        </w:tc>
      </w:tr>
      <w:tr>
        <w:trPr>
          <w:trHeight w:val="192"/>
        </w:trPr>
        <w:tc>
          <w:tcPr>
            <w:tcW w:w="56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33"/>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5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2017</w:t>
            </w:r>
          </w:p>
        </w:tc>
      </w:tr>
      <w:tr>
        <w:trPr>
          <w:trHeight w:val="250"/>
        </w:trPr>
        <w:tc>
          <w:tcPr>
            <w:tcW w:w="56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r>
      <w:tr>
        <w:trPr>
          <w:trHeight w:val="243"/>
        </w:trPr>
        <w:tc>
          <w:tcPr>
            <w:tcW w:w="5600" w:type="dxa"/>
            <w:vAlign w:val="bottom"/>
          </w:tcPr>
          <w:p>
            <w:pPr>
              <w:ind w:left="26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4"/>
              <w:spacing w:after="0"/>
              <w:rPr>
                <w:sz w:val="20"/>
                <w:szCs w:val="20"/>
                <w:color w:val="auto"/>
              </w:rPr>
            </w:pPr>
            <w:r>
              <w:rPr>
                <w:rFonts w:ascii="Arial" w:cs="Arial" w:eastAsia="Arial" w:hAnsi="Arial"/>
                <w:sz w:val="18"/>
                <w:szCs w:val="18"/>
                <w:color w:val="auto"/>
              </w:rPr>
              <w:t>4,748</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3"/>
              <w:spacing w:after="0"/>
              <w:rPr>
                <w:sz w:val="20"/>
                <w:szCs w:val="20"/>
                <w:color w:val="auto"/>
              </w:rPr>
            </w:pPr>
            <w:r>
              <w:rPr>
                <w:rFonts w:ascii="Arial" w:cs="Arial" w:eastAsia="Arial" w:hAnsi="Arial"/>
                <w:sz w:val="18"/>
                <w:szCs w:val="18"/>
                <w:color w:val="auto"/>
              </w:rPr>
              <w:t>1,810</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4"/>
              <w:spacing w:after="0"/>
              <w:rPr>
                <w:sz w:val="20"/>
                <w:szCs w:val="20"/>
                <w:color w:val="auto"/>
              </w:rPr>
            </w:pPr>
            <w:r>
              <w:rPr>
                <w:rFonts w:ascii="Arial" w:cs="Arial" w:eastAsia="Arial" w:hAnsi="Arial"/>
                <w:sz w:val="18"/>
                <w:szCs w:val="18"/>
                <w:color w:val="auto"/>
              </w:rPr>
              <w:t>6,653</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3,236</w:t>
            </w:r>
          </w:p>
        </w:tc>
      </w:tr>
      <w:tr>
        <w:trPr>
          <w:trHeight w:val="27"/>
        </w:trPr>
        <w:tc>
          <w:tcPr>
            <w:tcW w:w="56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56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26,859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12,371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41,144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26,361</w:t>
            </w:r>
          </w:p>
        </w:tc>
      </w:tr>
      <w:tr>
        <w:trPr>
          <w:trHeight w:val="243"/>
        </w:trPr>
        <w:tc>
          <w:tcPr>
            <w:tcW w:w="5600" w:type="dxa"/>
            <w:vAlign w:val="bottom"/>
          </w:tcPr>
          <w:p>
            <w:pPr>
              <w:ind w:left="2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21"/>
                <w:szCs w:val="21"/>
                <w:color w:val="auto"/>
              </w:rPr>
            </w:pPr>
          </w:p>
        </w:tc>
        <w:tc>
          <w:tcPr>
            <w:tcW w:w="1140" w:type="dxa"/>
            <w:vAlign w:val="bottom"/>
          </w:tcPr>
          <w:p>
            <w:pPr>
              <w:jc w:val="right"/>
              <w:ind w:right="34"/>
              <w:spacing w:after="0"/>
              <w:rPr>
                <w:sz w:val="20"/>
                <w:szCs w:val="20"/>
                <w:color w:val="auto"/>
              </w:rPr>
            </w:pPr>
            <w:r>
              <w:rPr>
                <w:rFonts w:ascii="Arial" w:cs="Arial" w:eastAsia="Arial" w:hAnsi="Arial"/>
                <w:sz w:val="18"/>
                <w:szCs w:val="18"/>
                <w:color w:val="auto"/>
              </w:rPr>
              <w:t>41,816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jc w:val="right"/>
              <w:ind w:right="13"/>
              <w:spacing w:after="0"/>
              <w:rPr>
                <w:sz w:val="20"/>
                <w:szCs w:val="20"/>
                <w:color w:val="auto"/>
              </w:rPr>
            </w:pPr>
            <w:r>
              <w:rPr>
                <w:rFonts w:ascii="Arial" w:cs="Arial" w:eastAsia="Arial" w:hAnsi="Arial"/>
                <w:sz w:val="18"/>
                <w:szCs w:val="18"/>
                <w:color w:val="auto"/>
              </w:rPr>
              <w:t>7,186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120" w:type="dxa"/>
            <w:vAlign w:val="bottom"/>
          </w:tcPr>
          <w:p>
            <w:pPr>
              <w:jc w:val="right"/>
              <w:ind w:right="14"/>
              <w:spacing w:after="0"/>
              <w:rPr>
                <w:sz w:val="20"/>
                <w:szCs w:val="20"/>
                <w:color w:val="auto"/>
              </w:rPr>
            </w:pPr>
            <w:r>
              <w:rPr>
                <w:rFonts w:ascii="Arial" w:cs="Arial" w:eastAsia="Arial" w:hAnsi="Arial"/>
                <w:sz w:val="18"/>
                <w:szCs w:val="18"/>
                <w:color w:val="auto"/>
              </w:rPr>
              <w:t>49,478</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13,509</w:t>
            </w:r>
          </w:p>
        </w:tc>
      </w:tr>
      <w:tr>
        <w:trPr>
          <w:trHeight w:val="27"/>
        </w:trPr>
        <w:tc>
          <w:tcPr>
            <w:tcW w:w="56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64"/>
        </w:trPr>
        <w:tc>
          <w:tcPr>
            <w:tcW w:w="56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 - continuing operations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73,423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21,367</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97,275</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43,106</w:t>
            </w:r>
          </w:p>
        </w:tc>
      </w:tr>
      <w:tr>
        <w:trPr>
          <w:trHeight w:val="223"/>
        </w:trPr>
        <w:tc>
          <w:tcPr>
            <w:tcW w:w="5600" w:type="dxa"/>
            <w:vAlign w:val="bottom"/>
          </w:tcPr>
          <w:p>
            <w:pPr>
              <w:ind w:left="4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10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1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spacing w:after="0"/>
              <w:rPr>
                <w:sz w:val="19"/>
                <w:szCs w:val="19"/>
                <w:color w:val="auto"/>
              </w:rPr>
            </w:pPr>
          </w:p>
        </w:tc>
      </w:tr>
      <w:tr>
        <w:trPr>
          <w:trHeight w:val="41"/>
        </w:trPr>
        <w:tc>
          <w:tcPr>
            <w:tcW w:w="5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100" w:type="dxa"/>
            <w:vAlign w:val="bottom"/>
          </w:tcPr>
          <w:p>
            <w:pPr>
              <w:spacing w:after="0"/>
              <w:rPr>
                <w:sz w:val="3"/>
                <w:szCs w:val="3"/>
                <w:color w:val="auto"/>
              </w:rPr>
            </w:pPr>
          </w:p>
        </w:tc>
      </w:tr>
      <w:tr>
        <w:trPr>
          <w:trHeight w:val="250"/>
        </w:trPr>
        <w:tc>
          <w:tcPr>
            <w:tcW w:w="560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w:t>
            </w:r>
          </w:p>
        </w:tc>
      </w:tr>
      <w:tr>
        <w:trPr>
          <w:trHeight w:val="243"/>
        </w:trPr>
        <w:tc>
          <w:tcPr>
            <w:tcW w:w="5600" w:type="dxa"/>
            <w:vAlign w:val="bottom"/>
          </w:tcPr>
          <w:p>
            <w:pPr>
              <w:ind w:left="30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21"/>
                <w:szCs w:val="21"/>
                <w:color w:val="auto"/>
              </w:rPr>
            </w:pPr>
          </w:p>
        </w:tc>
        <w:tc>
          <w:tcPr>
            <w:tcW w:w="12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080" w:type="dxa"/>
            <w:vAlign w:val="bottom"/>
          </w:tcPr>
          <w:p>
            <w:pPr>
              <w:jc w:val="right"/>
              <w:ind w:right="13"/>
              <w:spacing w:after="0"/>
              <w:rPr>
                <w:sz w:val="20"/>
                <w:szCs w:val="20"/>
                <w:color w:val="auto"/>
              </w:rPr>
            </w:pPr>
            <w:r>
              <w:rPr>
                <w:rFonts w:ascii="Arial" w:cs="Arial" w:eastAsia="Arial" w:hAnsi="Arial"/>
                <w:sz w:val="18"/>
                <w:szCs w:val="18"/>
                <w:color w:val="auto"/>
              </w:rPr>
              <w:t>954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100" w:type="dxa"/>
            <w:vAlign w:val="bottom"/>
          </w:tcPr>
          <w:p>
            <w:pPr>
              <w:jc w:val="right"/>
              <w:ind w:right="33"/>
              <w:spacing w:after="0"/>
              <w:rPr>
                <w:sz w:val="20"/>
                <w:szCs w:val="20"/>
                <w:color w:val="auto"/>
              </w:rPr>
            </w:pPr>
            <w:r>
              <w:rPr>
                <w:rFonts w:ascii="Arial" w:cs="Arial" w:eastAsia="Arial" w:hAnsi="Arial"/>
                <w:sz w:val="18"/>
                <w:szCs w:val="18"/>
                <w:color w:val="auto"/>
              </w:rPr>
              <w:t>3,098</w:t>
            </w:r>
          </w:p>
        </w:tc>
      </w:tr>
      <w:tr>
        <w:trPr>
          <w:trHeight w:val="27"/>
        </w:trPr>
        <w:tc>
          <w:tcPr>
            <w:tcW w:w="56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5600" w:type="dxa"/>
            <w:vAlign w:val="bottom"/>
            <w:tcBorders>
              <w:bottom w:val="single" w:sz="8" w:color="CCEEFF"/>
            </w:tcBorders>
            <w:shd w:val="clear" w:color="auto" w:fill="CCEEFF"/>
          </w:tcPr>
          <w:p>
            <w:pPr>
              <w:ind w:left="30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101</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235</w:t>
            </w:r>
          </w:p>
        </w:tc>
      </w:tr>
      <w:tr>
        <w:trPr>
          <w:trHeight w:val="237"/>
        </w:trPr>
        <w:tc>
          <w:tcPr>
            <w:tcW w:w="5600" w:type="dxa"/>
            <w:vAlign w:val="bottom"/>
          </w:tcPr>
          <w:p>
            <w:pPr>
              <w:ind w:left="40"/>
              <w:spacing w:after="0"/>
              <w:rPr>
                <w:sz w:val="20"/>
                <w:szCs w:val="20"/>
                <w:color w:val="auto"/>
              </w:rPr>
            </w:pPr>
            <w:r>
              <w:rPr>
                <w:rFonts w:ascii="Arial" w:cs="Arial" w:eastAsia="Arial" w:hAnsi="Arial"/>
                <w:sz w:val="18"/>
                <w:szCs w:val="18"/>
                <w:color w:val="auto"/>
              </w:rPr>
              <w:t>Share-based compensation - discontinued operations</w:t>
            </w:r>
          </w:p>
        </w:tc>
        <w:tc>
          <w:tcPr>
            <w:tcW w:w="2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1,055</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3,333</w:t>
            </w:r>
          </w:p>
        </w:tc>
      </w:tr>
      <w:tr>
        <w:trPr>
          <w:trHeight w:val="27"/>
        </w:trPr>
        <w:tc>
          <w:tcPr>
            <w:tcW w:w="56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69"/>
        </w:trPr>
        <w:tc>
          <w:tcPr>
            <w:tcW w:w="56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share-based compensation</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73,423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22,422</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97,275</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46,439</w:t>
            </w:r>
          </w:p>
        </w:tc>
      </w:tr>
      <w:tr>
        <w:trPr>
          <w:trHeight w:val="20"/>
        </w:trPr>
        <w:tc>
          <w:tcPr>
            <w:tcW w:w="56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Share-based compensation capitalized in inventory was $2.3 million at August 4, 2018 and $1.3 million at February 3, 2018.</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Income Tax</w:t>
      </w:r>
    </w:p>
    <w:p>
      <w:pPr>
        <w:spacing w:after="0" w:line="229"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the applicability of special tax regimes, changes in how we do business, and acquisitions, as well as the integration of such acquisitions.</w:t>
      </w:r>
    </w:p>
    <w:p>
      <w:pPr>
        <w:spacing w:after="0" w:line="3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130" w:right="259" w:bottom="1440" w:gutter="0" w:footer="0" w:header="0"/>
        </w:sectPr>
      </w:pPr>
    </w:p>
    <w:bookmarkStart w:id="30" w:name="page31"/>
    <w:bookmarkEnd w:id="3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right="100" w:firstLine="405"/>
        <w:spacing w:after="0" w:line="279" w:lineRule="auto"/>
        <w:rPr>
          <w:sz w:val="20"/>
          <w:szCs w:val="20"/>
          <w:color w:val="auto"/>
        </w:rPr>
      </w:pPr>
      <w:r>
        <w:rPr>
          <w:rFonts w:ascii="Arial" w:cs="Arial" w:eastAsia="Arial" w:hAnsi="Arial"/>
          <w:sz w:val="17"/>
          <w:szCs w:val="17"/>
          <w:color w:val="auto"/>
        </w:rPr>
        <w:t>The Company’s estimated effective tax rate for the year differs from the U.S. statutory rate of 21% primarily due to the benefit of a substantial portion of its earnings being taxed at rates lower than the U.S. statutory rate. The Company estimates that its effective tax rate could be adversely affected by pre-tax losses incurred in certain non-U.S. jurisdictions subject to tax rates lower than 21% for which it does not realize a tax benefit. These losses reduce the Company's pre-tax income without a corresponding reduction in its tax expense, and therefore increase its effective tax rate.</w:t>
      </w:r>
    </w:p>
    <w:p>
      <w:pPr>
        <w:spacing w:after="0" w:line="104" w:lineRule="exact"/>
        <w:rPr>
          <w:sz w:val="20"/>
          <w:szCs w:val="20"/>
          <w:color w:val="auto"/>
        </w:rPr>
      </w:pPr>
    </w:p>
    <w:p>
      <w:pPr>
        <w:ind w:right="40" w:firstLine="405"/>
        <w:spacing w:after="0" w:line="292" w:lineRule="auto"/>
        <w:rPr>
          <w:sz w:val="20"/>
          <w:szCs w:val="20"/>
          <w:color w:val="auto"/>
        </w:rPr>
      </w:pPr>
      <w:r>
        <w:rPr>
          <w:rFonts w:ascii="Arial" w:cs="Arial" w:eastAsia="Arial" w:hAnsi="Arial"/>
          <w:sz w:val="17"/>
          <w:szCs w:val="17"/>
          <w:color w:val="auto"/>
        </w:rPr>
        <w:t>On July 6, 2018, the Company completed the acquisition of Cavium, Inc. (“Cavium”). With this acquisition, the Company is projecting significant amounts of pre-tax losses in the U.S. in the current fiscal year for which an income tax benefit is realized at the U.S. statutory rate of 21%. This income tax benefit is in excess of the Company's projected income taxes from other jurisdictions. As a result, the Company's estimated annual effective tax rate reflects a consolidated income tax benefit. It is possible that significant negative evidence may become available to reach a conclusion that a valuation allowance will be needed, and as such, the Company may recognize a valuation allowance in the next 12 months.</w:t>
      </w:r>
    </w:p>
    <w:p>
      <w:pPr>
        <w:spacing w:after="0" w:line="80"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The income tax benefit of $30.0 million and $26.2 million, respectively, for the three and six months ended August 4, 2018, included a tax benefit from a net reduction in unrecognized tax benefits of $7.5 million and $7.2 million, respectively, and a tax benefit related to other discrete items recorded in the three and six month period of $2.8 million and $2.4 million, respectively.</w:t>
      </w:r>
    </w:p>
    <w:p>
      <w:pPr>
        <w:spacing w:after="0" w:line="181"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The 2017 Tax Act also enhanced and extended through 2026 the option to claim accelerated depreciation deductions on qualified property. The Company has not completed its determination of the accounting implications of the 2017 Tax Act on its tax accruals. However, the Company reasonably estimated the effects of the 2017 Tax Act and recorded provisional amounts in its financial statements as of February 3, 2018. There were no additional adjustments made to these amounts in the three or six month period ended August 4, 2018. As the Company continues its analysis of the 2017 Tax Act, collects and prepares necessary data, and interprets any additional guidance issued by the U.S. Treasury Department, the Internal Revenue Service (“I.R.S.”), and other standard-setting bodies, the Company may make adjustments to the provisional amounts. Those adjustments may materially impact the Company's provision for income taxes in the period in which the adjustments are made.</w:t>
      </w:r>
    </w:p>
    <w:p>
      <w:pPr>
        <w:spacing w:after="0" w:line="97" w:lineRule="exact"/>
        <w:rPr>
          <w:sz w:val="20"/>
          <w:szCs w:val="20"/>
          <w:color w:val="auto"/>
        </w:rPr>
      </w:pPr>
    </w:p>
    <w:p>
      <w:pPr>
        <w:ind w:right="180" w:firstLine="405"/>
        <w:spacing w:after="0" w:line="276" w:lineRule="auto"/>
        <w:rPr>
          <w:sz w:val="20"/>
          <w:szCs w:val="20"/>
          <w:color w:val="auto"/>
        </w:rPr>
      </w:pPr>
      <w:r>
        <w:rPr>
          <w:rFonts w:ascii="Arial" w:cs="Arial" w:eastAsia="Arial" w:hAnsi="Arial"/>
          <w:sz w:val="17"/>
          <w:szCs w:val="17"/>
          <w:color w:val="auto"/>
        </w:rPr>
        <w:t>The Company's gross unrecognized tax benefits were $177.5 million and $23.2 million on August 4, 2018 and February 3, 2018, respectively. The net increase to the Company's gross unrecognized tax benefits of $154.3 million is primarily the result of certain unrecognized tax benefits recorded in the Company's accounting for the acquisition of Cavium. If the gross unrecognized tax benefits as of August 4, 2018 were realized in a subsequent period, the Company would record a tax benefit of $148.5 million within its provision of income taxes at such time. The amount of interest and penalties accrued as of August 4, 2018 and February 3, 2018 was $13.9 million and $17.2 million, respectively.</w:t>
      </w:r>
    </w:p>
    <w:p>
      <w:pPr>
        <w:spacing w:after="0" w:line="173" w:lineRule="exact"/>
        <w:rPr>
          <w:sz w:val="20"/>
          <w:szCs w:val="20"/>
          <w:color w:val="auto"/>
        </w:rPr>
      </w:pPr>
    </w:p>
    <w:p>
      <w:pPr>
        <w:ind w:right="180" w:firstLine="405"/>
        <w:spacing w:after="0" w:line="297"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$13.5 million from the expiration of statutes of limitations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58"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$0.5 million and $1.2 million for the three and six months ended August 4, 2018 respectively, and $0.8 million and $1.5 million for the three and six months ended July 29, 2017, respectively. The benefit of these tax incentives on net income per share was less than $0.01 per share for both the three and six months ended August 4, 2018 and July 29, 2017.</w:t>
      </w:r>
    </w:p>
    <w:p>
      <w:pPr>
        <w:spacing w:after="0" w:line="200" w:lineRule="exact"/>
        <w:rPr>
          <w:sz w:val="20"/>
          <w:szCs w:val="20"/>
          <w:color w:val="auto"/>
        </w:rPr>
      </w:pP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130" w:right="259" w:bottom="1440" w:gutter="0" w:footer="0" w:header="0"/>
        </w:sectPr>
      </w:pPr>
    </w:p>
    <w:bookmarkStart w:id="31" w:name="page32"/>
    <w:bookmarkEnd w:id="3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The Company’s principal source of liquidity as of August 4, 2018 consisted of approximately $520 million of cash, cash equivalents and short-term investments, of which approximately $510 million was held by subsidiaries outside of Bermuda. The Company has not recognized a deferred tax liability on $432 million of the excess financial reporting basis over the tax basis of investments in foreign subsidiaries outside of Bermuda that is indefinitely reinvested. The Company plans to use such amounts to fund various activities outside of Bermuda, including working capital requirements, capital expenditures for expansion, funding of future acquisitions or other financing activities. If such amounts were no longer considered indefinitely reinvested, the Company would incur a tax expense of approximately $113 million.</w:t>
      </w:r>
    </w:p>
    <w:p>
      <w:pPr>
        <w:spacing w:after="0" w:line="200" w:lineRule="exact"/>
        <w:rPr>
          <w:sz w:val="20"/>
          <w:szCs w:val="20"/>
          <w:color w:val="auto"/>
        </w:rPr>
      </w:pP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Net Income Per Share</w:t>
      </w:r>
    </w:p>
    <w:p>
      <w:pPr>
        <w:spacing w:after="0" w:line="94" w:lineRule="exact"/>
        <w:rPr>
          <w:sz w:val="20"/>
          <w:szCs w:val="20"/>
          <w:color w:val="auto"/>
        </w:rPr>
      </w:pPr>
    </w:p>
    <w:p>
      <w:pPr>
        <w:jc w:val="both"/>
        <w:ind w:right="520" w:firstLine="405"/>
        <w:spacing w:after="0" w:line="264"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common shares outstanding during the period, and diluted net income per share, which is based on the weighted average number of common shares outstanding and potentially dilutive shares outstanding during the period.</w:t>
      </w:r>
    </w:p>
    <w:p>
      <w:pPr>
        <w:spacing w:after="0" w:line="46" w:lineRule="exact"/>
        <w:rPr>
          <w:sz w:val="20"/>
          <w:szCs w:val="20"/>
          <w:color w:val="auto"/>
        </w:rPr>
      </w:pPr>
    </w:p>
    <w:p>
      <w:pPr>
        <w:jc w:val="both"/>
        <w:ind w:right="60" w:firstLine="405"/>
        <w:spacing w:after="0" w:line="297" w:lineRule="auto"/>
        <w:rPr>
          <w:sz w:val="20"/>
          <w:szCs w:val="20"/>
          <w:color w:val="auto"/>
        </w:rPr>
      </w:pPr>
      <w:r>
        <w:rPr>
          <w:rFonts w:ascii="Arial" w:cs="Arial" w:eastAsia="Arial" w:hAnsi="Arial"/>
          <w:sz w:val="16"/>
          <w:szCs w:val="16"/>
          <w:color w:val="auto"/>
        </w:rPr>
        <w:t>In connection with the Cavium acquisition, the Company issued 153.4 million shares of the Company's common stock at $21.34 per share in exchange for Cavium shares on a 2.1757 to 1 basis as a part of the merger consideration. The Company also issued 1.1 million shares of the Company's common stock at $21.34 per share in exchange for Cavium employee accelerated awards on a 2.1757 to 1 basis as a part of the merger consideration. See “Note 3 - Business Combination” for more information. The equity related merger consideration resulted in increasing basic and diluted weighted average shares by 50.9 million weighted average shares for the three months ended August 4, 2018 and by 25.5 million weighted average shares for the six months ended August 4, 2018.</w:t>
      </w:r>
    </w:p>
    <w:p>
      <w:pPr>
        <w:spacing w:after="0" w:line="2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computations of basic and diluted net income per share are presented in the following table (in thousands, except per share amounts):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9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53"/>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51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3"/>
                <w:szCs w:val="13"/>
                <w:color w:val="auto"/>
              </w:rPr>
            </w:pPr>
          </w:p>
        </w:tc>
        <w:tc>
          <w:tcPr>
            <w:tcW w:w="1180" w:type="dxa"/>
            <w:vAlign w:val="bottom"/>
          </w:tcPr>
          <w:p>
            <w:pPr>
              <w:jc w:val="right"/>
              <w:ind w:right="433"/>
              <w:spacing w:after="0" w:line="153" w:lineRule="exact"/>
              <w:rPr>
                <w:sz w:val="20"/>
                <w:szCs w:val="20"/>
                <w:color w:val="auto"/>
              </w:rPr>
            </w:pPr>
            <w:r>
              <w:rPr>
                <w:rFonts w:ascii="Arial" w:cs="Arial" w:eastAsia="Arial" w:hAnsi="Arial"/>
                <w:sz w:val="14"/>
                <w:szCs w:val="14"/>
                <w:b w:val="1"/>
                <w:bCs w:val="1"/>
                <w:color w:val="auto"/>
              </w:rPr>
              <w:t>July 29,</w:t>
            </w:r>
          </w:p>
        </w:tc>
        <w:tc>
          <w:tcPr>
            <w:tcW w:w="0" w:type="dxa"/>
            <w:vAlign w:val="bottom"/>
          </w:tcPr>
          <w:p>
            <w:pPr>
              <w:spacing w:after="0"/>
              <w:rPr>
                <w:sz w:val="1"/>
                <w:szCs w:val="1"/>
                <w:color w:val="auto"/>
              </w:rPr>
            </w:pPr>
          </w:p>
        </w:tc>
      </w:tr>
      <w:tr>
        <w:trPr>
          <w:trHeight w:val="192"/>
        </w:trPr>
        <w:tc>
          <w:tcPr>
            <w:tcW w:w="5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Income from continuing operations, net of tax</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6,759</w:t>
            </w:r>
          </w:p>
        </w:tc>
        <w:tc>
          <w:tcPr>
            <w:tcW w:w="1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135,450</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135,371</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235,042</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Income from discontinued operations, net of tax</w:t>
            </w:r>
          </w:p>
        </w:tc>
        <w:tc>
          <w:tcPr>
            <w:tcW w:w="2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29,809</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36,838</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Arial" w:cs="Arial" w:eastAsia="Arial" w:hAnsi="Arial"/>
                <w:sz w:val="18"/>
                <w:szCs w:val="18"/>
                <w:color w:val="auto"/>
              </w:rPr>
              <w:t>Net income</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6,759</w:t>
            </w:r>
          </w:p>
        </w:tc>
        <w:tc>
          <w:tcPr>
            <w:tcW w:w="12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165,259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135,371</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271,880</w:t>
            </w:r>
          </w:p>
        </w:tc>
        <w:tc>
          <w:tcPr>
            <w:tcW w:w="0" w:type="dxa"/>
            <w:vAlign w:val="bottom"/>
          </w:tcPr>
          <w:p>
            <w:pPr>
              <w:spacing w:after="0"/>
              <w:rPr>
                <w:sz w:val="1"/>
                <w:szCs w:val="1"/>
                <w:color w:val="auto"/>
              </w:rPr>
            </w:pPr>
          </w:p>
        </w:tc>
      </w:tr>
      <w:tr>
        <w:trPr>
          <w:trHeight w:val="67"/>
        </w:trPr>
        <w:tc>
          <w:tcPr>
            <w:tcW w:w="516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Denominator:</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Weighted average shares — basic</w:t>
            </w:r>
          </w:p>
        </w:tc>
        <w:tc>
          <w:tcPr>
            <w:tcW w:w="2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552,238</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500,817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524,787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502,303</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Share-based awards</w:t>
            </w:r>
          </w:p>
        </w:tc>
        <w:tc>
          <w:tcPr>
            <w:tcW w:w="2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9,911</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9,492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10,646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11,648</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Weighted average shares — diluted</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562,149</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510,309</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535,433</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513,951</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Income from continuing operations per share:</w:t>
            </w: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60" w:type="dxa"/>
            <w:vAlign w:val="bottom"/>
            <w:vMerge w:val="continue"/>
          </w:tcPr>
          <w:p>
            <w:pPr>
              <w:spacing w:after="0"/>
              <w:rPr>
                <w:sz w:val="17"/>
                <w:szCs w:val="17"/>
                <w:color w:val="auto"/>
              </w:rPr>
            </w:pPr>
          </w:p>
        </w:tc>
        <w:tc>
          <w:tcPr>
            <w:tcW w:w="2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6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20" w:type="dxa"/>
            <w:vAlign w:val="bottom"/>
          </w:tcPr>
          <w:p>
            <w:pPr>
              <w:spacing w:after="0"/>
              <w:rPr>
                <w:sz w:val="4"/>
                <w:szCs w:val="4"/>
                <w:color w:val="auto"/>
              </w:rPr>
            </w:pPr>
          </w:p>
        </w:tc>
        <w:tc>
          <w:tcPr>
            <w:tcW w:w="120" w:type="dxa"/>
            <w:vAlign w:val="bottom"/>
          </w:tcPr>
          <w:p>
            <w:pPr>
              <w:spacing w:after="0"/>
              <w:rPr>
                <w:sz w:val="4"/>
                <w:szCs w:val="4"/>
                <w:color w:val="auto"/>
              </w:rPr>
            </w:pPr>
          </w:p>
        </w:tc>
        <w:tc>
          <w:tcPr>
            <w:tcW w:w="3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0.27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0.26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0.47</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Diluted</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0.01</w:t>
            </w:r>
          </w:p>
        </w:tc>
        <w:tc>
          <w:tcPr>
            <w:tcW w:w="1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0.26</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0.25</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0.46</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discontinued operations per share: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Basic</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3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0.06</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income per share:</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0.33</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0.26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Diluted</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0.01</w:t>
            </w:r>
          </w:p>
        </w:tc>
        <w:tc>
          <w:tcPr>
            <w:tcW w:w="1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0.32</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0.25</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0.53</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130" w:right="239" w:bottom="1440" w:gutter="0" w:footer="0" w:header="0"/>
        </w:sectPr>
      </w:pPr>
    </w:p>
    <w:bookmarkStart w:id="32" w:name="page33"/>
    <w:bookmarkEnd w:id="3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100" w:type="dxa"/>
            <w:vAlign w:val="bottom"/>
            <w:tcBorders>
              <w:bottom w:val="single" w:sz="8" w:color="auto"/>
            </w:tcBorders>
            <w:gridSpan w:val="3"/>
          </w:tcPr>
          <w:p>
            <w:pPr>
              <w:jc w:val="right"/>
              <w:ind w:right="80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60" w:type="dxa"/>
            <w:vAlign w:val="bottom"/>
            <w:tcBorders>
              <w:bottom w:val="single" w:sz="8" w:color="auto"/>
            </w:tcBorders>
            <w:gridSpan w:val="3"/>
          </w:tcPr>
          <w:p>
            <w:pPr>
              <w:ind w:left="980"/>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1620" w:type="dxa"/>
            <w:vAlign w:val="bottom"/>
            <w:gridSpan w:val="2"/>
          </w:tcPr>
          <w:p>
            <w:pPr>
              <w:jc w:val="center"/>
              <w:ind w:right="160"/>
              <w:spacing w:after="0" w:line="153" w:lineRule="exact"/>
              <w:rPr>
                <w:sz w:val="20"/>
                <w:szCs w:val="20"/>
                <w:color w:val="auto"/>
              </w:rPr>
            </w:pPr>
            <w:r>
              <w:rPr>
                <w:rFonts w:ascii="Arial" w:cs="Arial" w:eastAsia="Arial" w:hAnsi="Arial"/>
                <w:sz w:val="14"/>
                <w:szCs w:val="14"/>
                <w:b w:val="1"/>
                <w:bCs w:val="1"/>
                <w:color w:val="auto"/>
                <w:w w:val="90"/>
              </w:rPr>
              <w:t>August 4,</w:t>
            </w:r>
          </w:p>
        </w:tc>
        <w:tc>
          <w:tcPr>
            <w:tcW w:w="1580" w:type="dxa"/>
            <w:vAlign w:val="bottom"/>
            <w:gridSpan w:val="2"/>
          </w:tcPr>
          <w:p>
            <w:pPr>
              <w:jc w:val="center"/>
              <w:ind w:right="140"/>
              <w:spacing w:after="0" w:line="153" w:lineRule="exact"/>
              <w:rPr>
                <w:sz w:val="20"/>
                <w:szCs w:val="20"/>
                <w:color w:val="auto"/>
              </w:rPr>
            </w:pPr>
            <w:r>
              <w:rPr>
                <w:rFonts w:ascii="Arial" w:cs="Arial" w:eastAsia="Arial" w:hAnsi="Arial"/>
                <w:sz w:val="14"/>
                <w:szCs w:val="14"/>
                <w:b w:val="1"/>
                <w:bCs w:val="1"/>
                <w:color w:val="auto"/>
                <w:w w:val="93"/>
              </w:rPr>
              <w:t>July 29,</w:t>
            </w:r>
          </w:p>
        </w:tc>
        <w:tc>
          <w:tcPr>
            <w:tcW w:w="1580" w:type="dxa"/>
            <w:vAlign w:val="bottom"/>
            <w:gridSpan w:val="2"/>
          </w:tcPr>
          <w:p>
            <w:pPr>
              <w:jc w:val="center"/>
              <w:ind w:right="120"/>
              <w:spacing w:after="0" w:line="153" w:lineRule="exact"/>
              <w:rPr>
                <w:sz w:val="20"/>
                <w:szCs w:val="20"/>
                <w:color w:val="auto"/>
              </w:rPr>
            </w:pPr>
            <w:r>
              <w:rPr>
                <w:rFonts w:ascii="Arial" w:cs="Arial" w:eastAsia="Arial" w:hAnsi="Arial"/>
                <w:sz w:val="14"/>
                <w:szCs w:val="14"/>
                <w:b w:val="1"/>
                <w:bCs w:val="1"/>
                <w:color w:val="auto"/>
                <w:w w:val="90"/>
              </w:rPr>
              <w:t>August 4,</w:t>
            </w:r>
          </w:p>
        </w:tc>
        <w:tc>
          <w:tcPr>
            <w:tcW w:w="14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3"/>
              </w:rPr>
              <w:t>July 29,</w:t>
            </w:r>
          </w:p>
        </w:tc>
      </w:tr>
      <w:tr>
        <w:trPr>
          <w:trHeight w:val="192"/>
        </w:trPr>
        <w:tc>
          <w:tcPr>
            <w:tcW w:w="516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44"/>
              <w:spacing w:after="0"/>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2017</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15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Share-based awards</w:t>
            </w:r>
          </w:p>
        </w:tc>
        <w:tc>
          <w:tcPr>
            <w:tcW w:w="1500" w:type="dxa"/>
            <w:vAlign w:val="bottom"/>
          </w:tcPr>
          <w:p>
            <w:pPr>
              <w:jc w:val="right"/>
              <w:ind w:right="44"/>
              <w:spacing w:after="0"/>
              <w:rPr>
                <w:sz w:val="20"/>
                <w:szCs w:val="20"/>
                <w:color w:val="auto"/>
              </w:rPr>
            </w:pPr>
            <w:r>
              <w:rPr>
                <w:rFonts w:ascii="Arial" w:cs="Arial" w:eastAsia="Arial" w:hAnsi="Arial"/>
                <w:sz w:val="18"/>
                <w:szCs w:val="18"/>
                <w:color w:val="auto"/>
              </w:rPr>
              <w:t>5,718</w:t>
            </w:r>
          </w:p>
        </w:tc>
        <w:tc>
          <w:tcPr>
            <w:tcW w:w="12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2,770</w:t>
            </w:r>
          </w:p>
        </w:tc>
        <w:tc>
          <w:tcPr>
            <w:tcW w:w="100" w:type="dxa"/>
            <w:vAlign w:val="bottom"/>
          </w:tcPr>
          <w:p>
            <w:pPr>
              <w:spacing w:after="0"/>
              <w:rPr>
                <w:sz w:val="21"/>
                <w:szCs w:val="21"/>
                <w:color w:val="auto"/>
              </w:rPr>
            </w:pPr>
          </w:p>
        </w:tc>
        <w:tc>
          <w:tcPr>
            <w:tcW w:w="1480" w:type="dxa"/>
            <w:vAlign w:val="bottom"/>
          </w:tcPr>
          <w:p>
            <w:pPr>
              <w:ind w:left="960"/>
              <w:spacing w:after="0"/>
              <w:rPr>
                <w:sz w:val="20"/>
                <w:szCs w:val="20"/>
                <w:color w:val="auto"/>
              </w:rPr>
            </w:pPr>
            <w:r>
              <w:rPr>
                <w:rFonts w:ascii="Arial" w:cs="Arial" w:eastAsia="Arial" w:hAnsi="Arial"/>
                <w:sz w:val="18"/>
                <w:szCs w:val="18"/>
                <w:color w:val="auto"/>
              </w:rPr>
              <w:t>5,604</w:t>
            </w:r>
          </w:p>
        </w:tc>
        <w:tc>
          <w:tcPr>
            <w:tcW w:w="10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7,301</w:t>
            </w:r>
          </w:p>
        </w:tc>
      </w:tr>
    </w:tbl>
    <w:p>
      <w:pPr>
        <w:spacing w:after="0" w:line="202" w:lineRule="exact"/>
        <w:rPr>
          <w:sz w:val="20"/>
          <w:szCs w:val="20"/>
          <w:color w:val="auto"/>
        </w:rPr>
      </w:pPr>
    </w:p>
    <w:p>
      <w:pPr>
        <w:ind w:right="220" w:firstLine="378"/>
        <w:spacing w:after="0" w:line="264"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16 — Segment and Geographic Information</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operates in one reportable segment — the design, development and sale of integrated circuits.</w:t>
      </w:r>
    </w:p>
    <w:p>
      <w:pPr>
        <w:spacing w:after="0" w:line="117" w:lineRule="exact"/>
        <w:rPr>
          <w:sz w:val="20"/>
          <w:szCs w:val="20"/>
          <w:color w:val="auto"/>
        </w:rPr>
      </w:pPr>
    </w:p>
    <w:p>
      <w:pPr>
        <w:ind w:right="200" w:firstLine="432"/>
        <w:spacing w:after="0" w:line="277" w:lineRule="auto"/>
        <w:rPr>
          <w:sz w:val="20"/>
          <w:szCs w:val="20"/>
          <w:color w:val="auto"/>
        </w:rPr>
      </w:pPr>
      <w:r>
        <w:rPr>
          <w:rFonts w:ascii="Arial" w:cs="Arial" w:eastAsia="Arial" w:hAnsi="Arial"/>
          <w:sz w:val="18"/>
          <w:szCs w:val="18"/>
          <w:color w:val="auto"/>
        </w:rPr>
        <w:t>Refer to “Note 5 - Revenue” for net revenue information based on geographic region. The following table presents long-lived asset information based on geographic region. Long-lived assets are based on the physical location of the assets (in thousands)</w:t>
      </w: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4,</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83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2018</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United States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37"/>
              <w:spacing w:after="0"/>
              <w:rPr>
                <w:sz w:val="20"/>
                <w:szCs w:val="20"/>
                <w:color w:val="auto"/>
              </w:rPr>
            </w:pPr>
            <w:r>
              <w:rPr>
                <w:rFonts w:ascii="Arial" w:cs="Arial" w:eastAsia="Arial" w:hAnsi="Arial"/>
                <w:sz w:val="18"/>
                <w:szCs w:val="18"/>
                <w:color w:val="auto"/>
              </w:rPr>
              <w:t>241,586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156,053</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86,059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46,169</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property and equipment, net</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327,645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202,222</w:t>
            </w:r>
          </w:p>
        </w:tc>
      </w:tr>
      <w:tr>
        <w:trPr>
          <w:trHeight w:val="27"/>
        </w:trPr>
        <w:tc>
          <w:tcPr>
            <w:tcW w:w="83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100" w:firstLine="405"/>
        <w:spacing w:after="0" w:line="276" w:lineRule="auto"/>
        <w:rPr>
          <w:sz w:val="20"/>
          <w:szCs w:val="20"/>
          <w:color w:val="auto"/>
        </w:rPr>
      </w:pPr>
      <w:r>
        <w:rPr>
          <w:rFonts w:ascii="Arial" w:cs="Arial" w:eastAsia="Arial" w:hAnsi="Arial"/>
          <w:sz w:val="17"/>
          <w:szCs w:val="17"/>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73" w:lineRule="exact"/>
        <w:rPr>
          <w:sz w:val="20"/>
          <w:szCs w:val="20"/>
          <w:color w:val="auto"/>
        </w:rPr>
      </w:pPr>
    </w:p>
    <w:p>
      <w:pPr>
        <w:ind w:right="420" w:firstLine="648"/>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to successfully integrate the business of Cavium with our business;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anticipated synergies in connection with the Cavium acquisition;</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7"/>
          <w:szCs w:val="17"/>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23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130" w:right="239" w:bottom="1440" w:gutter="0" w:footer="0" w:header="0"/>
        </w:sectPr>
      </w:pPr>
    </w:p>
    <w:bookmarkStart w:id="33" w:name="page34"/>
    <w:bookmarkEnd w:id="3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left="660" w:hanging="328"/>
        <w:spacing w:after="0"/>
        <w:tabs>
          <w:tab w:leader="none" w:pos="660" w:val="left"/>
        </w:tabs>
        <w:numPr>
          <w:ilvl w:val="0"/>
          <w:numId w:val="8"/>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recruit and retain experienced executive management as well as highly skilled engineering and sales and marketing personnel;</w:t>
      </w:r>
    </w:p>
    <w:p>
      <w:pPr>
        <w:spacing w:after="0" w:line="34" w:lineRule="exact"/>
        <w:rPr>
          <w:rFonts w:ascii="Arial" w:cs="Arial" w:eastAsia="Arial" w:hAnsi="Arial"/>
          <w:sz w:val="17"/>
          <w:szCs w:val="17"/>
          <w:i w:val="1"/>
          <w:iCs w:val="1"/>
          <w:color w:val="auto"/>
        </w:rPr>
      </w:pPr>
    </w:p>
    <w:p>
      <w:pPr>
        <w:ind w:left="660" w:hanging="328"/>
        <w:spacing w:after="0"/>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w:t>
      </w:r>
    </w:p>
    <w:p>
      <w:pPr>
        <w:spacing w:after="0" w:line="9" w:lineRule="exact"/>
        <w:rPr>
          <w:rFonts w:ascii="Arial" w:cs="Arial" w:eastAsia="Arial" w:hAnsi="Arial"/>
          <w:sz w:val="18"/>
          <w:szCs w:val="18"/>
          <w:i w:val="1"/>
          <w:iCs w:val="1"/>
          <w:color w:val="auto"/>
        </w:rPr>
      </w:pPr>
    </w:p>
    <w:p>
      <w:pPr>
        <w:ind w:left="660" w:right="160" w:hanging="328"/>
        <w:spacing w:after="0" w:line="250" w:lineRule="auto"/>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changes in our application of the United Stated federal income tax laws and the loss of any beneficial treatment that we currently enjoy;</w:t>
      </w: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and regulatory proceedings.</w:t>
      </w:r>
    </w:p>
    <w:p>
      <w:pPr>
        <w:spacing w:after="0" w:line="305" w:lineRule="exact"/>
        <w:rPr>
          <w:sz w:val="20"/>
          <w:szCs w:val="20"/>
          <w:color w:val="auto"/>
        </w:rPr>
      </w:pPr>
    </w:p>
    <w:p>
      <w:pPr>
        <w:ind w:right="140" w:firstLine="648"/>
        <w:spacing w:after="0" w:line="264"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40" w:firstLine="432"/>
        <w:spacing w:after="0" w:line="257" w:lineRule="auto"/>
        <w:rPr>
          <w:sz w:val="20"/>
          <w:szCs w:val="20"/>
          <w:color w:val="auto"/>
        </w:rPr>
      </w:pPr>
      <w:r>
        <w:rPr>
          <w:rFonts w:ascii="Arial" w:cs="Arial" w:eastAsia="Arial" w:hAnsi="Arial"/>
          <w:sz w:val="18"/>
          <w:szCs w:val="18"/>
          <w:color w:val="auto"/>
        </w:rPr>
        <w:t>We are a fabless semiconductor provider of high-performance, application-specific standard products. Our core strength is developing complex System-on-a-Chip (“SoC”) devices, leveraging our technology portfolio of intellectual property in the areas of analog, mixed-signal, digital 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networking and connectivity.</w:t>
      </w:r>
    </w:p>
    <w:p>
      <w:pPr>
        <w:spacing w:after="0" w:line="188"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Unless noted otherwise, our discussion under Part I, Item 2, Management’s Discussion and Analysis of Financial Condition and Results of Operations, refers to our continuing operations.</w:t>
      </w:r>
    </w:p>
    <w:p>
      <w:pPr>
        <w:spacing w:after="0" w:line="170" w:lineRule="exact"/>
        <w:rPr>
          <w:sz w:val="20"/>
          <w:szCs w:val="20"/>
          <w:color w:val="auto"/>
        </w:rPr>
      </w:pPr>
    </w:p>
    <w:p>
      <w:pPr>
        <w:ind w:right="80" w:firstLine="405"/>
        <w:spacing w:after="0" w:line="276" w:lineRule="auto"/>
        <w:rPr>
          <w:sz w:val="20"/>
          <w:szCs w:val="20"/>
          <w:color w:val="auto"/>
        </w:rPr>
      </w:pPr>
      <w:r>
        <w:rPr>
          <w:rFonts w:ascii="Arial" w:cs="Arial" w:eastAsia="Arial" w:hAnsi="Arial"/>
          <w:sz w:val="17"/>
          <w:szCs w:val="17"/>
          <w:color w:val="auto"/>
        </w:rPr>
        <w:t>On July 6, 2018, we completed our acquisition of Cavium. Cavium is a provider of highly integrated semiconductor processors that enable intelligent processing for wired and wireless infrastructure and cloud for networking, communications, storage and security applications. Cavium designs, develops and markets semiconductor processors for intelligent and secure networks. Cavium's operating results from the acquisition date through our second quarter ended August 4, 2018 have been included in our consolidated financial statements. See “Note 3 - Business Combination” of Notes to Condensed Consolidated Financial Statements for further discussion regarding our acquisition of Cavium.</w:t>
      </w:r>
    </w:p>
    <w:p>
      <w:pPr>
        <w:spacing w:after="0" w:line="17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In the second quarter of fiscal 2019, our net revenue increased year over year by 10.0% from $604.8 million net revenue in the second quarter fiscal</w:t>
      </w:r>
    </w:p>
    <w:p>
      <w:pPr>
        <w:spacing w:after="0" w:line="46" w:lineRule="exact"/>
        <w:rPr>
          <w:sz w:val="20"/>
          <w:szCs w:val="20"/>
          <w:color w:val="auto"/>
        </w:rPr>
      </w:pPr>
    </w:p>
    <w:p>
      <w:pPr>
        <w:ind w:right="100"/>
        <w:spacing w:after="0" w:line="270" w:lineRule="auto"/>
        <w:rPr>
          <w:sz w:val="20"/>
          <w:szCs w:val="20"/>
          <w:color w:val="auto"/>
        </w:rPr>
      </w:pPr>
      <w:r>
        <w:rPr>
          <w:rFonts w:ascii="Arial" w:cs="Arial" w:eastAsia="Arial" w:hAnsi="Arial"/>
          <w:sz w:val="17"/>
          <w:szCs w:val="17"/>
          <w:color w:val="auto"/>
        </w:rPr>
        <w:t>2018 compared with $665.3 million in the second quarter of fiscal 2019. The increase was primarily due to a 15% increase in our networking product sales and 8% increase in our storage product sales, with sales benefiting from our acquisition of Cavium. This increase was partially offset by decreased sales of our other products, which decreased by 3% in relation to the three months ended July 29, 2017. Our net revenue for the six months ended August 4, 2018 increased by $92.5 million compared to net revenue for the six months ended July 29, 2017. The increase was primarily due to increased sales of our networking products by 13% and storage products by 6%, with sales benefiting from our acquisition of Cavium. The growth was offset by decreased sales of our other products, which decreased by 6% in relation to the six months ended July 29, 2017.</w:t>
      </w:r>
    </w:p>
    <w:p>
      <w:pPr>
        <w:spacing w:after="0" w:line="179" w:lineRule="exact"/>
        <w:rPr>
          <w:sz w:val="20"/>
          <w:szCs w:val="20"/>
          <w:color w:val="auto"/>
        </w:rPr>
      </w:pPr>
    </w:p>
    <w:p>
      <w:pPr>
        <w:ind w:right="900" w:firstLine="405"/>
        <w:spacing w:after="0" w:line="277" w:lineRule="auto"/>
        <w:rPr>
          <w:sz w:val="20"/>
          <w:szCs w:val="20"/>
          <w:color w:val="auto"/>
        </w:rPr>
      </w:pPr>
      <w:r>
        <w:rPr>
          <w:rFonts w:ascii="Arial" w:cs="Arial" w:eastAsia="Arial" w:hAnsi="Arial"/>
          <w:sz w:val="18"/>
          <w:szCs w:val="18"/>
          <w:i w:val="1"/>
          <w:iCs w:val="1"/>
          <w:color w:val="auto"/>
        </w:rPr>
        <w:t xml:space="preserve">Capital Return Program. </w:t>
      </w:r>
      <w:r>
        <w:rPr>
          <w:rFonts w:ascii="Arial" w:cs="Arial" w:eastAsia="Arial" w:hAnsi="Arial"/>
          <w:sz w:val="18"/>
          <w:szCs w:val="18"/>
          <w:color w:val="auto"/>
        </w:rPr>
        <w:t>We remain committed to delivering shareholder value through our dividend program. We returned $69.2 million to</w:t>
      </w:r>
      <w:r>
        <w:rPr>
          <w:rFonts w:ascii="Arial" w:cs="Arial" w:eastAsia="Arial" w:hAnsi="Arial"/>
          <w:sz w:val="18"/>
          <w:szCs w:val="18"/>
          <w:i w:val="1"/>
          <w:iCs w:val="1"/>
          <w:color w:val="auto"/>
        </w:rPr>
        <w:t xml:space="preserve"> </w:t>
      </w:r>
      <w:r>
        <w:rPr>
          <w:rFonts w:ascii="Arial" w:cs="Arial" w:eastAsia="Arial" w:hAnsi="Arial"/>
          <w:sz w:val="18"/>
          <w:szCs w:val="18"/>
          <w:color w:val="auto"/>
        </w:rPr>
        <w:t>stockholders in the six months ended August 4, 2018 in the form of cash dividend payments.</w:t>
      </w:r>
    </w:p>
    <w:p>
      <w:pPr>
        <w:spacing w:after="0" w:line="170" w:lineRule="exact"/>
        <w:rPr>
          <w:sz w:val="20"/>
          <w:szCs w:val="20"/>
          <w:color w:val="auto"/>
        </w:rPr>
      </w:pPr>
    </w:p>
    <w:p>
      <w:pPr>
        <w:ind w:right="80" w:firstLine="405"/>
        <w:spacing w:after="0" w:line="286" w:lineRule="auto"/>
        <w:rPr>
          <w:sz w:val="20"/>
          <w:szCs w:val="20"/>
          <w:color w:val="auto"/>
        </w:rPr>
      </w:pPr>
      <w:r>
        <w:rPr>
          <w:rFonts w:ascii="Arial" w:cs="Arial" w:eastAsia="Arial" w:hAnsi="Arial"/>
          <w:sz w:val="17"/>
          <w:szCs w:val="17"/>
          <w:i w:val="1"/>
          <w:iCs w:val="1"/>
          <w:color w:val="auto"/>
        </w:rPr>
        <w:t xml:space="preserve">Cash and Short Term Investments. </w:t>
      </w:r>
      <w:r>
        <w:rPr>
          <w:rFonts w:ascii="Arial" w:cs="Arial" w:eastAsia="Arial" w:hAnsi="Arial"/>
          <w:sz w:val="17"/>
          <w:szCs w:val="17"/>
          <w:color w:val="auto"/>
        </w:rPr>
        <w:t>Our total cash, cash equivalents and short-term investments were $523.7 million at August 4, 2018, which was lower</w:t>
      </w:r>
      <w:r>
        <w:rPr>
          <w:rFonts w:ascii="Arial" w:cs="Arial" w:eastAsia="Arial" w:hAnsi="Arial"/>
          <w:sz w:val="17"/>
          <w:szCs w:val="17"/>
          <w:i w:val="1"/>
          <w:iCs w:val="1"/>
          <w:color w:val="auto"/>
        </w:rPr>
        <w:t xml:space="preserve"> </w:t>
      </w:r>
      <w:r>
        <w:rPr>
          <w:rFonts w:ascii="Arial" w:cs="Arial" w:eastAsia="Arial" w:hAnsi="Arial"/>
          <w:sz w:val="17"/>
          <w:szCs w:val="17"/>
          <w:color w:val="auto"/>
        </w:rPr>
        <w:t>than our balance of $1.8 billion at our fiscal year ended February 3, 2018. The decrease was primarily due to cash paid for the Cavium acquisition of $2.6 billion and cash paid on debt principal payments of $606.1 million, offset by proceeds from debt financing of $1.9 billion.</w:t>
      </w:r>
    </w:p>
    <w:p>
      <w:pPr>
        <w:spacing w:after="0" w:line="166"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 Net</w:t>
      </w:r>
      <w:r>
        <w:rPr>
          <w:rFonts w:ascii="Arial" w:cs="Arial" w:eastAsia="Arial" w:hAnsi="Arial"/>
          <w:sz w:val="18"/>
          <w:szCs w:val="18"/>
          <w:i w:val="1"/>
          <w:iCs w:val="1"/>
          <w:color w:val="auto"/>
        </w:rPr>
        <w:t xml:space="preserve"> </w:t>
      </w:r>
      <w:r>
        <w:rPr>
          <w:rFonts w:ascii="Arial" w:cs="Arial" w:eastAsia="Arial" w:hAnsi="Arial"/>
          <w:sz w:val="18"/>
          <w:szCs w:val="18"/>
          <w:color w:val="auto"/>
        </w:rPr>
        <w:t>revenue attributable to significant customers whose revenue as a percentage of net revenue was 10% or greater of total net revenue is presented in the following table:</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130" w:right="239" w:bottom="1440" w:gutter="0" w:footer="0" w:header="0"/>
        </w:sectPr>
      </w:pPr>
    </w:p>
    <w:bookmarkStart w:id="34" w:name="page35"/>
    <w:bookmarkEnd w:id="3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440" w:type="dxa"/>
            <w:vAlign w:val="bottom"/>
          </w:tcPr>
          <w:p>
            <w:pPr>
              <w:spacing w:after="0"/>
              <w:rPr>
                <w:sz w:val="16"/>
                <w:szCs w:val="16"/>
                <w:color w:val="auto"/>
              </w:rPr>
            </w:pPr>
          </w:p>
        </w:tc>
        <w:tc>
          <w:tcPr>
            <w:tcW w:w="2920" w:type="dxa"/>
            <w:vAlign w:val="bottom"/>
            <w:tcBorders>
              <w:bottom w:val="single" w:sz="8" w:color="auto"/>
            </w:tcBorders>
            <w:gridSpan w:val="3"/>
          </w:tcPr>
          <w:p>
            <w:pPr>
              <w:jc w:val="right"/>
              <w:ind w:right="693"/>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2940" w:type="dxa"/>
            <w:vAlign w:val="bottom"/>
            <w:tcBorders>
              <w:bottom w:val="single" w:sz="8" w:color="auto"/>
            </w:tcBorders>
            <w:gridSpan w:val="3"/>
          </w:tcPr>
          <w:p>
            <w:pPr>
              <w:jc w:val="right"/>
              <w:ind w:right="813"/>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5440" w:type="dxa"/>
            <w:vAlign w:val="bottom"/>
          </w:tcPr>
          <w:p>
            <w:pPr>
              <w:spacing w:after="0"/>
              <w:rPr>
                <w:sz w:val="22"/>
                <w:szCs w:val="22"/>
                <w:color w:val="auto"/>
              </w:rPr>
            </w:pPr>
          </w:p>
        </w:tc>
        <w:tc>
          <w:tcPr>
            <w:tcW w:w="1500" w:type="dxa"/>
            <w:vAlign w:val="bottom"/>
            <w:gridSpan w:val="2"/>
          </w:tcPr>
          <w:p>
            <w:pPr>
              <w:ind w:left="240"/>
              <w:spacing w:after="0"/>
              <w:rPr>
                <w:sz w:val="20"/>
                <w:szCs w:val="20"/>
                <w:color w:val="auto"/>
              </w:rPr>
            </w:pPr>
            <w:r>
              <w:rPr>
                <w:rFonts w:ascii="Arial" w:cs="Arial" w:eastAsia="Arial" w:hAnsi="Arial"/>
                <w:sz w:val="14"/>
                <w:szCs w:val="14"/>
                <w:b w:val="1"/>
                <w:bCs w:val="1"/>
                <w:color w:val="auto"/>
              </w:rPr>
              <w:t>August 4, 2018</w:t>
            </w:r>
          </w:p>
        </w:tc>
        <w:tc>
          <w:tcPr>
            <w:tcW w:w="1540" w:type="dxa"/>
            <w:vAlign w:val="bottom"/>
            <w:gridSpan w:val="2"/>
          </w:tcPr>
          <w:p>
            <w:pPr>
              <w:ind w:left="320"/>
              <w:spacing w:after="0"/>
              <w:rPr>
                <w:sz w:val="20"/>
                <w:szCs w:val="20"/>
                <w:color w:val="auto"/>
              </w:rPr>
            </w:pPr>
            <w:r>
              <w:rPr>
                <w:rFonts w:ascii="Arial" w:cs="Arial" w:eastAsia="Arial" w:hAnsi="Arial"/>
                <w:sz w:val="14"/>
                <w:szCs w:val="14"/>
                <w:b w:val="1"/>
                <w:bCs w:val="1"/>
                <w:color w:val="auto"/>
              </w:rPr>
              <w:t>July 29, 2017</w:t>
            </w:r>
          </w:p>
        </w:tc>
        <w:tc>
          <w:tcPr>
            <w:tcW w:w="1520" w:type="dxa"/>
            <w:vAlign w:val="bottom"/>
            <w:gridSpan w:val="2"/>
          </w:tcPr>
          <w:p>
            <w:pPr>
              <w:ind w:left="260"/>
              <w:spacing w:after="0"/>
              <w:rPr>
                <w:sz w:val="20"/>
                <w:szCs w:val="20"/>
                <w:color w:val="auto"/>
              </w:rPr>
            </w:pPr>
            <w:r>
              <w:rPr>
                <w:rFonts w:ascii="Arial" w:cs="Arial" w:eastAsia="Arial" w:hAnsi="Arial"/>
                <w:sz w:val="14"/>
                <w:szCs w:val="14"/>
                <w:b w:val="1"/>
                <w:bCs w:val="1"/>
                <w:color w:val="auto"/>
              </w:rPr>
              <w:t>August 4, 2018</w:t>
            </w:r>
          </w:p>
        </w:tc>
        <w:tc>
          <w:tcPr>
            <w:tcW w:w="1420" w:type="dxa"/>
            <w:vAlign w:val="bottom"/>
          </w:tcPr>
          <w:p>
            <w:pPr>
              <w:jc w:val="right"/>
              <w:ind w:right="213"/>
              <w:spacing w:after="0"/>
              <w:rPr>
                <w:sz w:val="20"/>
                <w:szCs w:val="20"/>
                <w:color w:val="auto"/>
              </w:rPr>
            </w:pPr>
            <w:r>
              <w:rPr>
                <w:rFonts w:ascii="Arial" w:cs="Arial" w:eastAsia="Arial" w:hAnsi="Arial"/>
                <w:sz w:val="14"/>
                <w:szCs w:val="14"/>
                <w:b w:val="1"/>
                <w:bCs w:val="1"/>
                <w:color w:val="auto"/>
              </w:rPr>
              <w:t>July 29, 2017</w:t>
            </w:r>
          </w:p>
        </w:tc>
      </w:tr>
      <w:tr>
        <w:trPr>
          <w:trHeight w:val="250"/>
        </w:trPr>
        <w:tc>
          <w:tcPr>
            <w:tcW w:w="54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End Customer:</w:t>
            </w:r>
          </w:p>
        </w:tc>
        <w:tc>
          <w:tcPr>
            <w:tcW w:w="1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440" w:type="dxa"/>
            <w:vAlign w:val="bottom"/>
          </w:tcPr>
          <w:p>
            <w:pPr>
              <w:ind w:left="380"/>
              <w:spacing w:after="0"/>
              <w:rPr>
                <w:sz w:val="20"/>
                <w:szCs w:val="20"/>
                <w:color w:val="auto"/>
              </w:rPr>
            </w:pPr>
            <w:r>
              <w:rPr>
                <w:rFonts w:ascii="Arial" w:cs="Arial" w:eastAsia="Arial" w:hAnsi="Arial"/>
                <w:sz w:val="18"/>
                <w:szCs w:val="18"/>
                <w:color w:val="auto"/>
              </w:rPr>
              <w:t>Western Digital</w:t>
            </w:r>
          </w:p>
        </w:tc>
        <w:tc>
          <w:tcPr>
            <w:tcW w:w="1400" w:type="dxa"/>
            <w:vAlign w:val="bottom"/>
          </w:tcPr>
          <w:p>
            <w:pPr>
              <w:jc w:val="right"/>
              <w:spacing w:after="0"/>
              <w:rPr>
                <w:sz w:val="20"/>
                <w:szCs w:val="20"/>
                <w:color w:val="auto"/>
              </w:rPr>
            </w:pPr>
            <w:r>
              <w:rPr>
                <w:rFonts w:ascii="Arial" w:cs="Arial" w:eastAsia="Arial" w:hAnsi="Arial"/>
                <w:sz w:val="18"/>
                <w:szCs w:val="18"/>
                <w:color w:val="auto"/>
              </w:rPr>
              <w:t>15%</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22%</w:t>
            </w:r>
          </w:p>
        </w:tc>
        <w:tc>
          <w:tcPr>
            <w:tcW w:w="1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15%</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7"/>
        </w:trPr>
        <w:tc>
          <w:tcPr>
            <w:tcW w:w="54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54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w:t>
            </w:r>
          </w:p>
        </w:tc>
      </w:tr>
      <w:tr>
        <w:trPr>
          <w:trHeight w:val="243"/>
        </w:trPr>
        <w:tc>
          <w:tcPr>
            <w:tcW w:w="5440" w:type="dxa"/>
            <w:vAlign w:val="bottom"/>
          </w:tcPr>
          <w:p>
            <w:pPr>
              <w:ind w:left="380"/>
              <w:spacing w:after="0"/>
              <w:rPr>
                <w:sz w:val="20"/>
                <w:szCs w:val="20"/>
                <w:color w:val="auto"/>
              </w:rPr>
            </w:pPr>
            <w:r>
              <w:rPr>
                <w:rFonts w:ascii="Arial" w:cs="Arial" w:eastAsia="Arial" w:hAnsi="Arial"/>
                <w:sz w:val="18"/>
                <w:szCs w:val="18"/>
                <w:color w:val="auto"/>
              </w:rPr>
              <w:t>Seagate</w:t>
            </w:r>
          </w:p>
        </w:tc>
        <w:tc>
          <w:tcPr>
            <w:tcW w:w="1400" w:type="dxa"/>
            <w:vAlign w:val="bottom"/>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w:t>
            </w:r>
          </w:p>
        </w:tc>
        <w:tc>
          <w:tcPr>
            <w:tcW w:w="1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7"/>
        </w:trPr>
        <w:tc>
          <w:tcPr>
            <w:tcW w:w="54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54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Cisco</w:t>
            </w: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w:t>
            </w:r>
          </w:p>
        </w:tc>
      </w:tr>
      <w:tr>
        <w:trPr>
          <w:trHeight w:val="243"/>
        </w:trPr>
        <w:tc>
          <w:tcPr>
            <w:tcW w:w="5440" w:type="dxa"/>
            <w:vAlign w:val="bottom"/>
          </w:tcPr>
          <w:p>
            <w:pPr>
              <w:ind w:left="40"/>
              <w:spacing w:after="0"/>
              <w:rPr>
                <w:sz w:val="20"/>
                <w:szCs w:val="20"/>
                <w:color w:val="auto"/>
              </w:rPr>
            </w:pPr>
            <w:r>
              <w:rPr>
                <w:rFonts w:ascii="Arial" w:cs="Arial" w:eastAsia="Arial" w:hAnsi="Arial"/>
                <w:sz w:val="18"/>
                <w:szCs w:val="18"/>
                <w:b w:val="1"/>
                <w:bCs w:val="1"/>
                <w:color w:val="auto"/>
              </w:rPr>
              <w:t>Distributor:</w:t>
            </w:r>
          </w:p>
        </w:tc>
        <w:tc>
          <w:tcPr>
            <w:tcW w:w="1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20" w:type="dxa"/>
            <w:vAlign w:val="bottom"/>
          </w:tcPr>
          <w:p>
            <w:pPr>
              <w:spacing w:after="0"/>
              <w:rPr>
                <w:sz w:val="21"/>
                <w:szCs w:val="21"/>
                <w:color w:val="auto"/>
              </w:rPr>
            </w:pPr>
          </w:p>
        </w:tc>
      </w:tr>
      <w:tr>
        <w:trPr>
          <w:trHeight w:val="27"/>
        </w:trPr>
        <w:tc>
          <w:tcPr>
            <w:tcW w:w="54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43"/>
        </w:trPr>
        <w:tc>
          <w:tcPr>
            <w:tcW w:w="54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Wintech</w:t>
            </w:r>
          </w:p>
        </w:tc>
        <w:tc>
          <w:tcPr>
            <w:tcW w:w="1400" w:type="dxa"/>
            <w:vAlign w:val="bottom"/>
            <w:shd w:val="clear" w:color="auto" w:fill="CCEEFF"/>
          </w:tcPr>
          <w:p>
            <w:pPr>
              <w:jc w:val="right"/>
              <w:ind w:right="95"/>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w:t>
            </w:r>
          </w:p>
        </w:tc>
      </w:tr>
      <w:tr>
        <w:trPr>
          <w:trHeight w:val="27"/>
        </w:trPr>
        <w:tc>
          <w:tcPr>
            <w:tcW w:w="5440" w:type="dxa"/>
            <w:vAlign w:val="bottom"/>
            <w:shd w:val="clear" w:color="auto" w:fill="CCEEFF"/>
          </w:tcPr>
          <w:p>
            <w:pPr>
              <w:spacing w:after="0"/>
              <w:rPr>
                <w:sz w:val="2"/>
                <w:szCs w:val="2"/>
                <w:color w:val="auto"/>
              </w:rPr>
            </w:pPr>
          </w:p>
        </w:tc>
        <w:tc>
          <w:tcPr>
            <w:tcW w:w="14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r>
    </w:tbl>
    <w:p>
      <w:pPr>
        <w:spacing w:after="0" w:line="364" w:lineRule="exact"/>
        <w:rPr>
          <w:sz w:val="20"/>
          <w:szCs w:val="20"/>
          <w:color w:val="auto"/>
        </w:rPr>
      </w:pPr>
    </w:p>
    <w:p>
      <w:pPr>
        <w:ind w:left="720" w:hanging="685"/>
        <w:spacing w:after="0"/>
        <w:tabs>
          <w:tab w:leader="none" w:pos="72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98"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16"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all of our products are manufactured outside the United States. Sales shipped to customers with operations in Asia represented approximately 89% and 91% of our net revenue in the three and six months ended August 4, 2018, and approximately 95% of net revenue in both the three and six months ended July 29, 2017,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 of our customers,</w:t>
      </w:r>
      <w:r>
        <w:rPr>
          <w:rFonts w:ascii="Arial" w:cs="Arial" w:eastAsia="Arial" w:hAnsi="Arial"/>
          <w:sz w:val="17"/>
          <w:szCs w:val="17"/>
          <w:color w:val="auto"/>
        </w:rPr>
        <w:t xml:space="preserve"> </w:t>
      </w:r>
      <w:r>
        <w:rPr>
          <w:rFonts w:ascii="Arial" w:cs="Arial" w:eastAsia="Arial" w:hAnsi="Arial"/>
          <w:sz w:val="17"/>
          <w:szCs w:val="17"/>
          <w:i w:val="1"/>
          <w:iCs w:val="1"/>
          <w:color w:val="auto"/>
        </w:rPr>
        <w:t>are manufactured and sold outside of the United States. The occurrence of any or a combination of the additional risks described below would significantly and negatively impact our business and results of operations."</w:t>
      </w:r>
    </w:p>
    <w:p>
      <w:pPr>
        <w:spacing w:after="0" w:line="71" w:lineRule="exact"/>
        <w:rPr>
          <w:sz w:val="20"/>
          <w:szCs w:val="20"/>
          <w:color w:val="auto"/>
        </w:rPr>
      </w:pPr>
    </w:p>
    <w:p>
      <w:pPr>
        <w:ind w:firstLine="392"/>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cycles,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 customer demand,</w:t>
      </w:r>
      <w:r>
        <w:rPr>
          <w:rFonts w:ascii="Arial" w:cs="Arial" w:eastAsia="Arial" w:hAnsi="Arial"/>
          <w:sz w:val="16"/>
          <w:szCs w:val="16"/>
          <w:color w:val="auto"/>
        </w:rPr>
        <w:t xml:space="preserve"> </w:t>
      </w:r>
      <w:r>
        <w:rPr>
          <w:rFonts w:ascii="Arial" w:cs="Arial" w:eastAsia="Arial" w:hAnsi="Arial"/>
          <w:sz w:val="16"/>
          <w:szCs w:val="16"/>
          <w:i w:val="1"/>
          <w:iCs w:val="1"/>
          <w:color w:val="auto"/>
        </w:rPr>
        <w:t>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100" w:firstLine="405"/>
        <w:spacing w:after="0" w:line="273" w:lineRule="auto"/>
        <w:rPr>
          <w:sz w:val="20"/>
          <w:szCs w:val="20"/>
          <w:color w:val="auto"/>
        </w:rPr>
      </w:pPr>
      <w:r>
        <w:rPr>
          <w:rFonts w:ascii="Arial" w:cs="Arial" w:eastAsia="Arial" w:hAnsi="Arial"/>
          <w:sz w:val="17"/>
          <w:szCs w:val="17"/>
          <w:color w:val="auto"/>
        </w:rPr>
        <w:t>Except for the accounting policy for revenue recognition that was updated as a result of adopting the new accounting standard on the recognition of revenue from contracts with customers, and the estimates involved with the purchase accounting associated with Cavium business combination, there have been no material changes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3, 2018. See “Note 5. Revenue - New Revenue Recognition Policy Including Significant Judgments and Estimates,” "Note 3. Business Combination" and "Note 6. Goodwill and Acquired Intangible Assets, Net" for additional information.</w:t>
      </w:r>
    </w:p>
    <w:p>
      <w:pPr>
        <w:spacing w:after="0" w:line="200" w:lineRule="exact"/>
        <w:rPr>
          <w:sz w:val="20"/>
          <w:szCs w:val="20"/>
          <w:color w:val="auto"/>
        </w:rPr>
      </w:pPr>
    </w:p>
    <w:p>
      <w:pPr>
        <w:spacing w:after="0" w:line="2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130" w:right="239" w:bottom="1440" w:gutter="0" w:footer="0" w:header="0"/>
        </w:sectPr>
      </w:pPr>
    </w:p>
    <w:bookmarkStart w:id="35" w:name="page36"/>
    <w:bookmarkEnd w:id="3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4"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920" w:type="dxa"/>
            <w:vAlign w:val="bottom"/>
          </w:tcPr>
          <w:p>
            <w:pPr>
              <w:spacing w:after="0"/>
              <w:rPr>
                <w:sz w:val="16"/>
                <w:szCs w:val="16"/>
                <w:color w:val="auto"/>
              </w:rPr>
            </w:pPr>
          </w:p>
        </w:tc>
        <w:tc>
          <w:tcPr>
            <w:tcW w:w="3200" w:type="dxa"/>
            <w:vAlign w:val="bottom"/>
            <w:tcBorders>
              <w:bottom w:val="single" w:sz="8" w:color="auto"/>
            </w:tcBorders>
            <w:gridSpan w:val="3"/>
          </w:tcPr>
          <w:p>
            <w:pPr>
              <w:jc w:val="right"/>
              <w:ind w:right="85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200" w:type="dxa"/>
            <w:vAlign w:val="bottom"/>
            <w:tcBorders>
              <w:bottom w:val="single" w:sz="8" w:color="auto"/>
            </w:tcBorders>
            <w:gridSpan w:val="3"/>
          </w:tcPr>
          <w:p>
            <w:pPr>
              <w:jc w:val="right"/>
              <w:ind w:right="931"/>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4920" w:type="dxa"/>
            <w:vAlign w:val="bottom"/>
          </w:tcPr>
          <w:p>
            <w:pPr>
              <w:spacing w:after="0"/>
              <w:rPr>
                <w:sz w:val="22"/>
                <w:szCs w:val="22"/>
                <w:color w:val="auto"/>
              </w:rPr>
            </w:pPr>
          </w:p>
        </w:tc>
        <w:tc>
          <w:tcPr>
            <w:tcW w:w="1660" w:type="dxa"/>
            <w:vAlign w:val="bottom"/>
            <w:gridSpan w:val="2"/>
          </w:tcPr>
          <w:p>
            <w:pPr>
              <w:ind w:left="320"/>
              <w:spacing w:after="0"/>
              <w:rPr>
                <w:sz w:val="20"/>
                <w:szCs w:val="20"/>
                <w:color w:val="auto"/>
              </w:rPr>
            </w:pPr>
            <w:r>
              <w:rPr>
                <w:rFonts w:ascii="Arial" w:cs="Arial" w:eastAsia="Arial" w:hAnsi="Arial"/>
                <w:sz w:val="14"/>
                <w:szCs w:val="14"/>
                <w:b w:val="1"/>
                <w:bCs w:val="1"/>
                <w:color w:val="auto"/>
              </w:rPr>
              <w:t>August 4, 2018</w:t>
            </w:r>
          </w:p>
        </w:tc>
        <w:tc>
          <w:tcPr>
            <w:tcW w:w="1640" w:type="dxa"/>
            <w:vAlign w:val="bottom"/>
            <w:gridSpan w:val="2"/>
          </w:tcPr>
          <w:p>
            <w:pPr>
              <w:ind w:left="360"/>
              <w:spacing w:after="0"/>
              <w:rPr>
                <w:sz w:val="20"/>
                <w:szCs w:val="20"/>
                <w:color w:val="auto"/>
              </w:rPr>
            </w:pPr>
            <w:r>
              <w:rPr>
                <w:rFonts w:ascii="Arial" w:cs="Arial" w:eastAsia="Arial" w:hAnsi="Arial"/>
                <w:sz w:val="14"/>
                <w:szCs w:val="14"/>
                <w:b w:val="1"/>
                <w:bCs w:val="1"/>
                <w:color w:val="auto"/>
              </w:rPr>
              <w:t>July 29, 2017</w:t>
            </w:r>
          </w:p>
        </w:tc>
        <w:tc>
          <w:tcPr>
            <w:tcW w:w="1640" w:type="dxa"/>
            <w:vAlign w:val="bottom"/>
            <w:gridSpan w:val="2"/>
          </w:tcPr>
          <w:p>
            <w:pPr>
              <w:ind w:left="320"/>
              <w:spacing w:after="0"/>
              <w:rPr>
                <w:sz w:val="20"/>
                <w:szCs w:val="20"/>
                <w:color w:val="auto"/>
              </w:rPr>
            </w:pPr>
            <w:r>
              <w:rPr>
                <w:rFonts w:ascii="Arial" w:cs="Arial" w:eastAsia="Arial" w:hAnsi="Arial"/>
                <w:sz w:val="14"/>
                <w:szCs w:val="14"/>
                <w:b w:val="1"/>
                <w:bCs w:val="1"/>
                <w:color w:val="auto"/>
              </w:rPr>
              <w:t>August 4, 2018</w:t>
            </w:r>
          </w:p>
        </w:tc>
        <w:tc>
          <w:tcPr>
            <w:tcW w:w="1560" w:type="dxa"/>
            <w:vAlign w:val="bottom"/>
          </w:tcPr>
          <w:p>
            <w:pPr>
              <w:jc w:val="right"/>
              <w:ind w:right="291"/>
              <w:spacing w:after="0"/>
              <w:rPr>
                <w:sz w:val="20"/>
                <w:szCs w:val="20"/>
                <w:color w:val="auto"/>
              </w:rPr>
            </w:pPr>
            <w:r>
              <w:rPr>
                <w:rFonts w:ascii="Arial" w:cs="Arial" w:eastAsia="Arial" w:hAnsi="Arial"/>
                <w:sz w:val="14"/>
                <w:szCs w:val="14"/>
                <w:b w:val="1"/>
                <w:bCs w:val="1"/>
                <w:color w:val="auto"/>
              </w:rPr>
              <w:t>July 29, 2017</w:t>
            </w:r>
          </w:p>
        </w:tc>
      </w:tr>
      <w:tr>
        <w:trPr>
          <w:trHeight w:val="250"/>
        </w:trPr>
        <w:tc>
          <w:tcPr>
            <w:tcW w:w="49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540" w:type="dxa"/>
            <w:vAlign w:val="bottom"/>
          </w:tcPr>
          <w:p>
            <w:pPr>
              <w:jc w:val="right"/>
              <w:ind w:right="132"/>
              <w:spacing w:after="0"/>
              <w:rPr>
                <w:sz w:val="20"/>
                <w:szCs w:val="20"/>
                <w:color w:val="auto"/>
              </w:rPr>
            </w:pPr>
            <w:r>
              <w:rPr>
                <w:rFonts w:ascii="Arial" w:cs="Arial" w:eastAsia="Arial" w:hAnsi="Arial"/>
                <w:sz w:val="18"/>
                <w:szCs w:val="18"/>
                <w:color w:val="auto"/>
              </w:rPr>
              <w:t>43.3</w:t>
            </w:r>
          </w:p>
        </w:tc>
        <w:tc>
          <w:tcPr>
            <w:tcW w:w="120" w:type="dxa"/>
            <w:vAlign w:val="bottom"/>
          </w:tcPr>
          <w:p>
            <w:pPr>
              <w:spacing w:after="0"/>
              <w:rPr>
                <w:sz w:val="21"/>
                <w:szCs w:val="21"/>
                <w:color w:val="auto"/>
              </w:rPr>
            </w:pPr>
          </w:p>
        </w:tc>
        <w:tc>
          <w:tcPr>
            <w:tcW w:w="1540" w:type="dxa"/>
            <w:vAlign w:val="bottom"/>
          </w:tcPr>
          <w:p>
            <w:pPr>
              <w:jc w:val="right"/>
              <w:ind w:right="151"/>
              <w:spacing w:after="0"/>
              <w:rPr>
                <w:sz w:val="20"/>
                <w:szCs w:val="20"/>
                <w:color w:val="auto"/>
              </w:rPr>
            </w:pPr>
            <w:r>
              <w:rPr>
                <w:rFonts w:ascii="Arial" w:cs="Arial" w:eastAsia="Arial" w:hAnsi="Arial"/>
                <w:sz w:val="18"/>
                <w:szCs w:val="18"/>
                <w:color w:val="auto"/>
              </w:rPr>
              <w:t>39.6</w:t>
            </w:r>
          </w:p>
        </w:tc>
        <w:tc>
          <w:tcPr>
            <w:tcW w:w="100" w:type="dxa"/>
            <w:vAlign w:val="bottom"/>
          </w:tcPr>
          <w:p>
            <w:pPr>
              <w:spacing w:after="0"/>
              <w:rPr>
                <w:sz w:val="21"/>
                <w:szCs w:val="21"/>
                <w:color w:val="auto"/>
              </w:rPr>
            </w:pPr>
          </w:p>
        </w:tc>
        <w:tc>
          <w:tcPr>
            <w:tcW w:w="1540" w:type="dxa"/>
            <w:vAlign w:val="bottom"/>
          </w:tcPr>
          <w:p>
            <w:pPr>
              <w:jc w:val="right"/>
              <w:ind w:right="152"/>
              <w:spacing w:after="0"/>
              <w:rPr>
                <w:sz w:val="20"/>
                <w:szCs w:val="20"/>
                <w:color w:val="auto"/>
              </w:rPr>
            </w:pPr>
            <w:r>
              <w:rPr>
                <w:rFonts w:ascii="Arial" w:cs="Arial" w:eastAsia="Arial" w:hAnsi="Arial"/>
                <w:sz w:val="18"/>
                <w:szCs w:val="18"/>
                <w:color w:val="auto"/>
              </w:rPr>
              <w:t>40.7</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39.6</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4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5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rPr>
              <w:t>56.7</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60.4</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59.3</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60.4</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15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60" w:type="dxa"/>
            <w:vAlign w:val="bottom"/>
          </w:tcPr>
          <w:p>
            <w:pPr>
              <w:spacing w:after="0"/>
              <w:rPr>
                <w:sz w:val="21"/>
                <w:szCs w:val="21"/>
                <w:color w:val="auto"/>
              </w:rPr>
            </w:pPr>
          </w:p>
        </w:tc>
      </w:tr>
      <w:tr>
        <w:trPr>
          <w:trHeight w:val="27"/>
        </w:trPr>
        <w:tc>
          <w:tcPr>
            <w:tcW w:w="49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50"/>
        </w:trPr>
        <w:tc>
          <w:tcPr>
            <w:tcW w:w="49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15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rPr>
              <w:t>32.5</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29.9</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31.0</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31.3</w:t>
            </w:r>
          </w:p>
        </w:tc>
      </w:tr>
      <w:tr>
        <w:trPr>
          <w:trHeight w:val="243"/>
        </w:trPr>
        <w:tc>
          <w:tcPr>
            <w:tcW w:w="492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1540" w:type="dxa"/>
            <w:vAlign w:val="bottom"/>
          </w:tcPr>
          <w:p>
            <w:pPr>
              <w:jc w:val="right"/>
              <w:ind w:right="132"/>
              <w:spacing w:after="0"/>
              <w:rPr>
                <w:sz w:val="20"/>
                <w:szCs w:val="20"/>
                <w:color w:val="auto"/>
              </w:rPr>
            </w:pPr>
            <w:r>
              <w:rPr>
                <w:rFonts w:ascii="Arial" w:cs="Arial" w:eastAsia="Arial" w:hAnsi="Arial"/>
                <w:sz w:val="18"/>
                <w:szCs w:val="18"/>
                <w:color w:val="auto"/>
              </w:rPr>
              <w:t>20.1</w:t>
            </w:r>
          </w:p>
        </w:tc>
        <w:tc>
          <w:tcPr>
            <w:tcW w:w="120" w:type="dxa"/>
            <w:vAlign w:val="bottom"/>
          </w:tcPr>
          <w:p>
            <w:pPr>
              <w:spacing w:after="0"/>
              <w:rPr>
                <w:sz w:val="21"/>
                <w:szCs w:val="21"/>
                <w:color w:val="auto"/>
              </w:rPr>
            </w:pPr>
          </w:p>
        </w:tc>
        <w:tc>
          <w:tcPr>
            <w:tcW w:w="1540" w:type="dxa"/>
            <w:vAlign w:val="bottom"/>
          </w:tcPr>
          <w:p>
            <w:pPr>
              <w:jc w:val="right"/>
              <w:ind w:right="151"/>
              <w:spacing w:after="0"/>
              <w:rPr>
                <w:sz w:val="20"/>
                <w:szCs w:val="20"/>
                <w:color w:val="auto"/>
              </w:rPr>
            </w:pPr>
            <w:r>
              <w:rPr>
                <w:rFonts w:ascii="Arial" w:cs="Arial" w:eastAsia="Arial" w:hAnsi="Arial"/>
                <w:sz w:val="18"/>
                <w:szCs w:val="18"/>
                <w:color w:val="auto"/>
              </w:rPr>
              <w:t>9.2</w:t>
            </w:r>
          </w:p>
        </w:tc>
        <w:tc>
          <w:tcPr>
            <w:tcW w:w="100" w:type="dxa"/>
            <w:vAlign w:val="bottom"/>
          </w:tcPr>
          <w:p>
            <w:pPr>
              <w:spacing w:after="0"/>
              <w:rPr>
                <w:sz w:val="21"/>
                <w:szCs w:val="21"/>
                <w:color w:val="auto"/>
              </w:rPr>
            </w:pPr>
          </w:p>
        </w:tc>
        <w:tc>
          <w:tcPr>
            <w:tcW w:w="1540" w:type="dxa"/>
            <w:vAlign w:val="bottom"/>
          </w:tcPr>
          <w:p>
            <w:pPr>
              <w:jc w:val="right"/>
              <w:ind w:right="152"/>
              <w:spacing w:after="0"/>
              <w:rPr>
                <w:sz w:val="20"/>
                <w:szCs w:val="20"/>
                <w:color w:val="auto"/>
              </w:rPr>
            </w:pPr>
            <w:r>
              <w:rPr>
                <w:rFonts w:ascii="Arial" w:cs="Arial" w:eastAsia="Arial" w:hAnsi="Arial"/>
                <w:sz w:val="18"/>
                <w:szCs w:val="18"/>
                <w:color w:val="auto"/>
              </w:rPr>
              <w:t>16.2</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9.4</w:t>
            </w:r>
          </w:p>
        </w:tc>
      </w:tr>
      <w:tr>
        <w:trPr>
          <w:trHeight w:val="27"/>
        </w:trPr>
        <w:tc>
          <w:tcPr>
            <w:tcW w:w="49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70"/>
        </w:trPr>
        <w:tc>
          <w:tcPr>
            <w:tcW w:w="49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15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rPr>
              <w:t>5.3</w:t>
            </w:r>
          </w:p>
        </w:tc>
        <w:tc>
          <w:tcPr>
            <w:tcW w:w="12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0.7</w:t>
            </w:r>
          </w:p>
        </w:tc>
        <w:tc>
          <w:tcPr>
            <w:tcW w:w="10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2.9</w:t>
            </w:r>
          </w:p>
        </w:tc>
        <w:tc>
          <w:tcPr>
            <w:tcW w:w="10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0.5</w:t>
            </w:r>
          </w:p>
        </w:tc>
      </w:tr>
      <w:tr>
        <w:trPr>
          <w:trHeight w:val="237"/>
        </w:trPr>
        <w:tc>
          <w:tcPr>
            <w:tcW w:w="492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540" w:type="dxa"/>
            <w:vAlign w:val="bottom"/>
            <w:tcBorders>
              <w:top w:val="single" w:sz="8" w:color="auto"/>
            </w:tcBorders>
          </w:tcPr>
          <w:p>
            <w:pPr>
              <w:jc w:val="right"/>
              <w:ind w:right="132"/>
              <w:spacing w:after="0"/>
              <w:rPr>
                <w:sz w:val="20"/>
                <w:szCs w:val="20"/>
                <w:color w:val="auto"/>
              </w:rPr>
            </w:pPr>
            <w:r>
              <w:rPr>
                <w:rFonts w:ascii="Arial" w:cs="Arial" w:eastAsia="Arial" w:hAnsi="Arial"/>
                <w:sz w:val="18"/>
                <w:szCs w:val="18"/>
                <w:color w:val="auto"/>
              </w:rPr>
              <w:t>57.9</w:t>
            </w:r>
          </w:p>
        </w:tc>
        <w:tc>
          <w:tcPr>
            <w:tcW w:w="120" w:type="dxa"/>
            <w:vAlign w:val="bottom"/>
          </w:tcPr>
          <w:p>
            <w:pPr>
              <w:spacing w:after="0"/>
              <w:rPr>
                <w:sz w:val="20"/>
                <w:szCs w:val="20"/>
                <w:color w:val="auto"/>
              </w:rPr>
            </w:pPr>
          </w:p>
        </w:tc>
        <w:tc>
          <w:tcPr>
            <w:tcW w:w="154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39.8</w:t>
            </w:r>
          </w:p>
        </w:tc>
        <w:tc>
          <w:tcPr>
            <w:tcW w:w="100" w:type="dxa"/>
            <w:vAlign w:val="bottom"/>
          </w:tcPr>
          <w:p>
            <w:pPr>
              <w:spacing w:after="0"/>
              <w:rPr>
                <w:sz w:val="20"/>
                <w:szCs w:val="20"/>
                <w:color w:val="auto"/>
              </w:rPr>
            </w:pPr>
          </w:p>
        </w:tc>
        <w:tc>
          <w:tcPr>
            <w:tcW w:w="154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50.1</w:t>
            </w:r>
          </w:p>
        </w:tc>
        <w:tc>
          <w:tcPr>
            <w:tcW w:w="100" w:type="dxa"/>
            <w:vAlign w:val="bottom"/>
          </w:tcPr>
          <w:p>
            <w:pPr>
              <w:spacing w:after="0"/>
              <w:rPr>
                <w:sz w:val="20"/>
                <w:szCs w:val="20"/>
                <w:color w:val="auto"/>
              </w:rPr>
            </w:pPr>
          </w:p>
        </w:tc>
        <w:tc>
          <w:tcPr>
            <w:tcW w:w="1560" w:type="dxa"/>
            <w:vAlign w:val="bottom"/>
            <w:tcBorders>
              <w:top w:val="single" w:sz="8" w:color="auto"/>
            </w:tcBorders>
          </w:tcPr>
          <w:p>
            <w:pPr>
              <w:jc w:val="right"/>
              <w:ind w:right="131"/>
              <w:spacing w:after="0"/>
              <w:rPr>
                <w:sz w:val="20"/>
                <w:szCs w:val="20"/>
                <w:color w:val="auto"/>
              </w:rPr>
            </w:pPr>
            <w:r>
              <w:rPr>
                <w:rFonts w:ascii="Arial" w:cs="Arial" w:eastAsia="Arial" w:hAnsi="Arial"/>
                <w:sz w:val="18"/>
                <w:szCs w:val="18"/>
                <w:color w:val="auto"/>
              </w:rPr>
              <w:t>41.2</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4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15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(1.2)</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20.6</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9.2</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19.2</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Interest income</w:t>
            </w:r>
          </w:p>
        </w:tc>
        <w:tc>
          <w:tcPr>
            <w:tcW w:w="1540" w:type="dxa"/>
            <w:vAlign w:val="bottom"/>
          </w:tcPr>
          <w:p>
            <w:pPr>
              <w:jc w:val="right"/>
              <w:ind w:right="132"/>
              <w:spacing w:after="0"/>
              <w:rPr>
                <w:sz w:val="20"/>
                <w:szCs w:val="20"/>
                <w:color w:val="auto"/>
              </w:rPr>
            </w:pPr>
            <w:r>
              <w:rPr>
                <w:rFonts w:ascii="Arial" w:cs="Arial" w:eastAsia="Arial" w:hAnsi="Arial"/>
                <w:sz w:val="18"/>
                <w:szCs w:val="18"/>
                <w:color w:val="auto"/>
              </w:rPr>
              <w:t>0.5</w:t>
            </w:r>
          </w:p>
        </w:tc>
        <w:tc>
          <w:tcPr>
            <w:tcW w:w="120" w:type="dxa"/>
            <w:vAlign w:val="bottom"/>
          </w:tcPr>
          <w:p>
            <w:pPr>
              <w:spacing w:after="0"/>
              <w:rPr>
                <w:sz w:val="21"/>
                <w:szCs w:val="21"/>
                <w:color w:val="auto"/>
              </w:rPr>
            </w:pPr>
          </w:p>
        </w:tc>
        <w:tc>
          <w:tcPr>
            <w:tcW w:w="1540" w:type="dxa"/>
            <w:vAlign w:val="bottom"/>
          </w:tcPr>
          <w:p>
            <w:pPr>
              <w:jc w:val="right"/>
              <w:ind w:right="151"/>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21"/>
                <w:szCs w:val="21"/>
                <w:color w:val="auto"/>
              </w:rPr>
            </w:pPr>
          </w:p>
        </w:tc>
        <w:tc>
          <w:tcPr>
            <w:tcW w:w="1540" w:type="dxa"/>
            <w:vAlign w:val="bottom"/>
          </w:tcPr>
          <w:p>
            <w:pPr>
              <w:jc w:val="right"/>
              <w:ind w:right="152"/>
              <w:spacing w:after="0"/>
              <w:rPr>
                <w:sz w:val="20"/>
                <w:szCs w:val="20"/>
                <w:color w:val="auto"/>
              </w:rPr>
            </w:pPr>
            <w:r>
              <w:rPr>
                <w:rFonts w:ascii="Arial" w:cs="Arial" w:eastAsia="Arial" w:hAnsi="Arial"/>
                <w:sz w:val="18"/>
                <w:szCs w:val="18"/>
                <w:color w:val="auto"/>
              </w:rPr>
              <w:t>0.8</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0.6</w:t>
            </w:r>
          </w:p>
        </w:tc>
      </w:tr>
      <w:tr>
        <w:trPr>
          <w:trHeight w:val="27"/>
        </w:trPr>
        <w:tc>
          <w:tcPr>
            <w:tcW w:w="49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50"/>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15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(2.4)</w:t>
            </w:r>
          </w:p>
        </w:tc>
        <w:tc>
          <w:tcPr>
            <w:tcW w:w="120" w:type="dxa"/>
            <w:vAlign w:val="bottom"/>
            <w:tcBorders>
              <w:bottom w:val="single" w:sz="8" w:color="CCEEFF"/>
            </w:tcBorders>
            <w:shd w:val="clear" w:color="auto" w:fill="CCEEFF"/>
          </w:tcPr>
          <w:p>
            <w:pPr>
              <w:spacing w:after="0"/>
              <w:rPr>
                <w:sz w:val="21"/>
                <w:szCs w:val="21"/>
                <w:color w:val="auto"/>
              </w:rPr>
            </w:pPr>
          </w:p>
        </w:tc>
        <w:tc>
          <w:tcPr>
            <w:tcW w:w="16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5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(1.3)</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Other income (loss), net</w:t>
            </w:r>
          </w:p>
        </w:tc>
        <w:tc>
          <w:tcPr>
            <w:tcW w:w="1540" w:type="dxa"/>
            <w:vAlign w:val="bottom"/>
          </w:tcPr>
          <w:p>
            <w:pPr>
              <w:jc w:val="right"/>
              <w:ind w:right="72"/>
              <w:spacing w:after="0"/>
              <w:rPr>
                <w:sz w:val="20"/>
                <w:szCs w:val="20"/>
                <w:color w:val="auto"/>
              </w:rPr>
            </w:pPr>
            <w:r>
              <w:rPr>
                <w:rFonts w:ascii="Arial" w:cs="Arial" w:eastAsia="Arial" w:hAnsi="Arial"/>
                <w:sz w:val="18"/>
                <w:szCs w:val="18"/>
                <w:color w:val="auto"/>
              </w:rPr>
              <w:t>(0.4)</w:t>
            </w:r>
          </w:p>
        </w:tc>
        <w:tc>
          <w:tcPr>
            <w:tcW w:w="120" w:type="dxa"/>
            <w:vAlign w:val="bottom"/>
          </w:tcPr>
          <w:p>
            <w:pPr>
              <w:spacing w:after="0"/>
              <w:rPr>
                <w:sz w:val="21"/>
                <w:szCs w:val="21"/>
                <w:color w:val="auto"/>
              </w:rPr>
            </w:pPr>
          </w:p>
        </w:tc>
        <w:tc>
          <w:tcPr>
            <w:tcW w:w="1540" w:type="dxa"/>
            <w:vAlign w:val="bottom"/>
          </w:tcPr>
          <w:p>
            <w:pPr>
              <w:jc w:val="right"/>
              <w:ind w:right="151"/>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21"/>
                <w:szCs w:val="21"/>
                <w:color w:val="auto"/>
              </w:rPr>
            </w:pPr>
          </w:p>
        </w:tc>
        <w:tc>
          <w:tcPr>
            <w:tcW w:w="1540" w:type="dxa"/>
            <w:vAlign w:val="bottom"/>
          </w:tcPr>
          <w:p>
            <w:pPr>
              <w:jc w:val="right"/>
              <w:ind w:right="92"/>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0.3</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4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before income taxes</w:t>
            </w:r>
          </w:p>
        </w:tc>
        <w:tc>
          <w:tcPr>
            <w:tcW w:w="154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rPr>
              <w:t>(3.5)</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21.8</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8.6</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20.1</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1540" w:type="dxa"/>
            <w:vAlign w:val="bottom"/>
          </w:tcPr>
          <w:p>
            <w:pPr>
              <w:jc w:val="right"/>
              <w:ind w:right="72"/>
              <w:spacing w:after="0"/>
              <w:rPr>
                <w:sz w:val="20"/>
                <w:szCs w:val="20"/>
                <w:color w:val="auto"/>
              </w:rPr>
            </w:pPr>
            <w:r>
              <w:rPr>
                <w:rFonts w:ascii="Arial" w:cs="Arial" w:eastAsia="Arial" w:hAnsi="Arial"/>
                <w:sz w:val="18"/>
                <w:szCs w:val="18"/>
                <w:color w:val="auto"/>
              </w:rPr>
              <w:t>(4.5)</w:t>
            </w:r>
          </w:p>
        </w:tc>
        <w:tc>
          <w:tcPr>
            <w:tcW w:w="120" w:type="dxa"/>
            <w:vAlign w:val="bottom"/>
          </w:tcPr>
          <w:p>
            <w:pPr>
              <w:spacing w:after="0"/>
              <w:rPr>
                <w:sz w:val="21"/>
                <w:szCs w:val="21"/>
                <w:color w:val="auto"/>
              </w:rPr>
            </w:pPr>
          </w:p>
        </w:tc>
        <w:tc>
          <w:tcPr>
            <w:tcW w:w="1540" w:type="dxa"/>
            <w:vAlign w:val="bottom"/>
          </w:tcPr>
          <w:p>
            <w:pPr>
              <w:jc w:val="right"/>
              <w:ind w:right="91"/>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21"/>
                <w:szCs w:val="21"/>
                <w:color w:val="auto"/>
              </w:rPr>
            </w:pPr>
          </w:p>
        </w:tc>
        <w:tc>
          <w:tcPr>
            <w:tcW w:w="1540" w:type="dxa"/>
            <w:vAlign w:val="bottom"/>
          </w:tcPr>
          <w:p>
            <w:pPr>
              <w:jc w:val="right"/>
              <w:ind w:right="92"/>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21"/>
                <w:szCs w:val="21"/>
                <w:color w:val="auto"/>
              </w:rPr>
            </w:pPr>
          </w:p>
        </w:tc>
        <w:tc>
          <w:tcPr>
            <w:tcW w:w="1560" w:type="dxa"/>
            <w:vAlign w:val="bottom"/>
          </w:tcPr>
          <w:p>
            <w:pPr>
              <w:jc w:val="right"/>
              <w:ind w:right="131"/>
              <w:spacing w:after="0"/>
              <w:rPr>
                <w:sz w:val="20"/>
                <w:szCs w:val="20"/>
                <w:color w:val="auto"/>
              </w:rPr>
            </w:pPr>
            <w:r>
              <w:rPr>
                <w:rFonts w:ascii="Arial" w:cs="Arial" w:eastAsia="Arial" w:hAnsi="Arial"/>
                <w:sz w:val="18"/>
                <w:szCs w:val="18"/>
                <w:color w:val="auto"/>
              </w:rPr>
              <w:t>0.1</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r>
      <w:tr>
        <w:trPr>
          <w:trHeight w:val="269"/>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2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22.4 %</w:t>
            </w:r>
          </w:p>
        </w:tc>
        <w:tc>
          <w:tcPr>
            <w:tcW w:w="10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10.7 %</w:t>
            </w:r>
          </w:p>
        </w:tc>
        <w:tc>
          <w:tcPr>
            <w:tcW w:w="10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20.0 %</w:t>
            </w:r>
          </w:p>
        </w:tc>
      </w:tr>
      <w:tr>
        <w:trPr>
          <w:trHeight w:val="20"/>
        </w:trPr>
        <w:tc>
          <w:tcPr>
            <w:tcW w:w="492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August 4, 2018 and July 29, 2017</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Net Revenue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4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3"/>
          </w:tcPr>
          <w:p>
            <w:pPr>
              <w:jc w:val="right"/>
              <w:ind w:right="559"/>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3"/>
          </w:tcPr>
          <w:p>
            <w:pPr>
              <w:jc w:val="right"/>
              <w:ind w:right="659"/>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20" w:type="dxa"/>
            <w:vAlign w:val="bottom"/>
            <w:vMerge w:val="restart"/>
          </w:tcPr>
          <w:p>
            <w:pPr>
              <w:jc w:val="right"/>
              <w:ind w:right="102"/>
              <w:spacing w:after="0"/>
              <w:rPr>
                <w:sz w:val="20"/>
                <w:szCs w:val="20"/>
                <w:color w:val="auto"/>
              </w:rPr>
            </w:pPr>
            <w:r>
              <w:rPr>
                <w:rFonts w:ascii="Arial" w:cs="Arial" w:eastAsia="Arial" w:hAnsi="Arial"/>
                <w:sz w:val="14"/>
                <w:szCs w:val="14"/>
                <w:b w:val="1"/>
                <w:bCs w:val="1"/>
                <w:color w:val="auto"/>
                <w:w w:val="93"/>
              </w:rPr>
              <w:t>August 4, 2018</w:t>
            </w:r>
          </w:p>
        </w:tc>
        <w:tc>
          <w:tcPr>
            <w:tcW w:w="280" w:type="dxa"/>
            <w:vAlign w:val="bottom"/>
          </w:tcPr>
          <w:p>
            <w:pPr>
              <w:spacing w:after="0"/>
              <w:rPr>
                <w:sz w:val="12"/>
                <w:szCs w:val="12"/>
                <w:color w:val="auto"/>
              </w:rPr>
            </w:pPr>
          </w:p>
        </w:tc>
        <w:tc>
          <w:tcPr>
            <w:tcW w:w="10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7"/>
              </w:rPr>
              <w:t>July 29, 2017</w:t>
            </w:r>
          </w:p>
        </w:tc>
        <w:tc>
          <w:tcPr>
            <w:tcW w:w="1420" w:type="dxa"/>
            <w:vAlign w:val="bottom"/>
          </w:tcPr>
          <w:p>
            <w:pPr>
              <w:jc w:val="right"/>
              <w:ind w:right="564"/>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120" w:type="dxa"/>
            <w:vAlign w:val="bottom"/>
            <w:vMerge w:val="restart"/>
          </w:tcPr>
          <w:p>
            <w:pPr>
              <w:jc w:val="right"/>
              <w:ind w:right="102"/>
              <w:spacing w:after="0"/>
              <w:rPr>
                <w:sz w:val="20"/>
                <w:szCs w:val="20"/>
                <w:color w:val="auto"/>
              </w:rPr>
            </w:pPr>
            <w:r>
              <w:rPr>
                <w:rFonts w:ascii="Arial" w:cs="Arial" w:eastAsia="Arial" w:hAnsi="Arial"/>
                <w:sz w:val="14"/>
                <w:szCs w:val="14"/>
                <w:b w:val="1"/>
                <w:bCs w:val="1"/>
                <w:color w:val="auto"/>
                <w:w w:val="93"/>
              </w:rPr>
              <w:t>August 4, 2018</w:t>
            </w:r>
          </w:p>
        </w:tc>
        <w:tc>
          <w:tcPr>
            <w:tcW w:w="280" w:type="dxa"/>
            <w:vAlign w:val="bottom"/>
          </w:tcPr>
          <w:p>
            <w:pPr>
              <w:spacing w:after="0"/>
              <w:rPr>
                <w:sz w:val="12"/>
                <w:szCs w:val="12"/>
                <w:color w:val="auto"/>
              </w:rPr>
            </w:pPr>
          </w:p>
        </w:tc>
        <w:tc>
          <w:tcPr>
            <w:tcW w:w="10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7"/>
              </w:rPr>
              <w:t>July 29, 2017</w:t>
            </w:r>
          </w:p>
        </w:tc>
        <w:tc>
          <w:tcPr>
            <w:tcW w:w="1320" w:type="dxa"/>
            <w:vAlign w:val="bottom"/>
          </w:tcPr>
          <w:p>
            <w:pPr>
              <w:jc w:val="right"/>
              <w:ind w:right="4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4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vMerge w:val="continue"/>
          </w:tcPr>
          <w:p>
            <w:pPr>
              <w:spacing w:after="0"/>
              <w:rPr>
                <w:sz w:val="16"/>
                <w:szCs w:val="16"/>
                <w:color w:val="auto"/>
              </w:rPr>
            </w:pPr>
          </w:p>
        </w:tc>
        <w:tc>
          <w:tcPr>
            <w:tcW w:w="1560" w:type="dxa"/>
            <w:vAlign w:val="bottom"/>
            <w:tcBorders>
              <w:bottom w:val="single" w:sz="8" w:color="auto"/>
            </w:tcBorders>
            <w:gridSpan w:val="2"/>
          </w:tcPr>
          <w:p>
            <w:pPr>
              <w:jc w:val="center"/>
              <w:ind w:right="140"/>
              <w:spacing w:after="0"/>
              <w:rPr>
                <w:sz w:val="20"/>
                <w:szCs w:val="20"/>
                <w:color w:val="auto"/>
              </w:rPr>
            </w:pPr>
            <w:r>
              <w:rPr>
                <w:rFonts w:ascii="Arial" w:cs="Arial" w:eastAsia="Arial" w:hAnsi="Arial"/>
                <w:sz w:val="14"/>
                <w:szCs w:val="14"/>
                <w:b w:val="1"/>
                <w:bCs w:val="1"/>
                <w:color w:val="auto"/>
                <w:w w:val="89"/>
              </w:rPr>
              <w:t>Change</w:t>
            </w:r>
          </w:p>
        </w:tc>
        <w:tc>
          <w:tcPr>
            <w:tcW w:w="1120" w:type="dxa"/>
            <w:vAlign w:val="bottom"/>
            <w:tcBorders>
              <w:bottom w:val="single" w:sz="8" w:color="auto"/>
            </w:tcBorders>
            <w:vMerge w:val="continue"/>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4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2680" w:type="dxa"/>
            <w:vAlign w:val="bottom"/>
            <w:gridSpan w:val="3"/>
          </w:tcPr>
          <w:p>
            <w:pPr>
              <w:jc w:val="right"/>
              <w:ind w:right="202"/>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344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665,310</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604,750</w:t>
            </w:r>
          </w:p>
        </w:tc>
        <w:tc>
          <w:tcPr>
            <w:tcW w:w="15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  $</w:t>
            </w:r>
          </w:p>
        </w:tc>
        <w:tc>
          <w:tcPr>
            <w:tcW w:w="112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1,269,941</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1,177,459</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0" w:type="dxa"/>
            <w:vAlign w:val="bottom"/>
          </w:tcPr>
          <w:p>
            <w:pPr>
              <w:spacing w:after="0"/>
              <w:rPr>
                <w:sz w:val="1"/>
                <w:szCs w:val="1"/>
                <w:color w:val="auto"/>
              </w:rPr>
            </w:pPr>
          </w:p>
        </w:tc>
      </w:tr>
      <w:tr>
        <w:trPr>
          <w:trHeight w:val="27"/>
        </w:trPr>
        <w:tc>
          <w:tcPr>
            <w:tcW w:w="344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3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400" w:firstLine="405"/>
        <w:spacing w:after="0" w:line="277" w:lineRule="auto"/>
        <w:rPr>
          <w:sz w:val="20"/>
          <w:szCs w:val="20"/>
          <w:color w:val="auto"/>
        </w:rPr>
      </w:pPr>
      <w:r>
        <w:rPr>
          <w:rFonts w:ascii="Arial" w:cs="Arial" w:eastAsia="Arial" w:hAnsi="Arial"/>
          <w:sz w:val="18"/>
          <w:szCs w:val="18"/>
          <w:color w:val="auto"/>
        </w:rPr>
        <w:t>At the beginning of fiscal year 2019, we adopted the new revenue recognition standard using the modified retrospective method. Refer to “Note 5 - Revenue” for further information.</w:t>
      </w:r>
    </w:p>
    <w:p>
      <w:pPr>
        <w:spacing w:after="0" w:line="170" w:lineRule="exact"/>
        <w:rPr>
          <w:sz w:val="20"/>
          <w:szCs w:val="20"/>
          <w:color w:val="auto"/>
        </w:rPr>
      </w:pPr>
    </w:p>
    <w:p>
      <w:pPr>
        <w:jc w:val="both"/>
        <w:ind w:right="260" w:firstLine="405"/>
        <w:spacing w:after="0" w:line="259" w:lineRule="auto"/>
        <w:rPr>
          <w:sz w:val="20"/>
          <w:szCs w:val="20"/>
          <w:color w:val="auto"/>
        </w:rPr>
      </w:pPr>
      <w:r>
        <w:rPr>
          <w:rFonts w:ascii="Arial" w:cs="Arial" w:eastAsia="Arial" w:hAnsi="Arial"/>
          <w:sz w:val="18"/>
          <w:szCs w:val="18"/>
          <w:color w:val="auto"/>
        </w:rPr>
        <w:t>Our net revenue for the three months ended August 4, 2018 increased by $60.6 million compared to net revenue for the three months ended July 29, 2017. This was primarily due to increased sales of our networking products by 15% and higher sales of our storage products by 8%, with sales benefiting from our acquisition of Cavium, which occurred in the second quarter of fiscal year 2019. This increase was partially offset by decreased sales of our other products, which were down 3% compared to the three months ended July 29, 2017.</w:t>
      </w:r>
    </w:p>
    <w:p>
      <w:pPr>
        <w:spacing w:after="0" w:line="227" w:lineRule="exact"/>
        <w:rPr>
          <w:sz w:val="20"/>
          <w:szCs w:val="20"/>
          <w:color w:val="auto"/>
        </w:rPr>
      </w:pPr>
    </w:p>
    <w:p>
      <w:pPr>
        <w:ind w:right="200" w:firstLine="405"/>
        <w:spacing w:after="0" w:line="259" w:lineRule="auto"/>
        <w:rPr>
          <w:sz w:val="20"/>
          <w:szCs w:val="20"/>
          <w:color w:val="auto"/>
        </w:rPr>
      </w:pPr>
      <w:r>
        <w:rPr>
          <w:rFonts w:ascii="Arial" w:cs="Arial" w:eastAsia="Arial" w:hAnsi="Arial"/>
          <w:sz w:val="18"/>
          <w:szCs w:val="18"/>
          <w:color w:val="auto"/>
        </w:rPr>
        <w:t>Our net revenue for the six months ended August 4, 2018 increased by $92.5 million compared to net revenue for the six months ended July 29, 2017. This increase was primarily due to increased sales of our networking products by 13% and increased sales of our storage products by 6%, with sales benefiting from our acquisition of Cavium. This growth was offset by a decline in other products, which were down 6% compared to the six months ended July 29, 2017.</w:t>
      </w:r>
    </w:p>
    <w:p>
      <w:pPr>
        <w:spacing w:after="0" w:line="227" w:lineRule="exact"/>
        <w:rPr>
          <w:sz w:val="20"/>
          <w:szCs w:val="20"/>
          <w:color w:val="auto"/>
        </w:rPr>
      </w:pPr>
    </w:p>
    <w:p>
      <w:pPr>
        <w:jc w:val="both"/>
        <w:ind w:right="40" w:firstLine="405"/>
        <w:spacing w:after="0" w:line="264" w:lineRule="auto"/>
        <w:rPr>
          <w:sz w:val="20"/>
          <w:szCs w:val="20"/>
          <w:color w:val="auto"/>
        </w:rPr>
      </w:pPr>
      <w:r>
        <w:rPr>
          <w:rFonts w:ascii="Arial" w:cs="Arial" w:eastAsia="Arial" w:hAnsi="Arial"/>
          <w:sz w:val="18"/>
          <w:szCs w:val="18"/>
          <w:color w:val="auto"/>
        </w:rPr>
        <w:t>In the three months ended August 4, 2018, unit shipments were 6% higher and average selling prices increased 4% compared to the three months ended July 29, 2017. In the six months ended August 4, 2018, unit shipments were 7% higher and average selling prices were flat compared to the six months ended July 29, 2017.</w:t>
      </w: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34</w:t>
      </w:r>
    </w:p>
    <w:p>
      <w:pPr>
        <w:sectPr>
          <w:pgSz w:w="11900" w:h="16838" w:orient="portrait"/>
          <w:cols w:equalWidth="0" w:num="1">
            <w:col w:w="11420"/>
          </w:cols>
          <w:pgMar w:left="240" w:top="130" w:right="239" w:bottom="1440" w:gutter="0" w:footer="0" w:header="0"/>
          <w:type w:val="continuous"/>
        </w:sectPr>
      </w:pPr>
    </w:p>
    <w:bookmarkStart w:id="36" w:name="page37"/>
    <w:bookmarkEnd w:id="3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4"/>
          </w:tcPr>
          <w:p>
            <w:pPr>
              <w:jc w:val="right"/>
              <w:ind w:right="614"/>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4"/>
          </w:tcPr>
          <w:p>
            <w:pPr>
              <w:jc w:val="right"/>
              <w:ind w:right="694"/>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August 4, 2018</w:t>
            </w:r>
          </w:p>
        </w:tc>
        <w:tc>
          <w:tcPr>
            <w:tcW w:w="200" w:type="dxa"/>
            <w:vAlign w:val="bottom"/>
          </w:tcPr>
          <w:p>
            <w:pPr>
              <w:spacing w:after="0"/>
              <w:rPr>
                <w:sz w:val="12"/>
                <w:szCs w:val="12"/>
                <w:color w:val="auto"/>
              </w:rPr>
            </w:pPr>
          </w:p>
        </w:tc>
        <w:tc>
          <w:tcPr>
            <w:tcW w:w="1120" w:type="dxa"/>
            <w:vAlign w:val="bottom"/>
            <w:vMerge w:val="restart"/>
          </w:tcPr>
          <w:p>
            <w:pPr>
              <w:jc w:val="right"/>
              <w:ind w:right="174"/>
              <w:spacing w:after="0"/>
              <w:rPr>
                <w:sz w:val="20"/>
                <w:szCs w:val="20"/>
                <w:color w:val="auto"/>
              </w:rPr>
            </w:pPr>
            <w:r>
              <w:rPr>
                <w:rFonts w:ascii="Arial" w:cs="Arial" w:eastAsia="Arial" w:hAnsi="Arial"/>
                <w:sz w:val="14"/>
                <w:szCs w:val="14"/>
                <w:b w:val="1"/>
                <w:bCs w:val="1"/>
                <w:color w:val="auto"/>
                <w:w w:val="97"/>
              </w:rPr>
              <w:t>July 29, 2017</w:t>
            </w:r>
          </w:p>
        </w:tc>
        <w:tc>
          <w:tcPr>
            <w:tcW w:w="1380" w:type="dxa"/>
            <w:vAlign w:val="bottom"/>
          </w:tcPr>
          <w:p>
            <w:pPr>
              <w:jc w:val="right"/>
              <w:ind w:right="541"/>
              <w:spacing w:after="0" w:line="139" w:lineRule="exact"/>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2"/>
                <w:szCs w:val="12"/>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August 4, 2018</w:t>
            </w:r>
          </w:p>
        </w:tc>
        <w:tc>
          <w:tcPr>
            <w:tcW w:w="200" w:type="dxa"/>
            <w:vAlign w:val="bottom"/>
          </w:tcPr>
          <w:p>
            <w:pPr>
              <w:spacing w:after="0"/>
              <w:rPr>
                <w:sz w:val="12"/>
                <w:szCs w:val="12"/>
                <w:color w:val="auto"/>
              </w:rPr>
            </w:pPr>
          </w:p>
        </w:tc>
        <w:tc>
          <w:tcPr>
            <w:tcW w:w="1120" w:type="dxa"/>
            <w:vAlign w:val="bottom"/>
            <w:vMerge w:val="restart"/>
          </w:tcPr>
          <w:p>
            <w:pPr>
              <w:jc w:val="right"/>
              <w:ind w:right="174"/>
              <w:spacing w:after="0"/>
              <w:rPr>
                <w:sz w:val="20"/>
                <w:szCs w:val="20"/>
                <w:color w:val="auto"/>
              </w:rPr>
            </w:pPr>
            <w:r>
              <w:rPr>
                <w:rFonts w:ascii="Arial" w:cs="Arial" w:eastAsia="Arial" w:hAnsi="Arial"/>
                <w:sz w:val="14"/>
                <w:szCs w:val="14"/>
                <w:b w:val="1"/>
                <w:bCs w:val="1"/>
                <w:color w:val="auto"/>
                <w:w w:val="97"/>
              </w:rPr>
              <w:t>July 29, 2017</w:t>
            </w:r>
          </w:p>
        </w:tc>
        <w:tc>
          <w:tcPr>
            <w:tcW w:w="1280" w:type="dxa"/>
            <w:vAlign w:val="bottom"/>
          </w:tcPr>
          <w:p>
            <w:pPr>
              <w:jc w:val="right"/>
              <w:ind w:right="439"/>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38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Change</w:t>
            </w:r>
          </w:p>
        </w:tc>
        <w:tc>
          <w:tcPr>
            <w:tcW w:w="1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gridSpan w:val="2"/>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right"/>
              <w:ind w:right="279"/>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800" w:type="dxa"/>
            <w:vAlign w:val="bottom"/>
            <w:gridSpan w:val="4"/>
          </w:tcPr>
          <w:p>
            <w:pPr>
              <w:ind w:left="320"/>
              <w:spacing w:after="0"/>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288,200</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239,572</w:t>
            </w:r>
          </w:p>
        </w:tc>
        <w:tc>
          <w:tcPr>
            <w:tcW w:w="138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8"/>
                <w:szCs w:val="18"/>
                <w:color w:val="auto"/>
              </w:rPr>
              <w:t>20.3%</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517,138</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466,770</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43"/>
        </w:trPr>
        <w:tc>
          <w:tcPr>
            <w:tcW w:w="32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43.3%</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39.6%</w:t>
            </w:r>
          </w:p>
        </w:tc>
        <w:tc>
          <w:tcPr>
            <w:tcW w:w="13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40.7%</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39.6%</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2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38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3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377,110</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365,178</w:t>
            </w:r>
          </w:p>
        </w:tc>
        <w:tc>
          <w:tcPr>
            <w:tcW w:w="138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8"/>
                <w:szCs w:val="18"/>
                <w:color w:val="auto"/>
              </w:rPr>
              <w:t>3.3%</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752,803</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710,689</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37"/>
        </w:trPr>
        <w:tc>
          <w:tcPr>
            <w:tcW w:w="32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56.7%</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60.4%</w:t>
            </w:r>
          </w:p>
        </w:tc>
        <w:tc>
          <w:tcPr>
            <w:tcW w:w="138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59.3%</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60.4%</w:t>
            </w:r>
          </w:p>
        </w:tc>
        <w:tc>
          <w:tcPr>
            <w:tcW w:w="1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40" w:firstLine="432"/>
        <w:spacing w:after="0" w:line="291" w:lineRule="auto"/>
        <w:rPr>
          <w:sz w:val="20"/>
          <w:szCs w:val="20"/>
          <w:color w:val="auto"/>
        </w:rPr>
      </w:pPr>
      <w:r>
        <w:rPr>
          <w:rFonts w:ascii="Arial" w:cs="Arial" w:eastAsia="Arial" w:hAnsi="Arial"/>
          <w:sz w:val="16"/>
          <w:szCs w:val="16"/>
          <w:color w:val="auto"/>
        </w:rPr>
        <w:t>Cost of goods sold as a percentage of net revenue was higher for the three and six months ended August 4, 2018 due primarily to our acquisition of Cavium, which resulted in increased costs from inventory acquisition costs and amortization of acquired intangible assets, partially offset by lower manufacturing costs and improved product mix. As a result, gross margin for the three and six months ended August 4, 2018 decreased 3.7 percentage points and 1.1 percentage points, respectively, compared to the three and six months ended July 29, 2017. Our cost of goods sold as a percentage of net revenue may fluctuate in future periods due to, among other things: changes in the mix of products sold; the timing of production ramps of new products; increased pricing pressures from our customers and competitors; charges for obsolete or potentially excess inventory; changes in the costs charged by our foundry, assembly and test subcontractors; product warranty costs; changes in commodity prices; and the margin profiles of our new product introductions.</w:t>
      </w:r>
    </w:p>
    <w:p>
      <w:pPr>
        <w:spacing w:after="0" w:line="16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Research and Development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0" w:type="dxa"/>
            <w:vAlign w:val="bottom"/>
            <w:vMerge w:val="restart"/>
          </w:tcPr>
          <w:p>
            <w:pPr>
              <w:jc w:val="right"/>
              <w:ind w:right="15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Pr>
          <w:p>
            <w:pPr>
              <w:spacing w:after="0"/>
              <w:rPr>
                <w:sz w:val="12"/>
                <w:szCs w:val="12"/>
                <w:color w:val="auto"/>
              </w:rPr>
            </w:pPr>
          </w:p>
        </w:tc>
        <w:tc>
          <w:tcPr>
            <w:tcW w:w="114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9"/>
              </w:rPr>
              <w:t>July 29, 2017</w:t>
            </w:r>
          </w:p>
        </w:tc>
        <w:tc>
          <w:tcPr>
            <w:tcW w:w="1360" w:type="dxa"/>
            <w:vAlign w:val="bottom"/>
          </w:tcPr>
          <w:p>
            <w:pPr>
              <w:jc w:val="right"/>
              <w:ind w:right="524"/>
              <w:spacing w:after="0" w:line="139" w:lineRule="exact"/>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2"/>
                <w:szCs w:val="12"/>
                <w:color w:val="auto"/>
              </w:rPr>
            </w:pPr>
          </w:p>
        </w:tc>
        <w:tc>
          <w:tcPr>
            <w:tcW w:w="1200" w:type="dxa"/>
            <w:vAlign w:val="bottom"/>
            <w:vMerge w:val="restart"/>
          </w:tcPr>
          <w:p>
            <w:pPr>
              <w:jc w:val="right"/>
              <w:ind w:right="159"/>
              <w:spacing w:after="0"/>
              <w:rPr>
                <w:sz w:val="20"/>
                <w:szCs w:val="20"/>
                <w:color w:val="auto"/>
              </w:rPr>
            </w:pPr>
            <w:r>
              <w:rPr>
                <w:rFonts w:ascii="Arial" w:cs="Arial" w:eastAsia="Arial" w:hAnsi="Arial"/>
                <w:sz w:val="14"/>
                <w:szCs w:val="14"/>
                <w:b w:val="1"/>
                <w:bCs w:val="1"/>
                <w:color w:val="auto"/>
                <w:w w:val="95"/>
              </w:rPr>
              <w:t>August 4, 2018</w:t>
            </w:r>
          </w:p>
        </w:tc>
        <w:tc>
          <w:tcPr>
            <w:tcW w:w="260" w:type="dxa"/>
            <w:vAlign w:val="bottom"/>
          </w:tcPr>
          <w:p>
            <w:pPr>
              <w:spacing w:after="0"/>
              <w:rPr>
                <w:sz w:val="12"/>
                <w:szCs w:val="12"/>
                <w:color w:val="auto"/>
              </w:rPr>
            </w:pPr>
          </w:p>
        </w:tc>
        <w:tc>
          <w:tcPr>
            <w:tcW w:w="112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7"/>
              </w:rPr>
              <w:t>July 29, 2017</w:t>
            </w:r>
          </w:p>
        </w:tc>
        <w:tc>
          <w:tcPr>
            <w:tcW w:w="128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3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vMerge w:val="continue"/>
          </w:tcPr>
          <w:p>
            <w:pPr>
              <w:spacing w:after="0"/>
              <w:rPr>
                <w:sz w:val="16"/>
                <w:szCs w:val="16"/>
                <w:color w:val="auto"/>
              </w:rPr>
            </w:pPr>
          </w:p>
        </w:tc>
        <w:tc>
          <w:tcPr>
            <w:tcW w:w="152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120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3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72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3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216,285</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180,871</w:t>
            </w:r>
          </w:p>
        </w:tc>
        <w:tc>
          <w:tcPr>
            <w:tcW w:w="152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19.6%  $</w:t>
            </w:r>
          </w:p>
        </w:tc>
        <w:tc>
          <w:tcPr>
            <w:tcW w:w="120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393,019</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368,967</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43"/>
        </w:trPr>
        <w:tc>
          <w:tcPr>
            <w:tcW w:w="33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32.5%</w:t>
            </w:r>
          </w:p>
        </w:tc>
        <w:tc>
          <w:tcPr>
            <w:tcW w:w="24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29.9%</w:t>
            </w:r>
          </w:p>
        </w:tc>
        <w:tc>
          <w:tcPr>
            <w:tcW w:w="13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31.0%</w:t>
            </w:r>
          </w:p>
        </w:tc>
        <w:tc>
          <w:tcPr>
            <w:tcW w:w="2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31.3%</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left="440"/>
        <w:spacing w:after="0"/>
        <w:rPr>
          <w:sz w:val="20"/>
          <w:szCs w:val="20"/>
          <w:color w:val="auto"/>
        </w:rPr>
      </w:pPr>
      <w:r>
        <w:rPr>
          <w:rFonts w:ascii="Arial" w:cs="Arial" w:eastAsia="Arial" w:hAnsi="Arial"/>
          <w:sz w:val="16"/>
          <w:szCs w:val="16"/>
          <w:color w:val="auto"/>
        </w:rPr>
        <w:t>Research and development expenses increased by $35.4 million in the three months ended August 4, 2018 compared to the three months ended July 29,</w:t>
      </w:r>
    </w:p>
    <w:p>
      <w:pPr>
        <w:spacing w:after="0" w:line="46" w:lineRule="exact"/>
        <w:rPr>
          <w:sz w:val="20"/>
          <w:szCs w:val="20"/>
          <w:color w:val="auto"/>
        </w:rPr>
      </w:pPr>
    </w:p>
    <w:p>
      <w:pPr>
        <w:jc w:val="both"/>
        <w:ind w:right="660"/>
        <w:spacing w:after="0" w:line="323" w:lineRule="auto"/>
        <w:rPr>
          <w:sz w:val="20"/>
          <w:szCs w:val="20"/>
          <w:color w:val="auto"/>
        </w:rPr>
      </w:pPr>
      <w:r>
        <w:rPr>
          <w:rFonts w:ascii="Arial" w:cs="Arial" w:eastAsia="Arial" w:hAnsi="Arial"/>
          <w:sz w:val="16"/>
          <w:szCs w:val="16"/>
          <w:color w:val="auto"/>
        </w:rPr>
        <w:t>2017. The increase was primarily due to additional costs from our acquisition of Cavium. The increase primarily consisted of $30.1 million of higher employee personnel-related costs, $2.1 million decrease in non-recurring engineering credits and $1.7 million of higher other personnel-related costs.</w:t>
      </w:r>
    </w:p>
    <w:p>
      <w:pPr>
        <w:spacing w:after="0" w:line="85" w:lineRule="exact"/>
        <w:rPr>
          <w:sz w:val="20"/>
          <w:szCs w:val="20"/>
          <w:color w:val="auto"/>
        </w:rPr>
      </w:pPr>
    </w:p>
    <w:p>
      <w:pPr>
        <w:ind w:right="220" w:firstLine="432"/>
        <w:spacing w:after="0" w:line="264" w:lineRule="auto"/>
        <w:rPr>
          <w:sz w:val="20"/>
          <w:szCs w:val="20"/>
          <w:color w:val="auto"/>
        </w:rPr>
      </w:pPr>
      <w:r>
        <w:rPr>
          <w:rFonts w:ascii="Arial" w:cs="Arial" w:eastAsia="Arial" w:hAnsi="Arial"/>
          <w:sz w:val="18"/>
          <w:szCs w:val="18"/>
          <w:color w:val="auto"/>
        </w:rPr>
        <w:t>Research and development increased by $24.1 million in the six months ended August 4, 2018, compared to the six months ended July 29, 2017. The increase was due primarily to additional costs from our acquisition of Cavium. The increase primarily consisted of $29.0 million of higher employee personnel-related costs, partially offset by $3.8 million of lower computer-aided design software costs.</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Selling, general and administrative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6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0" w:type="dxa"/>
            <w:vAlign w:val="bottom"/>
            <w:vMerge w:val="restart"/>
          </w:tcPr>
          <w:p>
            <w:pPr>
              <w:jc w:val="right"/>
              <w:ind w:right="15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Pr>
          <w:p>
            <w:pPr>
              <w:spacing w:after="0"/>
              <w:rPr>
                <w:sz w:val="12"/>
                <w:szCs w:val="12"/>
                <w:color w:val="auto"/>
              </w:rPr>
            </w:pPr>
          </w:p>
        </w:tc>
        <w:tc>
          <w:tcPr>
            <w:tcW w:w="11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9"/>
              </w:rPr>
              <w:t>July 29, 2017</w:t>
            </w:r>
          </w:p>
        </w:tc>
        <w:tc>
          <w:tcPr>
            <w:tcW w:w="1380" w:type="dxa"/>
            <w:vAlign w:val="bottom"/>
          </w:tcPr>
          <w:p>
            <w:pPr>
              <w:jc w:val="right"/>
              <w:ind w:right="544"/>
              <w:spacing w:after="0" w:line="139" w:lineRule="exact"/>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2"/>
                <w:szCs w:val="12"/>
                <w:color w:val="auto"/>
              </w:rPr>
            </w:pPr>
          </w:p>
        </w:tc>
        <w:tc>
          <w:tcPr>
            <w:tcW w:w="1200" w:type="dxa"/>
            <w:vAlign w:val="bottom"/>
            <w:vMerge w:val="restart"/>
          </w:tcPr>
          <w:p>
            <w:pPr>
              <w:jc w:val="right"/>
              <w:ind w:right="159"/>
              <w:spacing w:after="0"/>
              <w:rPr>
                <w:sz w:val="20"/>
                <w:szCs w:val="20"/>
                <w:color w:val="auto"/>
              </w:rPr>
            </w:pPr>
            <w:r>
              <w:rPr>
                <w:rFonts w:ascii="Arial" w:cs="Arial" w:eastAsia="Arial" w:hAnsi="Arial"/>
                <w:sz w:val="14"/>
                <w:szCs w:val="14"/>
                <w:b w:val="1"/>
                <w:bCs w:val="1"/>
                <w:color w:val="auto"/>
                <w:w w:val="95"/>
              </w:rPr>
              <w:t>August 4, 2018</w:t>
            </w:r>
          </w:p>
        </w:tc>
        <w:tc>
          <w:tcPr>
            <w:tcW w:w="260" w:type="dxa"/>
            <w:vAlign w:val="bottom"/>
          </w:tcPr>
          <w:p>
            <w:pPr>
              <w:spacing w:after="0"/>
              <w:rPr>
                <w:sz w:val="12"/>
                <w:szCs w:val="12"/>
                <w:color w:val="auto"/>
              </w:rPr>
            </w:pPr>
          </w:p>
        </w:tc>
        <w:tc>
          <w:tcPr>
            <w:tcW w:w="112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7"/>
              </w:rPr>
              <w:t>July 29, 2017</w:t>
            </w:r>
          </w:p>
        </w:tc>
        <w:tc>
          <w:tcPr>
            <w:tcW w:w="128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3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54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89"/>
              </w:rPr>
              <w:t>Change</w:t>
            </w:r>
          </w:p>
        </w:tc>
        <w:tc>
          <w:tcPr>
            <w:tcW w:w="120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3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74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3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133,701</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55,659</w:t>
            </w:r>
          </w:p>
        </w:tc>
        <w:tc>
          <w:tcPr>
            <w:tcW w:w="154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140.2%  $</w:t>
            </w:r>
          </w:p>
        </w:tc>
        <w:tc>
          <w:tcPr>
            <w:tcW w:w="120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206,014</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110,763</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86.0%</w:t>
            </w:r>
          </w:p>
        </w:tc>
        <w:tc>
          <w:tcPr>
            <w:tcW w:w="0" w:type="dxa"/>
            <w:vAlign w:val="bottom"/>
          </w:tcPr>
          <w:p>
            <w:pPr>
              <w:spacing w:after="0"/>
              <w:rPr>
                <w:sz w:val="1"/>
                <w:szCs w:val="1"/>
                <w:color w:val="auto"/>
              </w:rPr>
            </w:pPr>
          </w:p>
        </w:tc>
      </w:tr>
      <w:tr>
        <w:trPr>
          <w:trHeight w:val="243"/>
        </w:trPr>
        <w:tc>
          <w:tcPr>
            <w:tcW w:w="33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20.1%</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9.2%</w:t>
            </w:r>
          </w:p>
        </w:tc>
        <w:tc>
          <w:tcPr>
            <w:tcW w:w="13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16.2%</w:t>
            </w:r>
          </w:p>
        </w:tc>
        <w:tc>
          <w:tcPr>
            <w:tcW w:w="2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9.4%</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160" w:firstLine="432"/>
        <w:spacing w:after="0" w:line="312" w:lineRule="auto"/>
        <w:rPr>
          <w:sz w:val="20"/>
          <w:szCs w:val="20"/>
          <w:color w:val="auto"/>
        </w:rPr>
      </w:pPr>
      <w:r>
        <w:rPr>
          <w:rFonts w:ascii="Arial" w:cs="Arial" w:eastAsia="Arial" w:hAnsi="Arial"/>
          <w:sz w:val="16"/>
          <w:szCs w:val="16"/>
          <w:color w:val="auto"/>
        </w:rPr>
        <w:t>Selling, general and administrative expense increased by $78.0 million in the three months ended August 4, 2018 compared to the three months ended July 29, 2017. The increase was primarily due to additional costs from our acquisition of Cavium. The increase primarily consisted of an increase of $39.3 million in employee personnel-related costs, $30.6 million in higher merger-related costs and $7.0 million of higher intangibles amortization expense.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130" w:right="239" w:bottom="1440" w:gutter="0" w:footer="0" w:header="0"/>
        </w:sectPr>
      </w:pPr>
    </w:p>
    <w:bookmarkStart w:id="37" w:name="page38"/>
    <w:bookmarkEnd w:id="3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p>
      <w:pPr>
        <w:jc w:val="both"/>
        <w:ind w:right="60" w:firstLine="432"/>
        <w:spacing w:after="0" w:line="312" w:lineRule="auto"/>
        <w:rPr>
          <w:sz w:val="20"/>
          <w:szCs w:val="20"/>
          <w:color w:val="auto"/>
        </w:rPr>
      </w:pPr>
      <w:r>
        <w:rPr>
          <w:rFonts w:ascii="Arial" w:cs="Arial" w:eastAsia="Arial" w:hAnsi="Arial"/>
          <w:sz w:val="16"/>
          <w:szCs w:val="16"/>
          <w:color w:val="auto"/>
        </w:rPr>
        <w:t>Selling, general and administrative expense increased by $95.3 million in the six months ended August 4, 2018 compared to the six months ended July 29, 2017. The increase was due primarily to additional costs from our acquisition of Cavium. The increase primarily consisted of an increase of $45.8 million in merger-related costs, $41.7 million in higher employee personnel-related costs and $7.0 million of higher intangibles amortization expense.</w:t>
      </w:r>
    </w:p>
    <w:p>
      <w:pPr>
        <w:spacing w:after="0" w:line="174"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Restructuring Related Charges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6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6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20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Borders>
              <w:bottom w:val="single" w:sz="8" w:color="auto"/>
            </w:tcBorders>
          </w:tcPr>
          <w:p>
            <w:pPr>
              <w:spacing w:after="0"/>
              <w:rPr>
                <w:sz w:val="22"/>
                <w:szCs w:val="22"/>
                <w:color w:val="auto"/>
              </w:rPr>
            </w:pPr>
          </w:p>
        </w:tc>
        <w:tc>
          <w:tcPr>
            <w:tcW w:w="1120" w:type="dxa"/>
            <w:vAlign w:val="bottom"/>
            <w:tcBorders>
              <w:bottom w:val="single" w:sz="8" w:color="auto"/>
            </w:tcBorders>
          </w:tcPr>
          <w:p>
            <w:pPr>
              <w:jc w:val="right"/>
              <w:ind w:right="176"/>
              <w:spacing w:after="0"/>
              <w:rPr>
                <w:sz w:val="20"/>
                <w:szCs w:val="20"/>
                <w:color w:val="auto"/>
              </w:rPr>
            </w:pPr>
            <w:r>
              <w:rPr>
                <w:rFonts w:ascii="Arial" w:cs="Arial" w:eastAsia="Arial" w:hAnsi="Arial"/>
                <w:sz w:val="14"/>
                <w:szCs w:val="14"/>
                <w:b w:val="1"/>
                <w:bCs w:val="1"/>
                <w:color w:val="auto"/>
                <w:w w:val="97"/>
              </w:rPr>
              <w:t>July 29, 2017</w:t>
            </w:r>
          </w:p>
        </w:tc>
        <w:tc>
          <w:tcPr>
            <w:tcW w:w="1540" w:type="dxa"/>
            <w:vAlign w:val="bottom"/>
            <w:tcBorders>
              <w:bottom w:val="single" w:sz="8" w:color="auto"/>
            </w:tcBorders>
            <w:gridSpan w:val="2"/>
          </w:tcPr>
          <w:p>
            <w:pPr>
              <w:jc w:val="right"/>
              <w:ind w:right="520"/>
              <w:spacing w:after="0"/>
              <w:rPr>
                <w:sz w:val="20"/>
                <w:szCs w:val="20"/>
                <w:color w:val="auto"/>
              </w:rPr>
            </w:pPr>
            <w:r>
              <w:rPr>
                <w:rFonts w:ascii="Arial" w:cs="Arial" w:eastAsia="Arial" w:hAnsi="Arial"/>
                <w:sz w:val="14"/>
                <w:szCs w:val="14"/>
                <w:b w:val="1"/>
                <w:bCs w:val="1"/>
                <w:color w:val="auto"/>
              </w:rPr>
              <w:t>% Change</w:t>
            </w:r>
          </w:p>
        </w:tc>
        <w:tc>
          <w:tcPr>
            <w:tcW w:w="120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Borders>
              <w:bottom w:val="single" w:sz="8" w:color="auto"/>
            </w:tcBorders>
          </w:tcPr>
          <w:p>
            <w:pPr>
              <w:spacing w:after="0"/>
              <w:rPr>
                <w:sz w:val="22"/>
                <w:szCs w:val="22"/>
                <w:color w:val="auto"/>
              </w:rPr>
            </w:pPr>
          </w:p>
        </w:tc>
        <w:tc>
          <w:tcPr>
            <w:tcW w:w="11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w w:val="99"/>
              </w:rPr>
              <w:t>July 29, 2017</w:t>
            </w:r>
          </w:p>
        </w:tc>
        <w:tc>
          <w:tcPr>
            <w:tcW w:w="128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rPr>
              <w:t>% Change</w:t>
            </w:r>
          </w:p>
        </w:tc>
      </w:tr>
      <w:tr>
        <w:trPr>
          <w:trHeight w:val="196"/>
        </w:trPr>
        <w:tc>
          <w:tcPr>
            <w:tcW w:w="33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74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256"/>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35,415</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4,285</w:t>
            </w:r>
          </w:p>
        </w:tc>
        <w:tc>
          <w:tcPr>
            <w:tcW w:w="154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726.5%  $</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36,982</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5,171</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615.2%</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200" w:type="dxa"/>
            <w:vAlign w:val="bottom"/>
          </w:tcPr>
          <w:p>
            <w:pPr>
              <w:jc w:val="right"/>
              <w:ind w:right="19"/>
              <w:spacing w:after="0"/>
              <w:rPr>
                <w:sz w:val="20"/>
                <w:szCs w:val="20"/>
                <w:color w:val="auto"/>
              </w:rPr>
            </w:pPr>
            <w:r>
              <w:rPr>
                <w:rFonts w:ascii="Arial" w:cs="Arial" w:eastAsia="Arial" w:hAnsi="Arial"/>
                <w:sz w:val="18"/>
                <w:szCs w:val="18"/>
                <w:color w:val="auto"/>
              </w:rPr>
              <w:t>5.3%</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0.7%</w:t>
            </w:r>
          </w:p>
        </w:tc>
        <w:tc>
          <w:tcPr>
            <w:tcW w:w="13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0.5%</w:t>
            </w:r>
          </w:p>
        </w:tc>
        <w:tc>
          <w:tcPr>
            <w:tcW w:w="1280" w:type="dxa"/>
            <w:vAlign w:val="bottom"/>
          </w:tcPr>
          <w:p>
            <w:pPr>
              <w:spacing w:after="0"/>
              <w:rPr>
                <w:sz w:val="21"/>
                <w:szCs w:val="21"/>
                <w:color w:val="auto"/>
              </w:rPr>
            </w:pPr>
          </w:p>
        </w:tc>
      </w:tr>
    </w:tbl>
    <w:p>
      <w:pPr>
        <w:spacing w:after="0" w:line="229" w:lineRule="exact"/>
        <w:rPr>
          <w:sz w:val="20"/>
          <w:szCs w:val="20"/>
          <w:color w:val="auto"/>
        </w:rPr>
      </w:pPr>
    </w:p>
    <w:p>
      <w:pPr>
        <w:ind w:right="40" w:firstLine="392"/>
        <w:spacing w:after="0" w:line="264" w:lineRule="auto"/>
        <w:rPr>
          <w:sz w:val="20"/>
          <w:szCs w:val="20"/>
          <w:color w:val="auto"/>
        </w:rPr>
      </w:pPr>
      <w:r>
        <w:rPr>
          <w:rFonts w:ascii="Arial" w:cs="Arial" w:eastAsia="Arial" w:hAnsi="Arial"/>
          <w:sz w:val="18"/>
          <w:szCs w:val="18"/>
          <w:color w:val="auto"/>
        </w:rPr>
        <w:t>We recognized $35.4 million and $37.0 million of total restructuring related charges in the three and six months ended August 4, 2018 as the Company continues to evaluate its existing operations to increase operational efficiency, decrease costs and increase profitability. See “Note 7 - Restructuring and Other Related Charges” for further information.</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Income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6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144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4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0" w:type="dxa"/>
            <w:vAlign w:val="bottom"/>
            <w:vMerge w:val="restart"/>
          </w:tcPr>
          <w:p>
            <w:pPr>
              <w:jc w:val="right"/>
              <w:ind w:right="15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Pr>
          <w:p>
            <w:pPr>
              <w:spacing w:after="0"/>
              <w:rPr>
                <w:sz w:val="12"/>
                <w:szCs w:val="12"/>
                <w:color w:val="auto"/>
              </w:rPr>
            </w:pPr>
          </w:p>
        </w:tc>
        <w:tc>
          <w:tcPr>
            <w:tcW w:w="112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7"/>
              </w:rPr>
              <w:t>July 29, 2017</w:t>
            </w:r>
          </w:p>
        </w:tc>
        <w:tc>
          <w:tcPr>
            <w:tcW w:w="1440" w:type="dxa"/>
            <w:vAlign w:val="bottom"/>
          </w:tcPr>
          <w:p>
            <w:pPr>
              <w:jc w:val="right"/>
              <w:ind w:right="584"/>
              <w:spacing w:after="0" w:line="139" w:lineRule="exact"/>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2"/>
                <w:szCs w:val="12"/>
                <w:color w:val="auto"/>
              </w:rPr>
            </w:pPr>
          </w:p>
        </w:tc>
        <w:tc>
          <w:tcPr>
            <w:tcW w:w="1180" w:type="dxa"/>
            <w:vAlign w:val="bottom"/>
            <w:vMerge w:val="restart"/>
          </w:tcPr>
          <w:p>
            <w:pPr>
              <w:jc w:val="right"/>
              <w:ind w:right="159"/>
              <w:spacing w:after="0"/>
              <w:rPr>
                <w:sz w:val="20"/>
                <w:szCs w:val="20"/>
                <w:color w:val="auto"/>
              </w:rPr>
            </w:pPr>
            <w:r>
              <w:rPr>
                <w:rFonts w:ascii="Arial" w:cs="Arial" w:eastAsia="Arial" w:hAnsi="Arial"/>
                <w:sz w:val="14"/>
                <w:szCs w:val="14"/>
                <w:b w:val="1"/>
                <w:bCs w:val="1"/>
                <w:color w:val="auto"/>
                <w:w w:val="93"/>
              </w:rPr>
              <w:t>August 4, 2018</w:t>
            </w:r>
          </w:p>
        </w:tc>
        <w:tc>
          <w:tcPr>
            <w:tcW w:w="240" w:type="dxa"/>
            <w:vAlign w:val="bottom"/>
          </w:tcPr>
          <w:p>
            <w:pPr>
              <w:spacing w:after="0"/>
              <w:rPr>
                <w:sz w:val="12"/>
                <w:szCs w:val="12"/>
                <w:color w:val="auto"/>
              </w:rPr>
            </w:pPr>
          </w:p>
        </w:tc>
        <w:tc>
          <w:tcPr>
            <w:tcW w:w="11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9"/>
              </w:rPr>
              <w:t>July 29, 2017</w:t>
            </w:r>
          </w:p>
        </w:tc>
        <w:tc>
          <w:tcPr>
            <w:tcW w:w="128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600" w:type="dxa"/>
            <w:vAlign w:val="bottom"/>
            <w:tcBorders>
              <w:bottom w:val="single" w:sz="8" w:color="auto"/>
            </w:tcBorders>
            <w:gridSpan w:val="2"/>
          </w:tcPr>
          <w:p>
            <w:pPr>
              <w:jc w:val="center"/>
              <w:ind w:right="180"/>
              <w:spacing w:after="0"/>
              <w:rPr>
                <w:sz w:val="20"/>
                <w:szCs w:val="20"/>
                <w:color w:val="auto"/>
              </w:rPr>
            </w:pPr>
            <w:r>
              <w:rPr>
                <w:rFonts w:ascii="Arial" w:cs="Arial" w:eastAsia="Arial" w:hAnsi="Arial"/>
                <w:sz w:val="14"/>
                <w:szCs w:val="14"/>
                <w:b w:val="1"/>
                <w:bCs w:val="1"/>
                <w:color w:val="auto"/>
                <w:w w:val="89"/>
              </w:rPr>
              <w:t>Change</w:t>
            </w:r>
          </w:p>
        </w:tc>
        <w:tc>
          <w:tcPr>
            <w:tcW w:w="118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780" w:type="dxa"/>
            <w:vAlign w:val="bottom"/>
            <w:gridSpan w:val="3"/>
          </w:tcPr>
          <w:p>
            <w:pPr>
              <w:jc w:val="right"/>
              <w:ind w:right="29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3,575</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3,830</w:t>
            </w:r>
          </w:p>
        </w:tc>
        <w:tc>
          <w:tcPr>
            <w:tcW w:w="160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  $</w:t>
            </w:r>
          </w:p>
        </w:tc>
        <w:tc>
          <w:tcPr>
            <w:tcW w:w="118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9,644</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7,342</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31.4%</w:t>
            </w:r>
          </w:p>
        </w:tc>
        <w:tc>
          <w:tcPr>
            <w:tcW w:w="0" w:type="dxa"/>
            <w:vAlign w:val="bottom"/>
          </w:tcPr>
          <w:p>
            <w:pPr>
              <w:spacing w:after="0"/>
              <w:rPr>
                <w:sz w:val="1"/>
                <w:szCs w:val="1"/>
                <w:color w:val="auto"/>
              </w:rPr>
            </w:pPr>
          </w:p>
        </w:tc>
      </w:tr>
      <w:tr>
        <w:trPr>
          <w:trHeight w:val="243"/>
        </w:trPr>
        <w:tc>
          <w:tcPr>
            <w:tcW w:w="32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1"/>
                <w:szCs w:val="21"/>
                <w:color w:val="auto"/>
              </w:rPr>
            </w:pPr>
          </w:p>
        </w:tc>
        <w:tc>
          <w:tcPr>
            <w:tcW w:w="1200" w:type="dxa"/>
            <w:vAlign w:val="bottom"/>
          </w:tcPr>
          <w:p>
            <w:pPr>
              <w:jc w:val="right"/>
              <w:ind w:right="19"/>
              <w:spacing w:after="0"/>
              <w:rPr>
                <w:sz w:val="20"/>
                <w:szCs w:val="20"/>
                <w:color w:val="auto"/>
              </w:rPr>
            </w:pPr>
            <w:r>
              <w:rPr>
                <w:rFonts w:ascii="Arial" w:cs="Arial" w:eastAsia="Arial" w:hAnsi="Arial"/>
                <w:sz w:val="18"/>
                <w:szCs w:val="18"/>
                <w:color w:val="auto"/>
              </w:rPr>
              <w:t>0.5%</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0.6%</w:t>
            </w:r>
          </w:p>
        </w:tc>
        <w:tc>
          <w:tcPr>
            <w:tcW w:w="14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0.8%</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0.6%</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jc w:val="both"/>
        <w:ind w:right="20" w:firstLine="432"/>
        <w:spacing w:after="0" w:line="286" w:lineRule="auto"/>
        <w:rPr>
          <w:sz w:val="20"/>
          <w:szCs w:val="20"/>
          <w:color w:val="auto"/>
        </w:rPr>
      </w:pPr>
      <w:r>
        <w:rPr>
          <w:rFonts w:ascii="Arial" w:cs="Arial" w:eastAsia="Arial" w:hAnsi="Arial"/>
          <w:sz w:val="17"/>
          <w:szCs w:val="17"/>
          <w:color w:val="auto"/>
        </w:rPr>
        <w:t>Interest income decreased by $0.3 million in the three months ended August 4, 2018 compared to the three months ended July 29, 2017. The decrease is primarily due to the sale of investments. Interest income increased by $2.3 million in the six months ended August 4, 2018 compared to the six months ended July 29, 2017. The increase is primarily due to higher interest rates over the period the investments were held.</w:t>
      </w:r>
    </w:p>
    <w:p>
      <w:pPr>
        <w:spacing w:after="0" w:line="193"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Expense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3"/>
          </w:tcPr>
          <w:p>
            <w:pPr>
              <w:jc w:val="right"/>
              <w:ind w:right="636"/>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3"/>
          </w:tcPr>
          <w:p>
            <w:pPr>
              <w:jc w:val="right"/>
              <w:ind w:right="716"/>
              <w:spacing w:after="0"/>
              <w:rPr>
                <w:sz w:val="20"/>
                <w:szCs w:val="20"/>
                <w:color w:val="auto"/>
              </w:rPr>
            </w:pPr>
            <w:r>
              <w:rPr>
                <w:rFonts w:ascii="Arial" w:cs="Arial" w:eastAsia="Arial" w:hAnsi="Arial"/>
                <w:sz w:val="14"/>
                <w:szCs w:val="14"/>
                <w:b w:val="1"/>
                <w:bCs w:val="1"/>
                <w:color w:val="auto"/>
              </w:rPr>
              <w:t>Six Months Ended</w:t>
            </w:r>
          </w:p>
        </w:tc>
        <w:tc>
          <w:tcPr>
            <w:tcW w:w="1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Pr>
          <w:p>
            <w:pPr>
              <w:spacing w:after="0"/>
              <w:rPr>
                <w:sz w:val="12"/>
                <w:szCs w:val="12"/>
                <w:color w:val="auto"/>
              </w:rPr>
            </w:pPr>
          </w:p>
        </w:tc>
        <w:tc>
          <w:tcPr>
            <w:tcW w:w="112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7"/>
              </w:rPr>
              <w:t>July 29, 2017</w:t>
            </w:r>
          </w:p>
        </w:tc>
        <w:tc>
          <w:tcPr>
            <w:tcW w:w="1400" w:type="dxa"/>
            <w:vAlign w:val="bottom"/>
          </w:tcPr>
          <w:p>
            <w:pPr>
              <w:jc w:val="right"/>
              <w:ind w:right="564"/>
              <w:spacing w:after="0" w:line="139" w:lineRule="exact"/>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2"/>
                <w:szCs w:val="12"/>
                <w:color w:val="auto"/>
              </w:rPr>
            </w:pPr>
          </w:p>
        </w:tc>
        <w:tc>
          <w:tcPr>
            <w:tcW w:w="124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Pr>
          <w:p>
            <w:pPr>
              <w:spacing w:after="0"/>
              <w:rPr>
                <w:sz w:val="12"/>
                <w:szCs w:val="12"/>
                <w:color w:val="auto"/>
              </w:rPr>
            </w:pPr>
          </w:p>
        </w:tc>
        <w:tc>
          <w:tcPr>
            <w:tcW w:w="11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9"/>
              </w:rPr>
              <w:t>July 29, 2017</w:t>
            </w:r>
          </w:p>
        </w:tc>
        <w:tc>
          <w:tcPr>
            <w:tcW w:w="130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560" w:type="dxa"/>
            <w:vAlign w:val="bottom"/>
            <w:tcBorders>
              <w:bottom w:val="single" w:sz="8" w:color="auto"/>
            </w:tcBorders>
            <w:gridSpan w:val="2"/>
          </w:tcPr>
          <w:p>
            <w:pPr>
              <w:ind w:left="460"/>
              <w:spacing w:after="0"/>
              <w:rPr>
                <w:sz w:val="20"/>
                <w:szCs w:val="20"/>
                <w:color w:val="auto"/>
              </w:rPr>
            </w:pPr>
            <w:r>
              <w:rPr>
                <w:rFonts w:ascii="Arial" w:cs="Arial" w:eastAsia="Arial" w:hAnsi="Arial"/>
                <w:sz w:val="14"/>
                <w:szCs w:val="14"/>
                <w:b w:val="1"/>
                <w:bCs w:val="1"/>
                <w:color w:val="auto"/>
              </w:rPr>
              <w:t>Change</w:t>
            </w:r>
          </w:p>
        </w:tc>
        <w:tc>
          <w:tcPr>
            <w:tcW w:w="124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300" w:type="dxa"/>
            <w:vAlign w:val="bottom"/>
            <w:tcBorders>
              <w:bottom w:val="single" w:sz="8" w:color="auto"/>
            </w:tcBorders>
          </w:tcPr>
          <w:p>
            <w:pPr>
              <w:ind w:left="4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2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800" w:type="dxa"/>
            <w:vAlign w:val="bottom"/>
            <w:gridSpan w:val="3"/>
          </w:tcPr>
          <w:p>
            <w:pPr>
              <w:jc w:val="right"/>
              <w:ind w:right="33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(15,795)</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(80)</w:t>
            </w:r>
          </w:p>
        </w:tc>
        <w:tc>
          <w:tcPr>
            <w:tcW w:w="1560" w:type="dxa"/>
            <w:vAlign w:val="bottom"/>
            <w:tcBorders>
              <w:bottom w:val="single" w:sz="8" w:color="CCEEFF"/>
            </w:tcBorders>
            <w:gridSpan w:val="2"/>
            <w:shd w:val="clear" w:color="auto" w:fill="CCEEFF"/>
          </w:tcPr>
          <w:p>
            <w:pPr>
              <w:ind w:left="460"/>
              <w:spacing w:after="0"/>
              <w:rPr>
                <w:sz w:val="20"/>
                <w:szCs w:val="20"/>
                <w:color w:val="auto"/>
              </w:rPr>
            </w:pPr>
            <w:r>
              <w:rPr>
                <w:rFonts w:ascii="Arial" w:cs="Arial" w:eastAsia="Arial" w:hAnsi="Arial"/>
                <w:sz w:val="18"/>
                <w:szCs w:val="18"/>
                <w:color w:val="auto"/>
              </w:rPr>
              <w:t>19,643.8%  $</w:t>
            </w:r>
          </w:p>
        </w:tc>
        <w:tc>
          <w:tcPr>
            <w:tcW w:w="12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(16,039)</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(131)</w:t>
            </w:r>
          </w:p>
        </w:tc>
        <w:tc>
          <w:tcPr>
            <w:tcW w:w="1300" w:type="dxa"/>
            <w:vAlign w:val="bottom"/>
            <w:tcBorders>
              <w:bottom w:val="single" w:sz="8" w:color="CCEEFF"/>
            </w:tcBorders>
            <w:shd w:val="clear" w:color="auto" w:fill="CCEEFF"/>
          </w:tcPr>
          <w:p>
            <w:pPr>
              <w:ind w:left="480"/>
              <w:spacing w:after="0"/>
              <w:rPr>
                <w:sz w:val="20"/>
                <w:szCs w:val="20"/>
                <w:color w:val="auto"/>
              </w:rPr>
            </w:pPr>
            <w:r>
              <w:rPr>
                <w:rFonts w:ascii="Arial" w:cs="Arial" w:eastAsia="Arial" w:hAnsi="Arial"/>
                <w:sz w:val="18"/>
                <w:szCs w:val="18"/>
                <w:color w:val="auto"/>
                <w:w w:val="92"/>
              </w:rPr>
              <w:t>12,143.5%</w:t>
            </w:r>
          </w:p>
        </w:tc>
        <w:tc>
          <w:tcPr>
            <w:tcW w:w="0" w:type="dxa"/>
            <w:vAlign w:val="bottom"/>
          </w:tcPr>
          <w:p>
            <w:pPr>
              <w:spacing w:after="0"/>
              <w:rPr>
                <w:sz w:val="1"/>
                <w:szCs w:val="1"/>
                <w:color w:val="auto"/>
              </w:rPr>
            </w:pPr>
          </w:p>
        </w:tc>
      </w:tr>
      <w:tr>
        <w:trPr>
          <w:trHeight w:val="243"/>
        </w:trPr>
        <w:tc>
          <w:tcPr>
            <w:tcW w:w="32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(2.4)%</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 %</w:t>
            </w:r>
          </w:p>
        </w:tc>
        <w:tc>
          <w:tcPr>
            <w:tcW w:w="14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(1.3)%</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 %</w:t>
            </w:r>
          </w:p>
        </w:tc>
        <w:tc>
          <w:tcPr>
            <w:tcW w:w="13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Interest expense increased by $15.7 million and $15.9 million in the three and six months ended August 4, 2018, respectively, compared to the three and six months ended July 29, 2017. The increase is primarily due to interest expense incurred resulting from the issuance of our 2023 Notes, 2028 Notes and amounts borrowed under our credit agreement.</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Other Income (Loss), Net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60" w:type="dxa"/>
            <w:vAlign w:val="bottom"/>
            <w:tcBorders>
              <w:bottom w:val="single" w:sz="8" w:color="auto"/>
            </w:tcBorders>
            <w:gridSpan w:val="3"/>
          </w:tcPr>
          <w:p>
            <w:pPr>
              <w:jc w:val="right"/>
              <w:ind w:right="614"/>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6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vMerge w:val="restart"/>
          </w:tcPr>
          <w:p>
            <w:pPr>
              <w:jc w:val="right"/>
              <w:ind w:right="17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Pr>
          <w:p>
            <w:pPr>
              <w:spacing w:after="0"/>
              <w:rPr>
                <w:sz w:val="12"/>
                <w:szCs w:val="12"/>
                <w:color w:val="auto"/>
              </w:rPr>
            </w:pPr>
          </w:p>
        </w:tc>
        <w:tc>
          <w:tcPr>
            <w:tcW w:w="1100" w:type="dxa"/>
            <w:vAlign w:val="bottom"/>
            <w:vMerge w:val="restart"/>
          </w:tcPr>
          <w:p>
            <w:pPr>
              <w:jc w:val="right"/>
              <w:ind w:right="154"/>
              <w:spacing w:after="0"/>
              <w:rPr>
                <w:sz w:val="20"/>
                <w:szCs w:val="20"/>
                <w:color w:val="auto"/>
              </w:rPr>
            </w:pPr>
            <w:r>
              <w:rPr>
                <w:rFonts w:ascii="Arial" w:cs="Arial" w:eastAsia="Arial" w:hAnsi="Arial"/>
                <w:sz w:val="14"/>
                <w:szCs w:val="14"/>
                <w:b w:val="1"/>
                <w:bCs w:val="1"/>
                <w:color w:val="auto"/>
                <w:w w:val="97"/>
              </w:rPr>
              <w:t>July 29, 2017</w:t>
            </w:r>
          </w:p>
        </w:tc>
        <w:tc>
          <w:tcPr>
            <w:tcW w:w="1420" w:type="dxa"/>
            <w:vAlign w:val="bottom"/>
          </w:tcPr>
          <w:p>
            <w:pPr>
              <w:jc w:val="right"/>
              <w:ind w:right="564"/>
              <w:spacing w:after="0" w:line="139"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2"/>
                <w:szCs w:val="12"/>
                <w:color w:val="auto"/>
              </w:rPr>
            </w:pPr>
          </w:p>
        </w:tc>
        <w:tc>
          <w:tcPr>
            <w:tcW w:w="1220" w:type="dxa"/>
            <w:vAlign w:val="bottom"/>
            <w:vMerge w:val="restart"/>
          </w:tcPr>
          <w:p>
            <w:pPr>
              <w:jc w:val="right"/>
              <w:ind w:right="179"/>
              <w:spacing w:after="0"/>
              <w:rPr>
                <w:sz w:val="20"/>
                <w:szCs w:val="20"/>
                <w:color w:val="auto"/>
              </w:rPr>
            </w:pPr>
            <w:r>
              <w:rPr>
                <w:rFonts w:ascii="Arial" w:cs="Arial" w:eastAsia="Arial" w:hAnsi="Arial"/>
                <w:sz w:val="14"/>
                <w:szCs w:val="14"/>
                <w:b w:val="1"/>
                <w:bCs w:val="1"/>
                <w:color w:val="auto"/>
                <w:w w:val="95"/>
              </w:rPr>
              <w:t>August 4, 2018</w:t>
            </w:r>
          </w:p>
        </w:tc>
        <w:tc>
          <w:tcPr>
            <w:tcW w:w="240" w:type="dxa"/>
            <w:vAlign w:val="bottom"/>
          </w:tcPr>
          <w:p>
            <w:pPr>
              <w:spacing w:after="0"/>
              <w:rPr>
                <w:sz w:val="12"/>
                <w:szCs w:val="12"/>
                <w:color w:val="auto"/>
              </w:rPr>
            </w:pPr>
          </w:p>
        </w:tc>
        <w:tc>
          <w:tcPr>
            <w:tcW w:w="110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7"/>
              </w:rPr>
              <w:t>July 29, 2017</w:t>
            </w:r>
          </w:p>
        </w:tc>
        <w:tc>
          <w:tcPr>
            <w:tcW w:w="1320" w:type="dxa"/>
            <w:vAlign w:val="bottom"/>
          </w:tcPr>
          <w:p>
            <w:pPr>
              <w:jc w:val="right"/>
              <w:ind w:right="4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vMerge w:val="continue"/>
          </w:tcPr>
          <w:p>
            <w:pPr>
              <w:spacing w:after="0"/>
              <w:rPr>
                <w:sz w:val="16"/>
                <w:szCs w:val="16"/>
                <w:color w:val="auto"/>
              </w:rPr>
            </w:pPr>
          </w:p>
        </w:tc>
        <w:tc>
          <w:tcPr>
            <w:tcW w:w="1600" w:type="dxa"/>
            <w:vAlign w:val="bottom"/>
            <w:tcBorders>
              <w:bottom w:val="single" w:sz="8" w:color="auto"/>
            </w:tcBorders>
            <w:gridSpan w:val="2"/>
          </w:tcPr>
          <w:p>
            <w:pPr>
              <w:jc w:val="center"/>
              <w:ind w:right="180"/>
              <w:spacing w:after="0"/>
              <w:rPr>
                <w:sz w:val="20"/>
                <w:szCs w:val="20"/>
                <w:color w:val="auto"/>
              </w:rPr>
            </w:pPr>
            <w:r>
              <w:rPr>
                <w:rFonts w:ascii="Arial" w:cs="Arial" w:eastAsia="Arial" w:hAnsi="Arial"/>
                <w:sz w:val="14"/>
                <w:szCs w:val="14"/>
                <w:b w:val="1"/>
                <w:bCs w:val="1"/>
                <w:color w:val="auto"/>
                <w:w w:val="89"/>
              </w:rPr>
              <w:t>Change</w:t>
            </w:r>
          </w:p>
        </w:tc>
        <w:tc>
          <w:tcPr>
            <w:tcW w:w="122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820" w:type="dxa"/>
            <w:vAlign w:val="bottom"/>
            <w:gridSpan w:val="3"/>
          </w:tcPr>
          <w:p>
            <w:pPr>
              <w:jc w:val="right"/>
              <w:ind w:right="31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(loss), net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(2,701)</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3,438</w:t>
            </w:r>
          </w:p>
        </w:tc>
        <w:tc>
          <w:tcPr>
            <w:tcW w:w="16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(178.6)%  $</w:t>
            </w:r>
          </w:p>
        </w:tc>
        <w:tc>
          <w:tcPr>
            <w:tcW w:w="12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(1,230)</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3,310</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0" w:type="dxa"/>
            <w:vAlign w:val="bottom"/>
          </w:tcPr>
          <w:p>
            <w:pPr>
              <w:spacing w:after="0"/>
              <w:rPr>
                <w:sz w:val="1"/>
                <w:szCs w:val="1"/>
                <w:color w:val="auto"/>
              </w:rPr>
            </w:pPr>
          </w:p>
        </w:tc>
      </w:tr>
      <w:tr>
        <w:trPr>
          <w:trHeight w:val="243"/>
        </w:trPr>
        <w:tc>
          <w:tcPr>
            <w:tcW w:w="32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(0.4)%</w:t>
            </w:r>
          </w:p>
        </w:tc>
        <w:tc>
          <w:tcPr>
            <w:tcW w:w="24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0.6%</w:t>
            </w:r>
          </w:p>
        </w:tc>
        <w:tc>
          <w:tcPr>
            <w:tcW w:w="14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(0.1)%</w:t>
            </w:r>
          </w:p>
        </w:tc>
        <w:tc>
          <w:tcPr>
            <w:tcW w:w="24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0.3%</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6"/>
        </w:trPr>
        <w:tc>
          <w:tcPr>
            <w:tcW w:w="3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jc w:val="right"/>
              <w:ind w:right="54"/>
              <w:spacing w:after="0"/>
              <w:rPr>
                <w:sz w:val="20"/>
                <w:szCs w:val="20"/>
                <w:color w:val="auto"/>
              </w:rPr>
            </w:pPr>
            <w:r>
              <w:rPr>
                <w:rFonts w:ascii="Arial" w:cs="Arial" w:eastAsia="Arial" w:hAnsi="Arial"/>
                <w:sz w:val="18"/>
                <w:szCs w:val="18"/>
                <w:color w:val="auto"/>
              </w:rPr>
              <w:t>36</w:t>
            </w:r>
          </w:p>
        </w:tc>
        <w:tc>
          <w:tcPr>
            <w:tcW w:w="1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30" w:right="239" w:bottom="1440" w:gutter="0" w:footer="0" w:header="0"/>
        </w:sectPr>
      </w:pPr>
    </w:p>
    <w:bookmarkStart w:id="38" w:name="page39"/>
    <w:bookmarkEnd w:id="3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p>
      <w:pPr>
        <w:ind w:right="360" w:firstLine="432"/>
        <w:spacing w:after="0" w:line="264" w:lineRule="auto"/>
        <w:rPr>
          <w:sz w:val="20"/>
          <w:szCs w:val="20"/>
          <w:color w:val="auto"/>
        </w:rPr>
      </w:pPr>
      <w:r>
        <w:rPr>
          <w:rFonts w:ascii="Arial" w:cs="Arial" w:eastAsia="Arial" w:hAnsi="Arial"/>
          <w:sz w:val="18"/>
          <w:szCs w:val="18"/>
          <w:color w:val="auto"/>
        </w:rPr>
        <w:t>Other income (loss), net, changed by $6.1 million and $4.5 million in the three and six months ended August 4, 2018, respectively, compared to the three and six months ended July 29, 2017. The change is primarily due to a $5.1 million gain from the sale of a business recognized in the three and six months ended July 29, 2017.</w:t>
      </w:r>
    </w:p>
    <w:p>
      <w:pPr>
        <w:spacing w:after="0" w:line="12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4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460" w:type="dxa"/>
            <w:vAlign w:val="bottom"/>
            <w:tcBorders>
              <w:bottom w:val="single" w:sz="8" w:color="auto"/>
            </w:tcBorders>
            <w:gridSpan w:val="3"/>
          </w:tcPr>
          <w:p>
            <w:pPr>
              <w:jc w:val="right"/>
              <w:ind w:right="559"/>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3"/>
          </w:tcPr>
          <w:p>
            <w:pPr>
              <w:jc w:val="right"/>
              <w:ind w:right="639"/>
              <w:spacing w:after="0"/>
              <w:rPr>
                <w:sz w:val="20"/>
                <w:szCs w:val="20"/>
                <w:color w:val="auto"/>
              </w:rPr>
            </w:pPr>
            <w:r>
              <w:rPr>
                <w:rFonts w:ascii="Arial" w:cs="Arial" w:eastAsia="Arial" w:hAnsi="Arial"/>
                <w:sz w:val="14"/>
                <w:szCs w:val="14"/>
                <w:b w:val="1"/>
                <w:bCs w:val="1"/>
                <w:color w:val="auto"/>
              </w:rPr>
              <w:t>Six Months Ended</w:t>
            </w:r>
          </w:p>
        </w:tc>
        <w:tc>
          <w:tcPr>
            <w:tcW w:w="13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40" w:type="dxa"/>
            <w:vAlign w:val="bottom"/>
            <w:vMerge w:val="restart"/>
          </w:tcPr>
          <w:p>
            <w:pPr>
              <w:jc w:val="right"/>
              <w:ind w:right="122"/>
              <w:spacing w:after="0"/>
              <w:rPr>
                <w:sz w:val="20"/>
                <w:szCs w:val="20"/>
                <w:color w:val="auto"/>
              </w:rPr>
            </w:pPr>
            <w:r>
              <w:rPr>
                <w:rFonts w:ascii="Arial" w:cs="Arial" w:eastAsia="Arial" w:hAnsi="Arial"/>
                <w:sz w:val="14"/>
                <w:szCs w:val="14"/>
                <w:b w:val="1"/>
                <w:bCs w:val="1"/>
                <w:color w:val="auto"/>
                <w:w w:val="93"/>
              </w:rPr>
              <w:t>August 4, 2018</w:t>
            </w:r>
          </w:p>
        </w:tc>
        <w:tc>
          <w:tcPr>
            <w:tcW w:w="240" w:type="dxa"/>
            <w:vAlign w:val="bottom"/>
          </w:tcPr>
          <w:p>
            <w:pPr>
              <w:spacing w:after="0"/>
              <w:rPr>
                <w:sz w:val="12"/>
                <w:szCs w:val="12"/>
                <w:color w:val="auto"/>
              </w:rPr>
            </w:pPr>
          </w:p>
        </w:tc>
        <w:tc>
          <w:tcPr>
            <w:tcW w:w="10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7"/>
              </w:rPr>
              <w:t>July 29, 2017</w:t>
            </w:r>
          </w:p>
        </w:tc>
        <w:tc>
          <w:tcPr>
            <w:tcW w:w="1400" w:type="dxa"/>
            <w:vAlign w:val="bottom"/>
          </w:tcPr>
          <w:p>
            <w:pPr>
              <w:jc w:val="right"/>
              <w:ind w:right="544"/>
              <w:spacing w:after="0" w:line="139" w:lineRule="exact"/>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2"/>
                <w:szCs w:val="12"/>
                <w:color w:val="auto"/>
              </w:rPr>
            </w:pPr>
          </w:p>
        </w:tc>
        <w:tc>
          <w:tcPr>
            <w:tcW w:w="1140" w:type="dxa"/>
            <w:vAlign w:val="bottom"/>
            <w:vMerge w:val="restart"/>
          </w:tcPr>
          <w:p>
            <w:pPr>
              <w:jc w:val="right"/>
              <w:ind w:right="142"/>
              <w:spacing w:after="0"/>
              <w:rPr>
                <w:sz w:val="20"/>
                <w:szCs w:val="20"/>
                <w:color w:val="auto"/>
              </w:rPr>
            </w:pPr>
            <w:r>
              <w:rPr>
                <w:rFonts w:ascii="Arial" w:cs="Arial" w:eastAsia="Arial" w:hAnsi="Arial"/>
                <w:sz w:val="14"/>
                <w:szCs w:val="14"/>
                <w:b w:val="1"/>
                <w:bCs w:val="1"/>
                <w:color w:val="auto"/>
                <w:w w:val="91"/>
              </w:rPr>
              <w:t>August 4, 2018</w:t>
            </w:r>
          </w:p>
        </w:tc>
        <w:tc>
          <w:tcPr>
            <w:tcW w:w="220" w:type="dxa"/>
            <w:vAlign w:val="bottom"/>
          </w:tcPr>
          <w:p>
            <w:pPr>
              <w:spacing w:after="0"/>
              <w:rPr>
                <w:sz w:val="12"/>
                <w:szCs w:val="12"/>
                <w:color w:val="auto"/>
              </w:rPr>
            </w:pPr>
          </w:p>
        </w:tc>
        <w:tc>
          <w:tcPr>
            <w:tcW w:w="10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7"/>
              </w:rPr>
              <w:t>July 29, 2017</w:t>
            </w:r>
          </w:p>
        </w:tc>
        <w:tc>
          <w:tcPr>
            <w:tcW w:w="1380" w:type="dxa"/>
            <w:vAlign w:val="bottom"/>
          </w:tcPr>
          <w:p>
            <w:pPr>
              <w:jc w:val="right"/>
              <w:ind w:right="48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4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vMerge w:val="continue"/>
          </w:tcPr>
          <w:p>
            <w:pPr>
              <w:spacing w:after="0"/>
              <w:rPr>
                <w:sz w:val="16"/>
                <w:szCs w:val="16"/>
                <w:color w:val="auto"/>
              </w:rPr>
            </w:pPr>
          </w:p>
        </w:tc>
        <w:tc>
          <w:tcPr>
            <w:tcW w:w="156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1140" w:type="dxa"/>
            <w:vAlign w:val="bottom"/>
            <w:tcBorders>
              <w:bottom w:val="single" w:sz="8" w:color="auto"/>
            </w:tcBorders>
            <w:vMerge w:val="continue"/>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vMerge w:val="continue"/>
          </w:tcPr>
          <w:p>
            <w:pPr>
              <w:spacing w:after="0"/>
              <w:rPr>
                <w:sz w:val="16"/>
                <w:szCs w:val="16"/>
                <w:color w:val="auto"/>
              </w:rPr>
            </w:pPr>
          </w:p>
        </w:tc>
        <w:tc>
          <w:tcPr>
            <w:tcW w:w="138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34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2700" w:type="dxa"/>
            <w:vAlign w:val="bottom"/>
            <w:gridSpan w:val="3"/>
          </w:tcPr>
          <w:p>
            <w:pPr>
              <w:jc w:val="right"/>
              <w:ind w:right="202"/>
              <w:spacing w:after="0"/>
              <w:rPr>
                <w:sz w:val="20"/>
                <w:szCs w:val="20"/>
                <w:color w:val="auto"/>
              </w:rPr>
            </w:pPr>
            <w:r>
              <w:rPr>
                <w:rFonts w:ascii="Arial" w:cs="Arial" w:eastAsia="Arial" w:hAnsi="Arial"/>
                <w:sz w:val="14"/>
                <w:szCs w:val="14"/>
                <w:b w:val="1"/>
                <w:bCs w:val="1"/>
                <w:color w:val="auto"/>
              </w:rPr>
              <w:t>(in thousands, except percentage)</w:t>
            </w:r>
          </w:p>
        </w:tc>
        <w:tc>
          <w:tcPr>
            <w:tcW w:w="22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344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(29,971)</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(3,899)</w:t>
            </w:r>
          </w:p>
        </w:tc>
        <w:tc>
          <w:tcPr>
            <w:tcW w:w="1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668.7%  $</w:t>
            </w:r>
          </w:p>
        </w:tc>
        <w:tc>
          <w:tcPr>
            <w:tcW w:w="1140" w:type="dxa"/>
            <w:vAlign w:val="bottom"/>
            <w:shd w:val="clear" w:color="auto" w:fill="CCEEFF"/>
          </w:tcPr>
          <w:p>
            <w:pPr>
              <w:jc w:val="right"/>
              <w:ind w:right="22"/>
              <w:spacing w:after="0"/>
              <w:rPr>
                <w:sz w:val="20"/>
                <w:szCs w:val="20"/>
                <w:color w:val="auto"/>
              </w:rPr>
            </w:pPr>
            <w:r>
              <w:rPr>
                <w:rFonts w:ascii="Arial" w:cs="Arial" w:eastAsia="Arial" w:hAnsi="Arial"/>
                <w:sz w:val="18"/>
                <w:szCs w:val="18"/>
                <w:color w:val="auto"/>
              </w:rPr>
              <w:t>(26,208)</w:t>
            </w:r>
          </w:p>
        </w:tc>
        <w:tc>
          <w:tcPr>
            <w:tcW w:w="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1,267</w:t>
            </w: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(2,168.5)%</w:t>
            </w:r>
          </w:p>
        </w:tc>
        <w:tc>
          <w:tcPr>
            <w:tcW w:w="0" w:type="dxa"/>
            <w:vAlign w:val="bottom"/>
          </w:tcPr>
          <w:p>
            <w:pPr>
              <w:spacing w:after="0"/>
              <w:rPr>
                <w:sz w:val="1"/>
                <w:szCs w:val="1"/>
                <w:color w:val="auto"/>
              </w:rPr>
            </w:pPr>
          </w:p>
        </w:tc>
      </w:tr>
      <w:tr>
        <w:trPr>
          <w:trHeight w:val="27"/>
        </w:trPr>
        <w:tc>
          <w:tcPr>
            <w:tcW w:w="344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40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3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20" w:firstLine="405"/>
        <w:spacing w:after="0" w:line="271" w:lineRule="auto"/>
        <w:rPr>
          <w:sz w:val="20"/>
          <w:szCs w:val="20"/>
          <w:color w:val="auto"/>
        </w:rPr>
      </w:pPr>
      <w:r>
        <w:rPr>
          <w:rFonts w:ascii="Arial" w:cs="Arial" w:eastAsia="Arial" w:hAnsi="Arial"/>
          <w:sz w:val="17"/>
          <w:szCs w:val="17"/>
          <w:color w:val="auto"/>
        </w:rPr>
        <w:t>Our income tax benefit for the three months ended August 4, 2018 was $30.0 million compared to a tax benefit of $3.9 million for the three months ended July 29, 2017. Our income tax benefit for the three months ended August 4, 2018 differs from the same period in the prior year primarily as a result of combining our projected Cavium and Marvell results in estimating our annual effective tax rate. With this acquisition, we are projecting significant amounts of pre-tax losses in the U.S. for the current fiscal year for which an income tax benefit is realized at the U.S. statutory rate of 21%. This income tax benefit is in excess of our projected income taxes from other jurisdictions. As a result, our effective tax rate in the current period reflects a significant consolidated income tax benefit, in addition to the reversal of uncertain tax positions and other prior year tax positions. The effective tax rate for the three months ended August 4, 2018 and July 29, 2017 differs from the statutory Federal rate of 21% and 35%, respectively, primarily due to non-U.S. earnings that are taxed at a substantially lower tax rate.</w:t>
      </w:r>
    </w:p>
    <w:p>
      <w:pPr>
        <w:spacing w:after="0" w:line="179" w:lineRule="exact"/>
        <w:rPr>
          <w:sz w:val="20"/>
          <w:szCs w:val="20"/>
          <w:color w:val="auto"/>
        </w:rPr>
      </w:pPr>
    </w:p>
    <w:p>
      <w:pPr>
        <w:ind w:right="100" w:firstLine="405"/>
        <w:spacing w:after="0" w:line="291" w:lineRule="auto"/>
        <w:rPr>
          <w:sz w:val="20"/>
          <w:szCs w:val="20"/>
          <w:color w:val="auto"/>
        </w:rPr>
      </w:pPr>
      <w:r>
        <w:rPr>
          <w:rFonts w:ascii="Arial" w:cs="Arial" w:eastAsia="Arial" w:hAnsi="Arial"/>
          <w:sz w:val="16"/>
          <w:szCs w:val="16"/>
          <w:color w:val="auto"/>
        </w:rPr>
        <w:t>Our income tax benefit for the six months ended August 4, 2018 was $26.2 million compared to tax expense of $1.3 million for the six months ended July 29, 2017. Our income tax provision for the six months ended August 4, 2018 differs from the same period in the prior year primarily as a result of combining our projected Cavium and Marvell results. With this acquisition, we are projecting significant amounts of pre-tax losses in the U.S. for the current fiscal year for which an income tax benefit is realized at the U.S. statutory rate of 21%. This income tax benefit is in excess of our projected income taxes from other jurisdictions. As a result, our effective tax rate in the current period reflects a significant consolidated income tax benefit, in addition to the reversal of uncertain tax positions and other prior year tax positions. The effective tax rate for the six months ended August 4, 2018 and July 29, 2017 differs from the statutory Federal rate of 21% and 35%, respectively, primarily due to non-U.S. earnings that are taxed at a substantially lower tax rate.</w:t>
      </w:r>
    </w:p>
    <w:p>
      <w:pPr>
        <w:spacing w:after="0" w:line="167"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It is possible that significant negative evidence may become available to reach a conclusion that a valuation allowance will be needed, and as such, we may recognize a valuation allowance in the next 12 months. Additionally, please see the information in "Item 1A: Risk Factors" under the caption "Changes in existing taxation benefits, rules or practices may adversely affect our financial results.”</w:t>
      </w:r>
    </w:p>
    <w:p>
      <w:pPr>
        <w:spacing w:after="0" w:line="193" w:lineRule="exact"/>
        <w:rPr>
          <w:sz w:val="20"/>
          <w:szCs w:val="20"/>
          <w:color w:val="auto"/>
        </w:rPr>
      </w:pPr>
    </w:p>
    <w:p>
      <w:pPr>
        <w:ind w:right="120" w:firstLine="405"/>
        <w:spacing w:after="0" w:line="289" w:lineRule="auto"/>
        <w:rPr>
          <w:sz w:val="20"/>
          <w:szCs w:val="20"/>
          <w:color w:val="auto"/>
        </w:rPr>
      </w:pPr>
      <w:r>
        <w:rPr>
          <w:rFonts w:ascii="Arial" w:cs="Arial" w:eastAsia="Arial" w:hAnsi="Arial"/>
          <w:sz w:val="16"/>
          <w:szCs w:val="16"/>
          <w:color w:val="auto"/>
        </w:rPr>
        <w:t>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The 2017 Tax Act also enhanced and extended through 2026 the option to claim accelerated depreciation deductions on qualified property. We have not completed our determination of the accounting implications of the 2017 Tax Act on our tax accruals. However, we reasonably estimated the effects of the 2017 Tax Act and recorded provisional amounts in our financial statements as of February 3, 2018. There were no additional adjustments made to these amounts in the three or six month period ended August 4, 2018. As we continue our analysis of the 2017 Tax Act, collect and prepare necessary data, and interpret any additional guidance issued by the U.S. Treasury Department, the IRS, and other standard-setting bodies, we may make adjustments to the provisional amounts. Those adjustments may materially impact our provision for income taxes in the period in which the adjustments are made.</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130" w:right="239" w:bottom="1440" w:gutter="0" w:footer="0" w:header="0"/>
        </w:sectPr>
      </w:pPr>
    </w:p>
    <w:bookmarkStart w:id="39" w:name="page40"/>
    <w:bookmarkEnd w:id="3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4" w:lineRule="exact"/>
        <w:rPr>
          <w:sz w:val="20"/>
          <w:szCs w:val="20"/>
          <w:color w:val="auto"/>
        </w:rPr>
      </w:pPr>
    </w:p>
    <w:p>
      <w:pPr>
        <w:ind w:firstLine="405"/>
        <w:spacing w:after="0" w:line="297" w:lineRule="auto"/>
        <w:rPr>
          <w:sz w:val="20"/>
          <w:szCs w:val="20"/>
          <w:color w:val="auto"/>
        </w:rPr>
      </w:pPr>
      <w:r>
        <w:rPr>
          <w:rFonts w:ascii="Arial" w:cs="Arial" w:eastAsia="Arial" w:hAnsi="Arial"/>
          <w:sz w:val="16"/>
          <w:szCs w:val="16"/>
          <w:color w:val="auto"/>
        </w:rPr>
        <w:t>Our principal source of liquidity as of August 4, 2018 consisted of approximately $520 million of cash, cash equivalents and short-term investments, of which approximately$510 million was held by subsidiaries outside of Bermuda. We have not recognized a deferred tax liability on $432 million of the excess financial reporting basis over the tax basis of investments in subsidiaries outside of Bermuda that is indefinitely reinvested. We plan to use such amounts to fund various activities outside of Bermuda, including working capital requirements, capital expenditures for expansion, funding of future acquisitions or other financing activities. If such amounts were no longer considered indefinitely reinvested, we would incur a tax expense of approximately $113 million.</w:t>
      </w:r>
    </w:p>
    <w:p>
      <w:pPr>
        <w:spacing w:after="0" w:line="23" w:lineRule="exact"/>
        <w:rPr>
          <w:sz w:val="20"/>
          <w:szCs w:val="20"/>
          <w:color w:val="auto"/>
        </w:rPr>
      </w:pPr>
    </w:p>
    <w:p>
      <w:pPr>
        <w:jc w:val="both"/>
        <w:ind w:right="200" w:firstLine="405"/>
        <w:spacing w:after="0" w:line="264" w:lineRule="auto"/>
        <w:rPr>
          <w:sz w:val="20"/>
          <w:szCs w:val="20"/>
          <w:color w:val="auto"/>
        </w:rPr>
      </w:pPr>
      <w:r>
        <w:rPr>
          <w:rFonts w:ascii="Arial" w:cs="Arial" w:eastAsia="Arial" w:hAnsi="Arial"/>
          <w:sz w:val="18"/>
          <w:szCs w:val="18"/>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which was undrawn as of August 4, 2018. See “Note 4 - Debt” for further information.</w:t>
      </w:r>
    </w:p>
    <w:p>
      <w:pPr>
        <w:spacing w:after="0" w:line="73"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 xml:space="preserve">We believe that our existing cash, cash equivalents and short-term investments,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have been named as defendants in several litigation actions and an unfavorable outcome in any current litigation matter could have a material adverse effect on our liquidity, cash flows and results of operations. For a discussion of litigation related risks, see Part II, Item 1A, "Risk Factors," including the risk detailed under the caption </w:t>
      </w:r>
      <w:r>
        <w:rPr>
          <w:rFonts w:ascii="Arial" w:cs="Arial" w:eastAsia="Arial" w:hAnsi="Arial"/>
          <w:sz w:val="17"/>
          <w:szCs w:val="17"/>
          <w:i w:val="1"/>
          <w:iCs w:val="1"/>
          <w:color w:val="auto"/>
        </w:rPr>
        <w:t>"We have been named</w:t>
      </w:r>
      <w:r>
        <w:rPr>
          <w:rFonts w:ascii="Arial" w:cs="Arial" w:eastAsia="Arial" w:hAnsi="Arial"/>
          <w:sz w:val="17"/>
          <w:szCs w:val="17"/>
          <w:color w:val="auto"/>
        </w:rPr>
        <w:t xml:space="preserve"> </w:t>
      </w:r>
      <w:r>
        <w:rPr>
          <w:rFonts w:ascii="Arial" w:cs="Arial" w:eastAsia="Arial" w:hAnsi="Arial"/>
          <w:sz w:val="17"/>
          <w:szCs w:val="17"/>
          <w:i w:val="1"/>
          <w:iCs w:val="1"/>
          <w:color w:val="auto"/>
        </w:rPr>
        <w:t>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0"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To the extent that our existing cash, cash equivalents and short-term investments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178"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15"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right="20" w:firstLine="405"/>
        <w:spacing w:after="0" w:line="291" w:lineRule="auto"/>
        <w:rPr>
          <w:sz w:val="20"/>
          <w:szCs w:val="20"/>
          <w:color w:val="auto"/>
        </w:rPr>
      </w:pPr>
      <w:r>
        <w:rPr>
          <w:rFonts w:ascii="Arial" w:cs="Arial" w:eastAsia="Arial" w:hAnsi="Arial"/>
          <w:sz w:val="16"/>
          <w:szCs w:val="16"/>
          <w:color w:val="auto"/>
        </w:rPr>
        <w:t>Net cash flow provided by operating activities for the six months ended August 4, 2018 was $190.7 million. We had net income of $135.4 million, adjusted for the following non-cash items: depreciation and amortization of $47.1 million, share-based compensation expense of $83.2 million, amortization of acquired intangible assets of $25.9 million, amortization of inventory fair value adjustment associated with the acquisition of Cavium of $22.9 million, amortization of deferred debt issuance costs and debt discounts of $7.1 million, a non-cash gain on deferred income taxes of $21.4 million, and $5.6 million net loss from other non-cash items. Cash outflow from working capital of $115.2 million for the six months ended August 4, 2018 was primarily driven by an increase in accounts receivable and a decrease in accrued compensation. The increase in accounts receivable was driven primarily by an increase in sales. The decrease in accrued compensation was mainly driven by a decrease in our bonus accrual due to our annual bonus payout in the current period.</w:t>
      </w:r>
    </w:p>
    <w:p>
      <w:pPr>
        <w:spacing w:after="0" w:line="200" w:lineRule="exact"/>
        <w:rPr>
          <w:sz w:val="20"/>
          <w:szCs w:val="20"/>
          <w:color w:val="auto"/>
        </w:rPr>
      </w:pPr>
    </w:p>
    <w:p>
      <w:pPr>
        <w:spacing w:after="0" w:line="29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130" w:right="259" w:bottom="1440" w:gutter="0" w:footer="0" w:header="0"/>
        </w:sectPr>
      </w:pPr>
    </w:p>
    <w:bookmarkStart w:id="40" w:name="page41"/>
    <w:bookmarkEnd w:id="4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20" w:firstLine="378"/>
        <w:spacing w:after="0" w:line="271" w:lineRule="auto"/>
        <w:rPr>
          <w:sz w:val="20"/>
          <w:szCs w:val="20"/>
          <w:color w:val="auto"/>
        </w:rPr>
      </w:pPr>
      <w:r>
        <w:rPr>
          <w:rFonts w:ascii="Arial" w:cs="Arial" w:eastAsia="Arial" w:hAnsi="Arial"/>
          <w:sz w:val="17"/>
          <w:szCs w:val="17"/>
          <w:color w:val="auto"/>
        </w:rPr>
        <w:t>Net cash flow provided by operating activities for the six months ended July 29, 2017 was $235.2 million. We had $271.9 million of net income, adjusted for $43.0 million of non-cash items, which was primarily driven by depreciation and amortization of $41.2 million, share-based compensation expense of $46.4 million and gain on the sales of discontinued operations and businesses of $47.4 million. The cash outflow from working capital of $79.7 million for the six months ended July 29, 2017 was primarily driven by increases in accounts receivable and inventory and a decrease in accrued liabilities. This outflow was offset by an increase in accounts payable. The increase in accounts receivable was driven primarily by the increase in revenue. The increase in inventory is associated with the build up of inventory related to our networking and storage products in preparation for next quarter's demand. The decrease in accrued liabilities was driven by a reduction of accruals for restructuring expenses and rebate, offset by an increase related to technology licenses. The increase in accounts payable was due to additional amounts owed for assembly and test services.</w:t>
      </w:r>
    </w:p>
    <w:p>
      <w:pPr>
        <w:spacing w:after="0" w:line="206"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Net cash flow used in investing activities was $1.8 billion for the six months ended August 4, 2018 compared to net cash used in investing activities of $29.8 million for the six months ended July 29, 2017. For the six months ended August 4, 2018, net cash used in investing activities was primarily driven by net cash paid to acquire Cavium of $2.6 billion, offset by net proceeds for sales and maturities of available-for sale securities and time deposits of $961.9 million.</w:t>
      </w:r>
    </w:p>
    <w:p>
      <w:pPr>
        <w:spacing w:after="0" w:line="268" w:lineRule="exact"/>
        <w:rPr>
          <w:sz w:val="20"/>
          <w:szCs w:val="20"/>
          <w:color w:val="auto"/>
        </w:rPr>
      </w:pPr>
    </w:p>
    <w:p>
      <w:pPr>
        <w:ind w:right="80" w:firstLine="378"/>
        <w:spacing w:after="0" w:line="264" w:lineRule="auto"/>
        <w:rPr>
          <w:sz w:val="20"/>
          <w:szCs w:val="20"/>
          <w:color w:val="auto"/>
        </w:rPr>
      </w:pPr>
      <w:r>
        <w:rPr>
          <w:rFonts w:ascii="Arial" w:cs="Arial" w:eastAsia="Arial" w:hAnsi="Arial"/>
          <w:sz w:val="18"/>
          <w:szCs w:val="18"/>
          <w:color w:val="auto"/>
        </w:rPr>
        <w:t>For the six months ended July 29, 2017, net cash used in investing activities of $29.8 million was primarily driven by purchase of available-for-sale securities of $376.2 million, offset by sales and maturities of available-for-sale securities of $286.3 million and net proceeds of $72.2 million from the sale of our Broadband and LTE thin-modem businesses.</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right="140" w:firstLine="405"/>
        <w:spacing w:after="0" w:line="264" w:lineRule="auto"/>
        <w:rPr>
          <w:sz w:val="20"/>
          <w:szCs w:val="20"/>
          <w:color w:val="auto"/>
        </w:rPr>
      </w:pPr>
      <w:r>
        <w:rPr>
          <w:rFonts w:ascii="Arial" w:cs="Arial" w:eastAsia="Arial" w:hAnsi="Arial"/>
          <w:sz w:val="18"/>
          <w:szCs w:val="18"/>
          <w:color w:val="auto"/>
        </w:rPr>
        <w:t>For the six months ended August 4, 2018, net cash provided financing activities of $1.2 billion was primarily attributable to $1.9 billion proceeds from issuance of debt and $44.6 million proceeds from employee stock plans, slightly offset by a $606.1 million repayment of Cavium historical debt and $69.2 million for payment of our quarterly dividends.</w:t>
      </w:r>
    </w:p>
    <w:p>
      <w:pPr>
        <w:spacing w:after="0" w:line="181" w:lineRule="exact"/>
        <w:rPr>
          <w:sz w:val="20"/>
          <w:szCs w:val="20"/>
          <w:color w:val="auto"/>
        </w:rPr>
      </w:pPr>
    </w:p>
    <w:p>
      <w:pPr>
        <w:ind w:right="140" w:firstLine="378"/>
        <w:spacing w:after="0" w:line="286" w:lineRule="auto"/>
        <w:rPr>
          <w:sz w:val="20"/>
          <w:szCs w:val="20"/>
          <w:color w:val="auto"/>
        </w:rPr>
      </w:pPr>
      <w:r>
        <w:rPr>
          <w:rFonts w:ascii="Arial" w:cs="Arial" w:eastAsia="Arial" w:hAnsi="Arial"/>
          <w:sz w:val="17"/>
          <w:szCs w:val="17"/>
          <w:color w:val="auto"/>
        </w:rPr>
        <w:t>For the six months ended July 29, 2017, net cash used in financing activities of $388.9 million was primarily attributable to $387.6 million for the repurchases of our common stock, $60.1 million for payment of our quarterly dividends, and $24.8 million minimum tax withholding payments on behalf of employees for net share settlements. These outflows were partially offset by proceeds of $97.8 million from employee stock plans.</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jc w:val="both"/>
        <w:ind w:right="140" w:firstLine="432"/>
        <w:spacing w:after="0" w:line="264" w:lineRule="auto"/>
        <w:rPr>
          <w:sz w:val="20"/>
          <w:szCs w:val="20"/>
          <w:color w:val="auto"/>
        </w:rPr>
      </w:pPr>
      <w:r>
        <w:rPr>
          <w:rFonts w:ascii="Arial" w:cs="Arial" w:eastAsia="Arial" w:hAnsi="Arial"/>
          <w:sz w:val="18"/>
          <w:szCs w:val="18"/>
          <w:color w:val="auto"/>
        </w:rPr>
        <w:t>Under our manufacturing relationships with our foundry partners, cancellation of outstanding purchase orders is allowed but requires repayment of all expenses incurred through the date of cancellation. As of August 4, 2018, these foundries had incurred approximately $160.8 million of manufacturing costs and expenses relating to our outstanding purchase orders.</w:t>
      </w:r>
    </w:p>
    <w:p>
      <w:pPr>
        <w:spacing w:after="0" w:line="73" w:lineRule="exact"/>
        <w:rPr>
          <w:sz w:val="20"/>
          <w:szCs w:val="20"/>
          <w:color w:val="auto"/>
        </w:rPr>
      </w:pPr>
    </w:p>
    <w:p>
      <w:pPr>
        <w:ind w:right="560" w:firstLine="432"/>
        <w:spacing w:after="0" w:line="277" w:lineRule="auto"/>
        <w:rPr>
          <w:sz w:val="20"/>
          <w:szCs w:val="20"/>
          <w:color w:val="auto"/>
        </w:rPr>
      </w:pPr>
      <w:r>
        <w:rPr>
          <w:rFonts w:ascii="Arial" w:cs="Arial" w:eastAsia="Arial" w:hAnsi="Arial"/>
          <w:sz w:val="18"/>
          <w:szCs w:val="18"/>
          <w:color w:val="auto"/>
        </w:rPr>
        <w:t>The following table summarizes our contractual obligations as of August 4, 2018 and the effect that such obligations are expected to have on our liquidity and cash flow in future periods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240" w:type="dxa"/>
            <w:vAlign w:val="bottom"/>
          </w:tcPr>
          <w:p>
            <w:pPr>
              <w:spacing w:after="0"/>
              <w:rPr>
                <w:sz w:val="16"/>
                <w:szCs w:val="16"/>
                <w:color w:val="auto"/>
              </w:rPr>
            </w:pPr>
          </w:p>
        </w:tc>
        <w:tc>
          <w:tcPr>
            <w:tcW w:w="2000" w:type="dxa"/>
            <w:vAlign w:val="bottom"/>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8"/>
          </w:tcPr>
          <w:p>
            <w:pPr>
              <w:ind w:left="80"/>
              <w:spacing w:after="0"/>
              <w:rPr>
                <w:sz w:val="20"/>
                <w:szCs w:val="20"/>
                <w:color w:val="auto"/>
              </w:rPr>
            </w:pPr>
            <w:r>
              <w:rPr>
                <w:rFonts w:ascii="Arial" w:cs="Arial" w:eastAsia="Arial" w:hAnsi="Arial"/>
                <w:sz w:val="14"/>
                <w:szCs w:val="14"/>
                <w:b w:val="1"/>
                <w:bCs w:val="1"/>
                <w:color w:val="auto"/>
              </w:rPr>
              <w:t>Payment Obligations by Fiscal Year</w:t>
            </w:r>
          </w:p>
        </w:tc>
        <w:tc>
          <w:tcPr>
            <w:tcW w:w="12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2240" w:type="dxa"/>
            <w:vAlign w:val="bottom"/>
          </w:tcPr>
          <w:p>
            <w:pPr>
              <w:spacing w:after="0"/>
              <w:rPr>
                <w:sz w:val="13"/>
                <w:szCs w:val="13"/>
                <w:color w:val="auto"/>
              </w:rPr>
            </w:pPr>
          </w:p>
        </w:tc>
        <w:tc>
          <w:tcPr>
            <w:tcW w:w="20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80" w:type="dxa"/>
            <w:vAlign w:val="bottom"/>
            <w:gridSpan w:val="2"/>
          </w:tcPr>
          <w:p>
            <w:pPr>
              <w:spacing w:after="0" w:line="153" w:lineRule="exact"/>
              <w:rPr>
                <w:sz w:val="20"/>
                <w:szCs w:val="20"/>
                <w:color w:val="auto"/>
              </w:rPr>
            </w:pPr>
            <w:r>
              <w:rPr>
                <w:rFonts w:ascii="Arial" w:cs="Arial" w:eastAsia="Arial" w:hAnsi="Arial"/>
                <w:sz w:val="14"/>
                <w:szCs w:val="14"/>
                <w:b w:val="1"/>
                <w:bCs w:val="1"/>
                <w:color w:val="auto"/>
              </w:rPr>
              <w:t>Remainder of</w:t>
            </w:r>
          </w:p>
        </w:tc>
        <w:tc>
          <w:tcPr>
            <w:tcW w:w="200" w:type="dxa"/>
            <w:vAlign w:val="bottom"/>
          </w:tcPr>
          <w:p>
            <w:pPr>
              <w:spacing w:after="0"/>
              <w:rPr>
                <w:sz w:val="13"/>
                <w:szCs w:val="13"/>
                <w:color w:val="auto"/>
              </w:rPr>
            </w:pPr>
          </w:p>
        </w:tc>
        <w:tc>
          <w:tcPr>
            <w:tcW w:w="720" w:type="dxa"/>
            <w:vAlign w:val="bottom"/>
            <w:vMerge w:val="restart"/>
          </w:tcPr>
          <w:p>
            <w:pPr>
              <w:jc w:val="right"/>
              <w:ind w:right="248"/>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40" w:type="dxa"/>
            <w:vAlign w:val="bottom"/>
            <w:vMerge w:val="restart"/>
          </w:tcPr>
          <w:p>
            <w:pPr>
              <w:jc w:val="right"/>
              <w:ind w:right="248"/>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00" w:type="dxa"/>
            <w:vAlign w:val="bottom"/>
            <w:vMerge w:val="restart"/>
          </w:tcPr>
          <w:p>
            <w:pPr>
              <w:jc w:val="right"/>
              <w:ind w:right="228"/>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80" w:type="dxa"/>
            <w:vAlign w:val="bottom"/>
            <w:vMerge w:val="restart"/>
          </w:tcPr>
          <w:p>
            <w:pPr>
              <w:jc w:val="right"/>
              <w:ind w:right="228"/>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Thereafter</w:t>
            </w:r>
          </w:p>
        </w:tc>
        <w:tc>
          <w:tcPr>
            <w:tcW w:w="160" w:type="dxa"/>
            <w:vAlign w:val="bottom"/>
          </w:tcPr>
          <w:p>
            <w:pPr>
              <w:spacing w:after="0"/>
              <w:rPr>
                <w:sz w:val="13"/>
                <w:szCs w:val="13"/>
                <w:color w:val="auto"/>
              </w:rPr>
            </w:pPr>
          </w:p>
        </w:tc>
        <w:tc>
          <w:tcPr>
            <w:tcW w:w="740" w:type="dxa"/>
            <w:vAlign w:val="bottom"/>
            <w:vMerge w:val="restart"/>
          </w:tcPr>
          <w:p>
            <w:pPr>
              <w:jc w:val="right"/>
              <w:ind w:right="208"/>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2240" w:type="dxa"/>
            <w:vAlign w:val="bottom"/>
          </w:tcPr>
          <w:p>
            <w:pPr>
              <w:spacing w:after="0"/>
              <w:rPr>
                <w:sz w:val="16"/>
                <w:szCs w:val="16"/>
                <w:color w:val="auto"/>
              </w:rPr>
            </w:pPr>
          </w:p>
        </w:tc>
        <w:tc>
          <w:tcPr>
            <w:tcW w:w="20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40" w:type="dxa"/>
            <w:vAlign w:val="bottom"/>
          </w:tcPr>
          <w:p>
            <w:pPr>
              <w:jc w:val="right"/>
              <w:ind w:right="308"/>
              <w:spacing w:after="0"/>
              <w:rPr>
                <w:sz w:val="20"/>
                <w:szCs w:val="20"/>
                <w:color w:val="auto"/>
              </w:rPr>
            </w:pPr>
            <w:r>
              <w:rPr>
                <w:rFonts w:ascii="Arial" w:cs="Arial" w:eastAsia="Arial" w:hAnsi="Arial"/>
                <w:sz w:val="14"/>
                <w:szCs w:val="14"/>
                <w:b w:val="1"/>
                <w:bCs w:val="1"/>
                <w:color w:val="auto"/>
              </w:rPr>
              <w:t>2019</w:t>
            </w: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0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80" w:type="dxa"/>
            <w:vAlign w:val="bottom"/>
            <w:vMerge w:val="continue"/>
          </w:tcPr>
          <w:p>
            <w:pPr>
              <w:spacing w:after="0"/>
              <w:rPr>
                <w:sz w:val="16"/>
                <w:szCs w:val="16"/>
                <w:color w:val="auto"/>
              </w:rPr>
            </w:pPr>
          </w:p>
        </w:tc>
        <w:tc>
          <w:tcPr>
            <w:tcW w:w="1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8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7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0"/>
        </w:trPr>
        <w:tc>
          <w:tcPr>
            <w:tcW w:w="4240" w:type="dxa"/>
            <w:vAlign w:val="bottom"/>
            <w:tcBorders>
              <w:top w:val="single" w:sz="8" w:color="CCEEFF"/>
            </w:tcBorders>
            <w:gridSpan w:val="2"/>
            <w:shd w:val="clear" w:color="auto" w:fill="CCEEFF"/>
          </w:tcPr>
          <w:p>
            <w:pPr>
              <w:ind w:left="40"/>
              <w:spacing w:after="0"/>
              <w:rPr>
                <w:sz w:val="20"/>
                <w:szCs w:val="20"/>
                <w:color w:val="auto"/>
              </w:rPr>
            </w:pPr>
            <w:r>
              <w:rPr>
                <w:rFonts w:ascii="Arial" w:cs="Arial" w:eastAsia="Arial" w:hAnsi="Arial"/>
                <w:sz w:val="16"/>
                <w:szCs w:val="16"/>
                <w:color w:val="auto"/>
              </w:rPr>
              <w:t>Contractual obligations:</w:t>
            </w:r>
          </w:p>
        </w:tc>
        <w:tc>
          <w:tcPr>
            <w:tcW w:w="10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60"/>
        </w:trPr>
        <w:tc>
          <w:tcPr>
            <w:tcW w:w="2240" w:type="dxa"/>
            <w:vAlign w:val="bottom"/>
            <w:shd w:val="clear" w:color="auto" w:fill="CCEEFF"/>
          </w:tcPr>
          <w:p>
            <w:pPr>
              <w:spacing w:after="0"/>
              <w:rPr>
                <w:sz w:val="5"/>
                <w:szCs w:val="5"/>
                <w:color w:val="auto"/>
              </w:rPr>
            </w:pPr>
          </w:p>
        </w:tc>
        <w:tc>
          <w:tcPr>
            <w:tcW w:w="200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940" w:type="dxa"/>
            <w:vAlign w:val="bottom"/>
            <w:shd w:val="clear" w:color="auto" w:fill="CCEEFF"/>
          </w:tcPr>
          <w:p>
            <w:pPr>
              <w:spacing w:after="0"/>
              <w:rPr>
                <w:sz w:val="5"/>
                <w:szCs w:val="5"/>
                <w:color w:val="auto"/>
              </w:rPr>
            </w:pPr>
          </w:p>
        </w:tc>
        <w:tc>
          <w:tcPr>
            <w:tcW w:w="140" w:type="dxa"/>
            <w:vAlign w:val="bottom"/>
            <w:shd w:val="clear" w:color="auto" w:fill="CCEEFF"/>
          </w:tcPr>
          <w:p>
            <w:pPr>
              <w:spacing w:after="0"/>
              <w:rPr>
                <w:sz w:val="5"/>
                <w:szCs w:val="5"/>
                <w:color w:val="auto"/>
              </w:rPr>
            </w:pPr>
          </w:p>
        </w:tc>
        <w:tc>
          <w:tcPr>
            <w:tcW w:w="200" w:type="dxa"/>
            <w:vAlign w:val="bottom"/>
            <w:shd w:val="clear" w:color="auto" w:fill="CCEEFF"/>
          </w:tcPr>
          <w:p>
            <w:pPr>
              <w:spacing w:after="0"/>
              <w:rPr>
                <w:sz w:val="5"/>
                <w:szCs w:val="5"/>
                <w:color w:val="auto"/>
              </w:rPr>
            </w:pPr>
          </w:p>
        </w:tc>
        <w:tc>
          <w:tcPr>
            <w:tcW w:w="72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00" w:type="dxa"/>
            <w:vAlign w:val="bottom"/>
            <w:shd w:val="clear" w:color="auto" w:fill="CCEEFF"/>
          </w:tcPr>
          <w:p>
            <w:pPr>
              <w:spacing w:after="0"/>
              <w:rPr>
                <w:sz w:val="5"/>
                <w:szCs w:val="5"/>
                <w:color w:val="auto"/>
              </w:rPr>
            </w:pPr>
          </w:p>
        </w:tc>
        <w:tc>
          <w:tcPr>
            <w:tcW w:w="74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00" w:type="dxa"/>
            <w:vAlign w:val="bottom"/>
            <w:shd w:val="clear" w:color="auto" w:fill="CCEEFF"/>
          </w:tcPr>
          <w:p>
            <w:pPr>
              <w:spacing w:after="0"/>
              <w:rPr>
                <w:sz w:val="5"/>
                <w:szCs w:val="5"/>
                <w:color w:val="auto"/>
              </w:rPr>
            </w:pPr>
          </w:p>
        </w:tc>
        <w:tc>
          <w:tcPr>
            <w:tcW w:w="70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220" w:type="dxa"/>
            <w:vAlign w:val="bottom"/>
            <w:shd w:val="clear" w:color="auto" w:fill="CCEEFF"/>
          </w:tcPr>
          <w:p>
            <w:pPr>
              <w:spacing w:after="0"/>
              <w:rPr>
                <w:sz w:val="5"/>
                <w:szCs w:val="5"/>
                <w:color w:val="auto"/>
              </w:rPr>
            </w:pPr>
          </w:p>
        </w:tc>
        <w:tc>
          <w:tcPr>
            <w:tcW w:w="68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78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160" w:type="dxa"/>
            <w:vAlign w:val="bottom"/>
            <w:shd w:val="clear" w:color="auto" w:fill="CCEEFF"/>
          </w:tcPr>
          <w:p>
            <w:pPr>
              <w:spacing w:after="0"/>
              <w:rPr>
                <w:sz w:val="5"/>
                <w:szCs w:val="5"/>
                <w:color w:val="auto"/>
              </w:rPr>
            </w:pPr>
          </w:p>
        </w:tc>
        <w:tc>
          <w:tcPr>
            <w:tcW w:w="740" w:type="dxa"/>
            <w:vAlign w:val="bottom"/>
            <w:shd w:val="clear" w:color="auto" w:fill="CCEEFF"/>
          </w:tcPr>
          <w:p>
            <w:pPr>
              <w:spacing w:after="0"/>
              <w:rPr>
                <w:sz w:val="5"/>
                <w:szCs w:val="5"/>
                <w:color w:val="auto"/>
              </w:rPr>
            </w:pPr>
          </w:p>
        </w:tc>
        <w:tc>
          <w:tcPr>
            <w:tcW w:w="0" w:type="dxa"/>
            <w:vAlign w:val="bottom"/>
          </w:tcPr>
          <w:p>
            <w:pPr>
              <w:spacing w:after="0"/>
              <w:rPr>
                <w:sz w:val="1"/>
                <w:szCs w:val="1"/>
                <w:color w:val="auto"/>
              </w:rPr>
            </w:pPr>
          </w:p>
        </w:tc>
      </w:tr>
      <w:tr>
        <w:trPr>
          <w:trHeight w:val="264"/>
        </w:trPr>
        <w:tc>
          <w:tcPr>
            <w:tcW w:w="4240" w:type="dxa"/>
            <w:vAlign w:val="bottom"/>
            <w:gridSpan w:val="2"/>
          </w:tcPr>
          <w:p>
            <w:pPr>
              <w:ind w:left="40"/>
              <w:spacing w:after="0"/>
              <w:rPr>
                <w:sz w:val="20"/>
                <w:szCs w:val="20"/>
                <w:color w:val="auto"/>
              </w:rPr>
            </w:pPr>
            <w:r>
              <w:rPr>
                <w:rFonts w:ascii="Arial" w:cs="Arial" w:eastAsia="Arial" w:hAnsi="Arial"/>
                <w:sz w:val="16"/>
                <w:szCs w:val="16"/>
                <w:color w:val="auto"/>
              </w:rPr>
              <w:t>Principal payments on debt</w:t>
            </w:r>
          </w:p>
        </w:tc>
        <w:tc>
          <w:tcPr>
            <w:tcW w:w="100" w:type="dxa"/>
            <w:vAlign w:val="bottom"/>
          </w:tcPr>
          <w:p>
            <w:pPr>
              <w:jc w:val="right"/>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tcPr>
          <w:p>
            <w:pPr>
              <w:jc w:val="right"/>
              <w:ind w:right="48"/>
              <w:spacing w:after="0"/>
              <w:rPr>
                <w:sz w:val="20"/>
                <w:szCs w:val="20"/>
                <w:color w:val="auto"/>
              </w:rPr>
            </w:pPr>
            <w:r>
              <w:rPr>
                <w:rFonts w:ascii="Arial" w:cs="Arial" w:eastAsia="Arial" w:hAnsi="Arial"/>
                <w:sz w:val="14"/>
                <w:szCs w:val="14"/>
                <w:color w:val="auto"/>
                <w:w w:val="76"/>
              </w:rPr>
              <w:t>$</w:t>
            </w: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jc w:val="right"/>
              <w:ind w:right="28"/>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900,000</w:t>
            </w:r>
          </w:p>
        </w:tc>
        <w:tc>
          <w:tcPr>
            <w:tcW w:w="100" w:type="dxa"/>
            <w:vAlign w:val="bottom"/>
          </w:tcPr>
          <w:p>
            <w:pPr>
              <w:spacing w:after="0"/>
              <w:rPr>
                <w:sz w:val="22"/>
                <w:szCs w:val="22"/>
                <w:color w:val="auto"/>
              </w:rPr>
            </w:pPr>
          </w:p>
        </w:tc>
        <w:tc>
          <w:tcPr>
            <w:tcW w:w="220" w:type="dxa"/>
            <w:vAlign w:val="bottom"/>
          </w:tcPr>
          <w:p>
            <w:pPr>
              <w:jc w:val="right"/>
              <w:ind w:right="48"/>
              <w:spacing w:after="0"/>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jc w:val="right"/>
              <w:spacing w:after="0"/>
              <w:rPr>
                <w:sz w:val="20"/>
                <w:szCs w:val="20"/>
                <w:color w:val="auto"/>
              </w:rPr>
            </w:pPr>
            <w:r>
              <w:rPr>
                <w:rFonts w:ascii="Arial" w:cs="Arial" w:eastAsia="Arial" w:hAnsi="Arial"/>
                <w:sz w:val="14"/>
                <w:szCs w:val="14"/>
                <w:color w:val="auto"/>
              </w:rPr>
              <w:t>$</w:t>
            </w:r>
          </w:p>
        </w:tc>
        <w:tc>
          <w:tcPr>
            <w:tcW w:w="780" w:type="dxa"/>
            <w:vAlign w:val="bottom"/>
          </w:tcPr>
          <w:p>
            <w:pPr>
              <w:jc w:val="right"/>
              <w:ind w:right="28"/>
              <w:spacing w:after="0"/>
              <w:rPr>
                <w:sz w:val="20"/>
                <w:szCs w:val="20"/>
                <w:color w:val="auto"/>
              </w:rPr>
            </w:pPr>
            <w:r>
              <w:rPr>
                <w:rFonts w:ascii="Arial" w:cs="Arial" w:eastAsia="Arial" w:hAnsi="Arial"/>
                <w:sz w:val="14"/>
                <w:szCs w:val="14"/>
                <w:color w:val="auto"/>
              </w:rPr>
              <w:t>1,000,000</w:t>
            </w:r>
          </w:p>
        </w:tc>
        <w:tc>
          <w:tcPr>
            <w:tcW w:w="100" w:type="dxa"/>
            <w:vAlign w:val="bottom"/>
          </w:tcPr>
          <w:p>
            <w:pPr>
              <w:spacing w:after="0"/>
              <w:rPr>
                <w:sz w:val="22"/>
                <w:szCs w:val="22"/>
                <w:color w:val="auto"/>
              </w:rPr>
            </w:pPr>
          </w:p>
        </w:tc>
        <w:tc>
          <w:tcPr>
            <w:tcW w:w="160" w:type="dxa"/>
            <w:vAlign w:val="bottom"/>
          </w:tcPr>
          <w:p>
            <w:pPr>
              <w:jc w:val="right"/>
              <w:spacing w:after="0"/>
              <w:rPr>
                <w:sz w:val="20"/>
                <w:szCs w:val="20"/>
                <w:color w:val="auto"/>
              </w:rPr>
            </w:pPr>
            <w:r>
              <w:rPr>
                <w:rFonts w:ascii="Arial" w:cs="Arial" w:eastAsia="Arial" w:hAnsi="Arial"/>
                <w:sz w:val="14"/>
                <w:szCs w:val="14"/>
                <w:color w:val="auto"/>
              </w:rPr>
              <w:t>$</w:t>
            </w:r>
          </w:p>
        </w:tc>
        <w:tc>
          <w:tcPr>
            <w:tcW w:w="740" w:type="dxa"/>
            <w:vAlign w:val="bottom"/>
          </w:tcPr>
          <w:p>
            <w:pPr>
              <w:jc w:val="right"/>
              <w:ind w:right="28"/>
              <w:spacing w:after="0"/>
              <w:rPr>
                <w:sz w:val="20"/>
                <w:szCs w:val="20"/>
                <w:color w:val="auto"/>
              </w:rPr>
            </w:pPr>
            <w:r>
              <w:rPr>
                <w:rFonts w:ascii="Arial" w:cs="Arial" w:eastAsia="Arial" w:hAnsi="Arial"/>
                <w:sz w:val="14"/>
                <w:szCs w:val="14"/>
                <w:color w:val="auto"/>
                <w:w w:val="99"/>
              </w:rPr>
              <w:t>1,900,000</w:t>
            </w:r>
          </w:p>
        </w:tc>
        <w:tc>
          <w:tcPr>
            <w:tcW w:w="0" w:type="dxa"/>
            <w:vAlign w:val="bottom"/>
          </w:tcPr>
          <w:p>
            <w:pPr>
              <w:spacing w:after="0"/>
              <w:rPr>
                <w:sz w:val="1"/>
                <w:szCs w:val="1"/>
                <w:color w:val="auto"/>
              </w:rPr>
            </w:pPr>
          </w:p>
        </w:tc>
      </w:tr>
      <w:tr>
        <w:trPr>
          <w:trHeight w:val="276"/>
        </w:trPr>
        <w:tc>
          <w:tcPr>
            <w:tcW w:w="424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Interest obligations on debt</w:t>
            </w:r>
          </w:p>
        </w:tc>
        <w:tc>
          <w:tcPr>
            <w:tcW w:w="100" w:type="dxa"/>
            <w:vAlign w:val="bottom"/>
            <w:shd w:val="clear" w:color="auto" w:fill="CCEEFF"/>
          </w:tcPr>
          <w:p>
            <w:pPr>
              <w:spacing w:after="0"/>
              <w:rPr>
                <w:sz w:val="24"/>
                <w:szCs w:val="24"/>
                <w:color w:val="auto"/>
              </w:rPr>
            </w:pPr>
          </w:p>
        </w:tc>
        <w:tc>
          <w:tcPr>
            <w:tcW w:w="94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38,689</w:t>
            </w:r>
          </w:p>
        </w:tc>
        <w:tc>
          <w:tcPr>
            <w:tcW w:w="14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77,376</w:t>
            </w: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74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83,329</w:t>
            </w: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70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56,955</w:t>
            </w:r>
          </w:p>
        </w:tc>
        <w:tc>
          <w:tcPr>
            <w:tcW w:w="1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68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45,879</w:t>
            </w:r>
          </w:p>
        </w:tc>
        <w:tc>
          <w:tcPr>
            <w:tcW w:w="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78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138,449</w:t>
            </w: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74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440,677</w:t>
            </w:r>
          </w:p>
        </w:tc>
        <w:tc>
          <w:tcPr>
            <w:tcW w:w="0" w:type="dxa"/>
            <w:vAlign w:val="bottom"/>
          </w:tcPr>
          <w:p>
            <w:pPr>
              <w:spacing w:after="0"/>
              <w:rPr>
                <w:sz w:val="1"/>
                <w:szCs w:val="1"/>
                <w:color w:val="auto"/>
              </w:rPr>
            </w:pPr>
          </w:p>
        </w:tc>
      </w:tr>
      <w:tr>
        <w:trPr>
          <w:trHeight w:val="264"/>
        </w:trPr>
        <w:tc>
          <w:tcPr>
            <w:tcW w:w="4240" w:type="dxa"/>
            <w:vAlign w:val="bottom"/>
            <w:gridSpan w:val="2"/>
          </w:tcPr>
          <w:p>
            <w:pPr>
              <w:ind w:left="40"/>
              <w:spacing w:after="0"/>
              <w:rPr>
                <w:sz w:val="20"/>
                <w:szCs w:val="20"/>
                <w:color w:val="auto"/>
              </w:rPr>
            </w:pPr>
            <w:r>
              <w:rPr>
                <w:rFonts w:ascii="Arial" w:cs="Arial" w:eastAsia="Arial" w:hAnsi="Arial"/>
                <w:sz w:val="16"/>
                <w:szCs w:val="16"/>
                <w:color w:val="auto"/>
              </w:rPr>
              <w:t>Facilities operating leases, net</w:t>
            </w:r>
          </w:p>
        </w:tc>
        <w:tc>
          <w:tcPr>
            <w:tcW w:w="100" w:type="dxa"/>
            <w:vAlign w:val="bottom"/>
          </w:tcPr>
          <w:p>
            <w:pPr>
              <w:spacing w:after="0"/>
              <w:rPr>
                <w:sz w:val="22"/>
                <w:szCs w:val="22"/>
                <w:color w:val="auto"/>
              </w:rPr>
            </w:pPr>
          </w:p>
        </w:tc>
        <w:tc>
          <w:tcPr>
            <w:tcW w:w="940" w:type="dxa"/>
            <w:vAlign w:val="bottom"/>
          </w:tcPr>
          <w:p>
            <w:pPr>
              <w:jc w:val="right"/>
              <w:ind w:right="48"/>
              <w:spacing w:after="0"/>
              <w:rPr>
                <w:sz w:val="20"/>
                <w:szCs w:val="20"/>
                <w:color w:val="auto"/>
              </w:rPr>
            </w:pPr>
            <w:r>
              <w:rPr>
                <w:rFonts w:ascii="Arial" w:cs="Arial" w:eastAsia="Arial" w:hAnsi="Arial"/>
                <w:sz w:val="14"/>
                <w:szCs w:val="14"/>
                <w:color w:val="auto"/>
              </w:rPr>
              <w:t>17,769</w:t>
            </w: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30,612</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740" w:type="dxa"/>
            <w:vAlign w:val="bottom"/>
          </w:tcPr>
          <w:p>
            <w:pPr>
              <w:jc w:val="right"/>
              <w:ind w:right="48"/>
              <w:spacing w:after="0"/>
              <w:rPr>
                <w:sz w:val="20"/>
                <w:szCs w:val="20"/>
                <w:color w:val="auto"/>
              </w:rPr>
            </w:pPr>
            <w:r>
              <w:rPr>
                <w:rFonts w:ascii="Arial" w:cs="Arial" w:eastAsia="Arial" w:hAnsi="Arial"/>
                <w:sz w:val="14"/>
                <w:szCs w:val="14"/>
                <w:color w:val="auto"/>
              </w:rPr>
              <w:t>28,299</w:t>
            </w:r>
          </w:p>
        </w:tc>
        <w:tc>
          <w:tcPr>
            <w:tcW w:w="120" w:type="dxa"/>
            <w:vAlign w:val="bottom"/>
          </w:tcPr>
          <w:p>
            <w:pPr>
              <w:spacing w:after="0"/>
              <w:rPr>
                <w:sz w:val="22"/>
                <w:szCs w:val="22"/>
                <w:color w:val="auto"/>
              </w:rPr>
            </w:pPr>
          </w:p>
        </w:tc>
        <w:tc>
          <w:tcPr>
            <w:tcW w:w="200" w:type="dxa"/>
            <w:vAlign w:val="bottom"/>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Pr>
          <w:p>
            <w:pPr>
              <w:jc w:val="right"/>
              <w:ind w:right="28"/>
              <w:spacing w:after="0"/>
              <w:rPr>
                <w:sz w:val="20"/>
                <w:szCs w:val="20"/>
                <w:color w:val="auto"/>
              </w:rPr>
            </w:pPr>
            <w:r>
              <w:rPr>
                <w:rFonts w:ascii="Arial" w:cs="Arial" w:eastAsia="Arial" w:hAnsi="Arial"/>
                <w:sz w:val="14"/>
                <w:szCs w:val="14"/>
                <w:color w:val="auto"/>
              </w:rPr>
              <w:t>26,005</w:t>
            </w: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80" w:type="dxa"/>
            <w:vAlign w:val="bottom"/>
          </w:tcPr>
          <w:p>
            <w:pPr>
              <w:jc w:val="right"/>
              <w:ind w:right="28"/>
              <w:spacing w:after="0"/>
              <w:rPr>
                <w:sz w:val="20"/>
                <w:szCs w:val="20"/>
                <w:color w:val="auto"/>
              </w:rPr>
            </w:pPr>
            <w:r>
              <w:rPr>
                <w:rFonts w:ascii="Arial" w:cs="Arial" w:eastAsia="Arial" w:hAnsi="Arial"/>
                <w:sz w:val="14"/>
                <w:szCs w:val="14"/>
                <w:color w:val="auto"/>
              </w:rPr>
              <w:t>19,215</w:t>
            </w:r>
          </w:p>
        </w:tc>
        <w:tc>
          <w:tcPr>
            <w:tcW w:w="100" w:type="dxa"/>
            <w:vAlign w:val="bottom"/>
          </w:tcPr>
          <w:p>
            <w:pPr>
              <w:spacing w:after="0"/>
              <w:rPr>
                <w:sz w:val="22"/>
                <w:szCs w:val="22"/>
                <w:color w:val="auto"/>
              </w:rPr>
            </w:pPr>
          </w:p>
        </w:tc>
        <w:tc>
          <w:tcPr>
            <w:tcW w:w="120" w:type="dxa"/>
            <w:vAlign w:val="bottom"/>
          </w:tcPr>
          <w:p>
            <w:pPr>
              <w:jc w:val="right"/>
              <w:spacing w:after="0"/>
              <w:rPr>
                <w:sz w:val="20"/>
                <w:szCs w:val="20"/>
                <w:color w:val="auto"/>
              </w:rPr>
            </w:pPr>
            <w:r>
              <w:rPr>
                <w:rFonts w:ascii="Arial" w:cs="Arial" w:eastAsia="Arial" w:hAnsi="Arial"/>
                <w:sz w:val="14"/>
                <w:szCs w:val="14"/>
                <w:color w:val="auto"/>
              </w:rPr>
              <w:t>$</w:t>
            </w:r>
          </w:p>
        </w:tc>
        <w:tc>
          <w:tcPr>
            <w:tcW w:w="780" w:type="dxa"/>
            <w:vAlign w:val="bottom"/>
          </w:tcPr>
          <w:p>
            <w:pPr>
              <w:jc w:val="right"/>
              <w:ind w:right="28"/>
              <w:spacing w:after="0"/>
              <w:rPr>
                <w:sz w:val="20"/>
                <w:szCs w:val="20"/>
                <w:color w:val="auto"/>
              </w:rPr>
            </w:pPr>
            <w:r>
              <w:rPr>
                <w:rFonts w:ascii="Arial" w:cs="Arial" w:eastAsia="Arial" w:hAnsi="Arial"/>
                <w:sz w:val="14"/>
                <w:szCs w:val="14"/>
                <w:color w:val="auto"/>
              </w:rPr>
              <w:t>28,569</w:t>
            </w: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740" w:type="dxa"/>
            <w:vAlign w:val="bottom"/>
          </w:tcPr>
          <w:p>
            <w:pPr>
              <w:jc w:val="right"/>
              <w:ind w:right="28"/>
              <w:spacing w:after="0"/>
              <w:rPr>
                <w:sz w:val="20"/>
                <w:szCs w:val="20"/>
                <w:color w:val="auto"/>
              </w:rPr>
            </w:pPr>
            <w:r>
              <w:rPr>
                <w:rFonts w:ascii="Arial" w:cs="Arial" w:eastAsia="Arial" w:hAnsi="Arial"/>
                <w:sz w:val="14"/>
                <w:szCs w:val="14"/>
                <w:color w:val="auto"/>
              </w:rPr>
              <w:t>150,469</w:t>
            </w:r>
          </w:p>
        </w:tc>
        <w:tc>
          <w:tcPr>
            <w:tcW w:w="0" w:type="dxa"/>
            <w:vAlign w:val="bottom"/>
          </w:tcPr>
          <w:p>
            <w:pPr>
              <w:spacing w:after="0"/>
              <w:rPr>
                <w:sz w:val="1"/>
                <w:szCs w:val="1"/>
                <w:color w:val="auto"/>
              </w:rPr>
            </w:pPr>
          </w:p>
        </w:tc>
      </w:tr>
      <w:tr>
        <w:trPr>
          <w:trHeight w:val="276"/>
        </w:trPr>
        <w:tc>
          <w:tcPr>
            <w:tcW w:w="424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Computer-aided design software</w:t>
            </w:r>
          </w:p>
        </w:tc>
        <w:tc>
          <w:tcPr>
            <w:tcW w:w="100" w:type="dxa"/>
            <w:vAlign w:val="bottom"/>
            <w:shd w:val="clear" w:color="auto" w:fill="CCEEFF"/>
          </w:tcPr>
          <w:p>
            <w:pPr>
              <w:spacing w:after="0"/>
              <w:rPr>
                <w:sz w:val="24"/>
                <w:szCs w:val="24"/>
                <w:color w:val="auto"/>
              </w:rPr>
            </w:pPr>
          </w:p>
        </w:tc>
        <w:tc>
          <w:tcPr>
            <w:tcW w:w="94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14,225</w:t>
            </w:r>
          </w:p>
        </w:tc>
        <w:tc>
          <w:tcPr>
            <w:tcW w:w="14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10,200</w:t>
            </w: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4"/>
                <w:szCs w:val="2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24"/>
                <w:szCs w:val="24"/>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24"/>
                <w:szCs w:val="2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24"/>
                <w:szCs w:val="24"/>
                <w:color w:val="auto"/>
              </w:rPr>
            </w:pPr>
          </w:p>
        </w:tc>
        <w:tc>
          <w:tcPr>
            <w:tcW w:w="74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24,425</w:t>
            </w:r>
          </w:p>
        </w:tc>
        <w:tc>
          <w:tcPr>
            <w:tcW w:w="0" w:type="dxa"/>
            <w:vAlign w:val="bottom"/>
          </w:tcPr>
          <w:p>
            <w:pPr>
              <w:spacing w:after="0"/>
              <w:rPr>
                <w:sz w:val="1"/>
                <w:szCs w:val="1"/>
                <w:color w:val="auto"/>
              </w:rPr>
            </w:pPr>
          </w:p>
        </w:tc>
      </w:tr>
      <w:tr>
        <w:trPr>
          <w:trHeight w:val="264"/>
        </w:trPr>
        <w:tc>
          <w:tcPr>
            <w:tcW w:w="4240" w:type="dxa"/>
            <w:vAlign w:val="bottom"/>
            <w:gridSpan w:val="2"/>
          </w:tcPr>
          <w:p>
            <w:pPr>
              <w:ind w:left="40"/>
              <w:spacing w:after="0"/>
              <w:rPr>
                <w:sz w:val="20"/>
                <w:szCs w:val="20"/>
                <w:color w:val="auto"/>
              </w:rPr>
            </w:pPr>
            <w:r>
              <w:rPr>
                <w:rFonts w:ascii="Arial" w:cs="Arial" w:eastAsia="Arial" w:hAnsi="Arial"/>
                <w:sz w:val="16"/>
                <w:szCs w:val="16"/>
                <w:color w:val="auto"/>
              </w:rPr>
              <w:t>Purchase commitments to foundries</w:t>
            </w:r>
          </w:p>
        </w:tc>
        <w:tc>
          <w:tcPr>
            <w:tcW w:w="100" w:type="dxa"/>
            <w:vAlign w:val="bottom"/>
          </w:tcPr>
          <w:p>
            <w:pPr>
              <w:spacing w:after="0"/>
              <w:rPr>
                <w:sz w:val="22"/>
                <w:szCs w:val="22"/>
                <w:color w:val="auto"/>
              </w:rPr>
            </w:pPr>
          </w:p>
        </w:tc>
        <w:tc>
          <w:tcPr>
            <w:tcW w:w="940" w:type="dxa"/>
            <w:vAlign w:val="bottom"/>
          </w:tcPr>
          <w:p>
            <w:pPr>
              <w:jc w:val="right"/>
              <w:ind w:right="48"/>
              <w:spacing w:after="0"/>
              <w:rPr>
                <w:sz w:val="20"/>
                <w:szCs w:val="20"/>
                <w:color w:val="auto"/>
              </w:rPr>
            </w:pPr>
            <w:r>
              <w:rPr>
                <w:rFonts w:ascii="Arial" w:cs="Arial" w:eastAsia="Arial" w:hAnsi="Arial"/>
                <w:sz w:val="14"/>
                <w:szCs w:val="14"/>
                <w:color w:val="auto"/>
              </w:rPr>
              <w:t>160,802</w:t>
            </w: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2"/>
                <w:szCs w:val="22"/>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tcPr>
          <w:p>
            <w:pPr>
              <w:spacing w:after="0"/>
              <w:rPr>
                <w:sz w:val="22"/>
                <w:szCs w:val="2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2"/>
                <w:szCs w:val="22"/>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2"/>
                <w:szCs w:val="22"/>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22"/>
                <w:szCs w:val="22"/>
                <w:color w:val="auto"/>
              </w:rPr>
            </w:pPr>
          </w:p>
        </w:tc>
        <w:tc>
          <w:tcPr>
            <w:tcW w:w="740" w:type="dxa"/>
            <w:vAlign w:val="bottom"/>
          </w:tcPr>
          <w:p>
            <w:pPr>
              <w:jc w:val="right"/>
              <w:ind w:right="28"/>
              <w:spacing w:after="0"/>
              <w:rPr>
                <w:sz w:val="20"/>
                <w:szCs w:val="20"/>
                <w:color w:val="auto"/>
              </w:rPr>
            </w:pPr>
            <w:r>
              <w:rPr>
                <w:rFonts w:ascii="Arial" w:cs="Arial" w:eastAsia="Arial" w:hAnsi="Arial"/>
                <w:sz w:val="14"/>
                <w:szCs w:val="14"/>
                <w:color w:val="auto"/>
              </w:rPr>
              <w:t>160,802</w:t>
            </w:r>
          </w:p>
        </w:tc>
        <w:tc>
          <w:tcPr>
            <w:tcW w:w="0" w:type="dxa"/>
            <w:vAlign w:val="bottom"/>
          </w:tcPr>
          <w:p>
            <w:pPr>
              <w:spacing w:after="0"/>
              <w:rPr>
                <w:sz w:val="1"/>
                <w:szCs w:val="1"/>
                <w:color w:val="auto"/>
              </w:rPr>
            </w:pPr>
          </w:p>
        </w:tc>
      </w:tr>
      <w:tr>
        <w:trPr>
          <w:trHeight w:val="276"/>
        </w:trPr>
        <w:tc>
          <w:tcPr>
            <w:tcW w:w="424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Capital purchase obligations</w:t>
            </w:r>
          </w:p>
        </w:tc>
        <w:tc>
          <w:tcPr>
            <w:tcW w:w="100" w:type="dxa"/>
            <w:vAlign w:val="bottom"/>
            <w:shd w:val="clear" w:color="auto" w:fill="CCEEFF"/>
          </w:tcPr>
          <w:p>
            <w:pPr>
              <w:spacing w:after="0"/>
              <w:rPr>
                <w:sz w:val="24"/>
                <w:szCs w:val="24"/>
                <w:color w:val="auto"/>
              </w:rPr>
            </w:pPr>
          </w:p>
        </w:tc>
        <w:tc>
          <w:tcPr>
            <w:tcW w:w="94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36,897</w:t>
            </w:r>
          </w:p>
        </w:tc>
        <w:tc>
          <w:tcPr>
            <w:tcW w:w="14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8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4"/>
                <w:szCs w:val="24"/>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4"/>
                <w:szCs w:val="2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24"/>
                <w:szCs w:val="24"/>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24"/>
                <w:szCs w:val="24"/>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shd w:val="clear" w:color="auto" w:fill="CCEEFF"/>
          </w:tcPr>
          <w:p>
            <w:pPr>
              <w:spacing w:after="0"/>
              <w:rPr>
                <w:sz w:val="24"/>
                <w:szCs w:val="24"/>
                <w:color w:val="auto"/>
              </w:rPr>
            </w:pPr>
          </w:p>
        </w:tc>
        <w:tc>
          <w:tcPr>
            <w:tcW w:w="74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36,897</w:t>
            </w:r>
          </w:p>
        </w:tc>
        <w:tc>
          <w:tcPr>
            <w:tcW w:w="0" w:type="dxa"/>
            <w:vAlign w:val="bottom"/>
          </w:tcPr>
          <w:p>
            <w:pPr>
              <w:spacing w:after="0"/>
              <w:rPr>
                <w:sz w:val="1"/>
                <w:szCs w:val="1"/>
                <w:color w:val="auto"/>
              </w:rPr>
            </w:pPr>
          </w:p>
        </w:tc>
      </w:tr>
      <w:tr>
        <w:trPr>
          <w:trHeight w:val="270"/>
        </w:trPr>
        <w:tc>
          <w:tcPr>
            <w:tcW w:w="4240" w:type="dxa"/>
            <w:vAlign w:val="bottom"/>
            <w:gridSpan w:val="2"/>
          </w:tcPr>
          <w:p>
            <w:pPr>
              <w:ind w:left="40"/>
              <w:spacing w:after="0"/>
              <w:rPr>
                <w:sz w:val="20"/>
                <w:szCs w:val="20"/>
                <w:color w:val="auto"/>
              </w:rPr>
            </w:pPr>
            <w:r>
              <w:rPr>
                <w:rFonts w:ascii="Arial" w:cs="Arial" w:eastAsia="Arial" w:hAnsi="Arial"/>
                <w:sz w:val="16"/>
                <w:szCs w:val="16"/>
                <w:color w:val="auto"/>
              </w:rPr>
              <w:t xml:space="preserve">Technology license obligations </w:t>
            </w:r>
            <w:r>
              <w:rPr>
                <w:rFonts w:ascii="Arial" w:cs="Arial" w:eastAsia="Arial" w:hAnsi="Arial"/>
                <w:sz w:val="21"/>
                <w:szCs w:val="21"/>
                <w:color w:val="auto"/>
                <w:vertAlign w:val="superscript"/>
              </w:rPr>
              <w:t>(1)</w:t>
            </w:r>
          </w:p>
        </w:tc>
        <w:tc>
          <w:tcPr>
            <w:tcW w:w="100" w:type="dxa"/>
            <w:vAlign w:val="bottom"/>
          </w:tcPr>
          <w:p>
            <w:pPr>
              <w:spacing w:after="0"/>
              <w:rPr>
                <w:sz w:val="23"/>
                <w:szCs w:val="23"/>
                <w:color w:val="auto"/>
              </w:rPr>
            </w:pPr>
          </w:p>
        </w:tc>
        <w:tc>
          <w:tcPr>
            <w:tcW w:w="940" w:type="dxa"/>
            <w:vAlign w:val="bottom"/>
          </w:tcPr>
          <w:p>
            <w:pPr>
              <w:jc w:val="right"/>
              <w:ind w:right="48"/>
              <w:spacing w:after="0"/>
              <w:rPr>
                <w:sz w:val="20"/>
                <w:szCs w:val="20"/>
                <w:color w:val="auto"/>
              </w:rPr>
            </w:pPr>
            <w:r>
              <w:rPr>
                <w:rFonts w:ascii="Arial" w:cs="Arial" w:eastAsia="Arial" w:hAnsi="Arial"/>
                <w:sz w:val="14"/>
                <w:szCs w:val="14"/>
                <w:color w:val="auto"/>
              </w:rPr>
              <w:t>22,934</w:t>
            </w: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20" w:type="dxa"/>
            <w:vAlign w:val="bottom"/>
          </w:tcPr>
          <w:p>
            <w:pPr>
              <w:jc w:val="right"/>
              <w:ind w:right="48"/>
              <w:spacing w:after="0"/>
              <w:rPr>
                <w:sz w:val="20"/>
                <w:szCs w:val="20"/>
                <w:color w:val="auto"/>
              </w:rPr>
            </w:pPr>
            <w:r>
              <w:rPr>
                <w:rFonts w:ascii="Arial" w:cs="Arial" w:eastAsia="Arial" w:hAnsi="Arial"/>
                <w:sz w:val="14"/>
                <w:szCs w:val="14"/>
                <w:color w:val="auto"/>
              </w:rPr>
              <w:t>30,522</w:t>
            </w: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40" w:type="dxa"/>
            <w:vAlign w:val="bottom"/>
          </w:tcPr>
          <w:p>
            <w:pPr>
              <w:jc w:val="right"/>
              <w:ind w:right="48"/>
              <w:spacing w:after="0"/>
              <w:rPr>
                <w:sz w:val="20"/>
                <w:szCs w:val="20"/>
                <w:color w:val="auto"/>
              </w:rPr>
            </w:pPr>
            <w:r>
              <w:rPr>
                <w:rFonts w:ascii="Arial" w:cs="Arial" w:eastAsia="Arial" w:hAnsi="Arial"/>
                <w:sz w:val="14"/>
                <w:szCs w:val="14"/>
                <w:color w:val="auto"/>
              </w:rPr>
              <w:t>7,800</w:t>
            </w: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23"/>
                <w:szCs w:val="23"/>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23"/>
                <w:szCs w:val="23"/>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160" w:type="dxa"/>
            <w:vAlign w:val="bottom"/>
          </w:tcPr>
          <w:p>
            <w:pPr>
              <w:spacing w:after="0"/>
              <w:rPr>
                <w:sz w:val="23"/>
                <w:szCs w:val="23"/>
                <w:color w:val="auto"/>
              </w:rPr>
            </w:pPr>
          </w:p>
        </w:tc>
        <w:tc>
          <w:tcPr>
            <w:tcW w:w="740" w:type="dxa"/>
            <w:vAlign w:val="bottom"/>
          </w:tcPr>
          <w:p>
            <w:pPr>
              <w:jc w:val="right"/>
              <w:ind w:right="28"/>
              <w:spacing w:after="0"/>
              <w:rPr>
                <w:sz w:val="20"/>
                <w:szCs w:val="20"/>
                <w:color w:val="auto"/>
              </w:rPr>
            </w:pPr>
            <w:r>
              <w:rPr>
                <w:rFonts w:ascii="Arial" w:cs="Arial" w:eastAsia="Arial" w:hAnsi="Arial"/>
                <w:sz w:val="14"/>
                <w:szCs w:val="14"/>
                <w:color w:val="auto"/>
              </w:rPr>
              <w:t>61,256</w:t>
            </w:r>
          </w:p>
        </w:tc>
        <w:tc>
          <w:tcPr>
            <w:tcW w:w="0" w:type="dxa"/>
            <w:vAlign w:val="bottom"/>
          </w:tcPr>
          <w:p>
            <w:pPr>
              <w:spacing w:after="0"/>
              <w:rPr>
                <w:sz w:val="1"/>
                <w:szCs w:val="1"/>
                <w:color w:val="auto"/>
              </w:rPr>
            </w:pPr>
          </w:p>
        </w:tc>
      </w:tr>
      <w:tr>
        <w:trPr>
          <w:trHeight w:val="270"/>
        </w:trPr>
        <w:tc>
          <w:tcPr>
            <w:tcW w:w="4240" w:type="dxa"/>
            <w:vAlign w:val="bottom"/>
            <w:gridSpan w:val="2"/>
            <w:shd w:val="clear" w:color="auto" w:fill="CCEEFF"/>
          </w:tcPr>
          <w:p>
            <w:pPr>
              <w:ind w:left="40"/>
              <w:spacing w:after="0"/>
              <w:rPr>
                <w:sz w:val="20"/>
                <w:szCs w:val="20"/>
                <w:color w:val="auto"/>
              </w:rPr>
            </w:pPr>
            <w:r>
              <w:rPr>
                <w:rFonts w:ascii="Arial" w:cs="Arial" w:eastAsia="Arial" w:hAnsi="Arial"/>
                <w:sz w:val="16"/>
                <w:szCs w:val="16"/>
                <w:color w:val="auto"/>
              </w:rPr>
              <w:t>Other non-current obligations</w:t>
            </w:r>
          </w:p>
        </w:tc>
        <w:tc>
          <w:tcPr>
            <w:tcW w:w="100" w:type="dxa"/>
            <w:vAlign w:val="bottom"/>
            <w:shd w:val="clear" w:color="auto" w:fill="CCEEFF"/>
          </w:tcPr>
          <w:p>
            <w:pPr>
              <w:spacing w:after="0"/>
              <w:rPr>
                <w:sz w:val="23"/>
                <w:szCs w:val="23"/>
                <w:color w:val="auto"/>
              </w:rPr>
            </w:pPr>
          </w:p>
        </w:tc>
        <w:tc>
          <w:tcPr>
            <w:tcW w:w="108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3"/>
                <w:szCs w:val="23"/>
                <w:color w:val="auto"/>
              </w:rPr>
            </w:pPr>
          </w:p>
        </w:tc>
        <w:tc>
          <w:tcPr>
            <w:tcW w:w="720" w:type="dxa"/>
            <w:vAlign w:val="bottom"/>
            <w:shd w:val="clear" w:color="auto" w:fill="CCEEFF"/>
          </w:tcPr>
          <w:p>
            <w:pPr>
              <w:jc w:val="right"/>
              <w:ind w:right="48"/>
              <w:spacing w:after="0"/>
              <w:rPr>
                <w:sz w:val="20"/>
                <w:szCs w:val="20"/>
                <w:color w:val="auto"/>
              </w:rPr>
            </w:pPr>
            <w:r>
              <w:rPr>
                <w:rFonts w:ascii="Arial" w:cs="Arial" w:eastAsia="Arial" w:hAnsi="Arial"/>
                <w:sz w:val="14"/>
                <w:szCs w:val="14"/>
                <w:color w:val="auto"/>
              </w:rPr>
              <w:t>4,933</w:t>
            </w:r>
          </w:p>
        </w:tc>
        <w:tc>
          <w:tcPr>
            <w:tcW w:w="12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23"/>
                <w:szCs w:val="23"/>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23"/>
                <w:szCs w:val="23"/>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23"/>
                <w:szCs w:val="23"/>
                <w:color w:val="auto"/>
              </w:rPr>
            </w:pPr>
          </w:p>
        </w:tc>
        <w:tc>
          <w:tcPr>
            <w:tcW w:w="78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1,563</w:t>
            </w:r>
          </w:p>
        </w:tc>
        <w:tc>
          <w:tcPr>
            <w:tcW w:w="10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740" w:type="dxa"/>
            <w:vAlign w:val="bottom"/>
            <w:shd w:val="clear" w:color="auto" w:fill="CCEEFF"/>
          </w:tcPr>
          <w:p>
            <w:pPr>
              <w:jc w:val="right"/>
              <w:ind w:right="28"/>
              <w:spacing w:after="0"/>
              <w:rPr>
                <w:sz w:val="20"/>
                <w:szCs w:val="20"/>
                <w:color w:val="auto"/>
              </w:rPr>
            </w:pPr>
            <w:r>
              <w:rPr>
                <w:rFonts w:ascii="Arial" w:cs="Arial" w:eastAsia="Arial" w:hAnsi="Arial"/>
                <w:sz w:val="14"/>
                <w:szCs w:val="14"/>
                <w:color w:val="auto"/>
              </w:rPr>
              <w:t>6,496</w:t>
            </w:r>
          </w:p>
        </w:tc>
        <w:tc>
          <w:tcPr>
            <w:tcW w:w="0" w:type="dxa"/>
            <w:vAlign w:val="bottom"/>
          </w:tcPr>
          <w:p>
            <w:pPr>
              <w:spacing w:after="0"/>
              <w:rPr>
                <w:sz w:val="1"/>
                <w:szCs w:val="1"/>
                <w:color w:val="auto"/>
              </w:rPr>
            </w:pPr>
          </w:p>
        </w:tc>
      </w:tr>
      <w:tr>
        <w:trPr>
          <w:trHeight w:val="231"/>
        </w:trPr>
        <w:tc>
          <w:tcPr>
            <w:tcW w:w="4240" w:type="dxa"/>
            <w:vAlign w:val="bottom"/>
            <w:gridSpan w:val="2"/>
          </w:tcPr>
          <w:p>
            <w:pPr>
              <w:ind w:left="40"/>
              <w:spacing w:after="0"/>
              <w:rPr>
                <w:sz w:val="20"/>
                <w:szCs w:val="20"/>
                <w:color w:val="auto"/>
              </w:rPr>
            </w:pPr>
            <w:r>
              <w:rPr>
                <w:rFonts w:ascii="Arial" w:cs="Arial" w:eastAsia="Arial" w:hAnsi="Arial"/>
                <w:sz w:val="16"/>
                <w:szCs w:val="16"/>
                <w:color w:val="auto"/>
              </w:rPr>
              <w:t>Total contractual cash obligations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94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291,316</w:t>
            </w:r>
          </w:p>
        </w:tc>
        <w:tc>
          <w:tcPr>
            <w:tcW w:w="140" w:type="dxa"/>
            <w:vAlign w:val="bottom"/>
          </w:tcPr>
          <w:p>
            <w:pPr>
              <w:spacing w:after="0"/>
              <w:rPr>
                <w:sz w:val="20"/>
                <w:szCs w:val="20"/>
                <w:color w:val="auto"/>
              </w:rPr>
            </w:pPr>
          </w:p>
        </w:tc>
        <w:tc>
          <w:tcPr>
            <w:tcW w:w="20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w w:val="76"/>
              </w:rPr>
              <w:t>$</w:t>
            </w:r>
          </w:p>
        </w:tc>
        <w:tc>
          <w:tcPr>
            <w:tcW w:w="72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153,643</w:t>
            </w:r>
          </w:p>
        </w:tc>
        <w:tc>
          <w:tcPr>
            <w:tcW w:w="120" w:type="dxa"/>
            <w:vAlign w:val="bottom"/>
          </w:tcPr>
          <w:p>
            <w:pPr>
              <w:spacing w:after="0"/>
              <w:rPr>
                <w:sz w:val="20"/>
                <w:szCs w:val="20"/>
                <w:color w:val="auto"/>
              </w:rPr>
            </w:pPr>
          </w:p>
        </w:tc>
        <w:tc>
          <w:tcPr>
            <w:tcW w:w="2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4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119,428</w:t>
            </w:r>
          </w:p>
        </w:tc>
        <w:tc>
          <w:tcPr>
            <w:tcW w:w="120" w:type="dxa"/>
            <w:vAlign w:val="bottom"/>
          </w:tcPr>
          <w:p>
            <w:pPr>
              <w:spacing w:after="0"/>
              <w:rPr>
                <w:sz w:val="20"/>
                <w:szCs w:val="20"/>
                <w:color w:val="auto"/>
              </w:rPr>
            </w:pPr>
          </w:p>
        </w:tc>
        <w:tc>
          <w:tcPr>
            <w:tcW w:w="2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982,960</w:t>
            </w:r>
          </w:p>
        </w:tc>
        <w:tc>
          <w:tcPr>
            <w:tcW w:w="100" w:type="dxa"/>
            <w:vAlign w:val="bottom"/>
          </w:tcPr>
          <w:p>
            <w:pPr>
              <w:spacing w:after="0"/>
              <w:rPr>
                <w:sz w:val="20"/>
                <w:szCs w:val="20"/>
                <w:color w:val="auto"/>
              </w:rPr>
            </w:pPr>
          </w:p>
        </w:tc>
        <w:tc>
          <w:tcPr>
            <w:tcW w:w="220" w:type="dxa"/>
            <w:vAlign w:val="bottom"/>
            <w:tcBorders>
              <w:top w:val="single" w:sz="8" w:color="auto"/>
              <w:bottom w:val="single" w:sz="8" w:color="auto"/>
            </w:tcBorders>
          </w:tcPr>
          <w:p>
            <w:pPr>
              <w:jc w:val="right"/>
              <w:ind w:right="48"/>
              <w:spacing w:after="0"/>
              <w:rPr>
                <w:sz w:val="20"/>
                <w:szCs w:val="20"/>
                <w:color w:val="auto"/>
              </w:rPr>
            </w:pPr>
            <w:r>
              <w:rPr>
                <w:rFonts w:ascii="Arial" w:cs="Arial" w:eastAsia="Arial" w:hAnsi="Arial"/>
                <w:sz w:val="14"/>
                <w:szCs w:val="14"/>
                <w:color w:val="auto"/>
              </w:rPr>
              <w:t>$</w:t>
            </w:r>
          </w:p>
        </w:tc>
        <w:tc>
          <w:tcPr>
            <w:tcW w:w="68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65,094</w:t>
            </w:r>
          </w:p>
        </w:tc>
        <w:tc>
          <w:tcPr>
            <w:tcW w:w="100" w:type="dxa"/>
            <w:vAlign w:val="bottom"/>
          </w:tcPr>
          <w:p>
            <w:pPr>
              <w:spacing w:after="0"/>
              <w:rPr>
                <w:sz w:val="20"/>
                <w:szCs w:val="20"/>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78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rPr>
              <w:t>1,168,581</w:t>
            </w:r>
          </w:p>
        </w:tc>
        <w:tc>
          <w:tcPr>
            <w:tcW w:w="100" w:type="dxa"/>
            <w:vAlign w:val="bottom"/>
          </w:tcPr>
          <w:p>
            <w:pPr>
              <w:spacing w:after="0"/>
              <w:rPr>
                <w:sz w:val="20"/>
                <w:szCs w:val="20"/>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color w:val="auto"/>
              </w:rPr>
              <w:t>$</w:t>
            </w:r>
          </w:p>
        </w:tc>
        <w:tc>
          <w:tcPr>
            <w:tcW w:w="740" w:type="dxa"/>
            <w:vAlign w:val="bottom"/>
            <w:tcBorders>
              <w:top w:val="single" w:sz="8" w:color="auto"/>
              <w:bottom w:val="single" w:sz="8" w:color="auto"/>
            </w:tcBorders>
          </w:tcPr>
          <w:p>
            <w:pPr>
              <w:jc w:val="right"/>
              <w:ind w:right="28"/>
              <w:spacing w:after="0"/>
              <w:rPr>
                <w:sz w:val="20"/>
                <w:szCs w:val="20"/>
                <w:color w:val="auto"/>
              </w:rPr>
            </w:pPr>
            <w:r>
              <w:rPr>
                <w:rFonts w:ascii="Arial" w:cs="Arial" w:eastAsia="Arial" w:hAnsi="Arial"/>
                <w:sz w:val="14"/>
                <w:szCs w:val="14"/>
                <w:color w:val="auto"/>
                <w:w w:val="99"/>
              </w:rPr>
              <w:t>2,781,022</w:t>
            </w:r>
          </w:p>
        </w:tc>
        <w:tc>
          <w:tcPr>
            <w:tcW w:w="0" w:type="dxa"/>
            <w:vAlign w:val="bottom"/>
          </w:tcPr>
          <w:p>
            <w:pPr>
              <w:spacing w:after="0"/>
              <w:rPr>
                <w:sz w:val="1"/>
                <w:szCs w:val="1"/>
                <w:color w:val="auto"/>
              </w:rPr>
            </w:pPr>
          </w:p>
        </w:tc>
      </w:tr>
      <w:tr>
        <w:trPr>
          <w:trHeight w:val="20"/>
        </w:trPr>
        <w:tc>
          <w:tcPr>
            <w:tcW w:w="224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240" w:type="dxa"/>
            <w:vAlign w:val="bottom"/>
            <w:tcBorders>
              <w:bottom w:val="single" w:sz="8" w:color="auto"/>
            </w:tcBorders>
          </w:tcPr>
          <w:p>
            <w:pPr>
              <w:spacing w:after="0"/>
              <w:rPr>
                <w:sz w:val="19"/>
                <w:szCs w:val="19"/>
                <w:color w:val="auto"/>
              </w:rPr>
            </w:pPr>
          </w:p>
        </w:tc>
        <w:tc>
          <w:tcPr>
            <w:tcW w:w="2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11" w:lineRule="exact"/>
        <w:rPr>
          <w:sz w:val="20"/>
          <w:szCs w:val="20"/>
          <w:color w:val="auto"/>
        </w:rPr>
      </w:pPr>
    </w:p>
    <w:p>
      <w:pPr>
        <w:ind w:left="660" w:hanging="652"/>
        <w:spacing w:after="0"/>
        <w:tabs>
          <w:tab w:leader="none" w:pos="660" w:val="left"/>
        </w:tabs>
        <w:numPr>
          <w:ilvl w:val="0"/>
          <w:numId w:val="10"/>
        </w:numPr>
        <w:rPr>
          <w:rFonts w:ascii="Arial" w:cs="Arial" w:eastAsia="Arial" w:hAnsi="Arial"/>
          <w:sz w:val="14"/>
          <w:szCs w:val="14"/>
          <w:color w:val="auto"/>
        </w:rPr>
      </w:pPr>
      <w:r>
        <w:rPr>
          <w:rFonts w:ascii="Arial" w:cs="Arial" w:eastAsia="Arial" w:hAnsi="Arial"/>
          <w:sz w:val="14"/>
          <w:szCs w:val="14"/>
          <w:color w:val="auto"/>
        </w:rPr>
        <w:t>Amounts represent anticipated future cash payments, including anticipated interest payments not recorded in the consolidated balance sheet.</w:t>
      </w: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130" w:right="239" w:bottom="1440" w:gutter="0" w:footer="0" w:header="0"/>
        </w:sectPr>
      </w:pPr>
    </w:p>
    <w:bookmarkStart w:id="41" w:name="page42"/>
    <w:bookmarkEnd w:id="4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firstLine="432"/>
        <w:spacing w:after="0" w:line="272" w:lineRule="auto"/>
        <w:rPr>
          <w:sz w:val="20"/>
          <w:szCs w:val="20"/>
          <w:color w:val="auto"/>
        </w:rPr>
      </w:pPr>
      <w:r>
        <w:rPr>
          <w:rFonts w:ascii="Arial" w:cs="Arial" w:eastAsia="Arial" w:hAnsi="Arial"/>
          <w:sz w:val="17"/>
          <w:szCs w:val="17"/>
          <w:color w:val="auto"/>
        </w:rPr>
        <w:t>In addition to the above commitments and contingencies, as of August 4, 2018, we have $18.0 million of unrecognized tax benefits as liabilities. We also have a liability for potential interest and penalties of $13.9 million as of August 4, 2018.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$13.5 million from the expiration of statutes of limitations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4"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See “Note 12 – Commitments and Contingencies” in the Notes to the Unaudited Condensed Consolidated Financial Statements set forth in Part I, Item 1 of this Quarterly Report on Form 10-Q.</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130" w:right="259" w:bottom="1440" w:gutter="0" w:footer="0" w:header="0"/>
        </w:sectPr>
      </w:pPr>
    </w:p>
    <w:bookmarkStart w:id="42" w:name="page43"/>
    <w:bookmarkEnd w:id="4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4" w:lineRule="exact"/>
        <w:rPr>
          <w:sz w:val="20"/>
          <w:szCs w:val="20"/>
          <w:color w:val="auto"/>
        </w:rPr>
      </w:pPr>
    </w:p>
    <w:p>
      <w:pPr>
        <w:ind w:right="400" w:firstLine="405"/>
        <w:spacing w:after="0" w:line="259"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following our acquisition of Cavium, we are exposed to various forms of market risk, including the</w:t>
      </w:r>
      <w:r>
        <w:rPr>
          <w:rFonts w:ascii="Arial" w:cs="Arial" w:eastAsia="Arial" w:hAnsi="Arial"/>
          <w:sz w:val="18"/>
          <w:szCs w:val="18"/>
          <w:i w:val="1"/>
          <w:iCs w:val="1"/>
          <w:color w:val="auto"/>
        </w:rPr>
        <w:t xml:space="preserve"> </w:t>
      </w:r>
      <w:r>
        <w:rPr>
          <w:rFonts w:ascii="Arial" w:cs="Arial" w:eastAsia="Arial" w:hAnsi="Arial"/>
          <w:sz w:val="18"/>
          <w:szCs w:val="18"/>
          <w:color w:val="auto"/>
        </w:rPr>
        <w:t>potential losses arising from adverse changes in interest rates on our outstanding Term Loan. See “Note 4 - Debt” for further information. A hypothetical increase or decrease in the interest rate by 1% would result in an increase or decrease in annual interest expense by approximately $3.9 million to $9.1 million.</w:t>
      </w:r>
    </w:p>
    <w:p>
      <w:pPr>
        <w:spacing w:after="0" w:line="52"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We maintain an investment policy that requires minimum credit ratings, diversification of credit risk and limits the long-term interest rate risk by requiring effective maturities of generally less than five years. We invest our excess cash in highly liquid and highly rated debt instruments of the U.S. government and its agencies, money market mutual funds, asset backed securities,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At August 4, 2018, our investment portfolio consisted of time deposits, which carry a fixed interest rate and are classified as held to maturity.</w:t>
      </w:r>
    </w:p>
    <w:p>
      <w:pPr>
        <w:spacing w:after="0" w:line="166" w:lineRule="exact"/>
        <w:rPr>
          <w:sz w:val="20"/>
          <w:szCs w:val="20"/>
          <w:color w:val="auto"/>
        </w:rPr>
      </w:pPr>
    </w:p>
    <w:p>
      <w:pPr>
        <w:ind w:right="20" w:firstLine="378"/>
        <w:spacing w:after="0" w:line="270" w:lineRule="auto"/>
        <w:rPr>
          <w:sz w:val="20"/>
          <w:szCs w:val="20"/>
          <w:color w:val="auto"/>
        </w:rPr>
      </w:pPr>
      <w:r>
        <w:rPr>
          <w:rFonts w:ascii="Arial" w:cs="Arial" w:eastAsia="Arial" w:hAnsi="Arial"/>
          <w:sz w:val="17"/>
          <w:szCs w:val="17"/>
          <w:i w:val="1"/>
          <w:iCs w:val="1"/>
          <w:color w:val="auto"/>
        </w:rPr>
        <w:t>Foreign Currency Exchange Risk</w:t>
      </w:r>
      <w:r>
        <w:rPr>
          <w:rFonts w:ascii="Arial" w:cs="Arial" w:eastAsia="Arial" w:hAnsi="Arial"/>
          <w:sz w:val="17"/>
          <w:szCs w:val="17"/>
          <w:color w:val="auto"/>
        </w:rPr>
        <w:t>. All of our sales and the majority of our expenses are denominated in U.S. dollars. Since we operate in many countries,</w:t>
      </w:r>
      <w:r>
        <w:rPr>
          <w:rFonts w:ascii="Arial" w:cs="Arial" w:eastAsia="Arial" w:hAnsi="Arial"/>
          <w:sz w:val="17"/>
          <w:szCs w:val="17"/>
          <w:i w:val="1"/>
          <w:iCs w:val="1"/>
          <w:color w:val="auto"/>
        </w:rPr>
        <w:t xml:space="preserve"> </w:t>
      </w:r>
      <w:r>
        <w:rPr>
          <w:rFonts w:ascii="Arial" w:cs="Arial" w:eastAsia="Arial" w:hAnsi="Arial"/>
          <w:sz w:val="17"/>
          <w:szCs w:val="17"/>
          <w:color w:val="auto"/>
        </w:rPr>
        <w:t>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82"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187" w:lineRule="exact"/>
        <w:rPr>
          <w:sz w:val="20"/>
          <w:szCs w:val="20"/>
          <w:color w:val="auto"/>
        </w:rPr>
      </w:pPr>
    </w:p>
    <w:p>
      <w:pPr>
        <w:jc w:val="both"/>
        <w:ind w:right="40" w:firstLine="378"/>
        <w:spacing w:after="0" w:line="264"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3%.</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Our management, with the participation of our principal executive officer and our principal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Chief Financial Officer, as appropriate, to allow timely decisions regarding required disclosure. Based on this evaluation, our principal executive officer and our principal financial officer concluded that, as of August 4, 2018, our disclosure controls and procedures were effective.</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August 4, 2018 that have materially affected, or are reasonably likely to materially affect, our internal control over financial reporting.</w:t>
      </w:r>
    </w:p>
    <w:p>
      <w:pPr>
        <w:spacing w:after="0" w:line="200" w:lineRule="exact"/>
        <w:rPr>
          <w:sz w:val="20"/>
          <w:szCs w:val="20"/>
          <w:color w:val="auto"/>
        </w:rPr>
      </w:pP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130" w:right="239" w:bottom="1440" w:gutter="0" w:footer="0" w:header="0"/>
        </w:sectPr>
      </w:pPr>
    </w:p>
    <w:bookmarkStart w:id="43" w:name="page44"/>
    <w:bookmarkEnd w:id="4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02"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130" w:right="239" w:bottom="1440" w:gutter="0" w:footer="0" w:header="0"/>
        </w:sectPr>
      </w:pPr>
    </w:p>
    <w:bookmarkStart w:id="44" w:name="page45"/>
    <w:bookmarkEnd w:id="4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4" w:lineRule="exact"/>
        <w:rPr>
          <w:sz w:val="20"/>
          <w:szCs w:val="20"/>
          <w:color w:val="auto"/>
        </w:rPr>
      </w:pPr>
    </w:p>
    <w:p>
      <w:pPr>
        <w:ind w:right="120" w:firstLine="405"/>
        <w:spacing w:after="0" w:line="264" w:lineRule="auto"/>
        <w:rPr>
          <w:sz w:val="20"/>
          <w:szCs w:val="20"/>
          <w:color w:val="auto"/>
        </w:rPr>
      </w:pPr>
      <w:r>
        <w:rPr>
          <w:rFonts w:ascii="Arial" w:cs="Arial" w:eastAsia="Arial" w:hAnsi="Arial"/>
          <w:sz w:val="18"/>
          <w:szCs w:val="18"/>
          <w:color w:val="auto"/>
        </w:rPr>
        <w:t>The information under the caption “Contingencies” as set forth in “Note 12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8"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121" w:lineRule="exact"/>
        <w:rPr>
          <w:sz w:val="20"/>
          <w:szCs w:val="20"/>
          <w:color w:val="auto"/>
        </w:rPr>
      </w:pPr>
    </w:p>
    <w:p>
      <w:pPr>
        <w:ind w:right="120"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Our Acquisition of Cavium</w:t>
      </w:r>
    </w:p>
    <w:p>
      <w:pPr>
        <w:spacing w:after="0" w:line="121" w:lineRule="exact"/>
        <w:rPr>
          <w:sz w:val="20"/>
          <w:szCs w:val="20"/>
          <w:color w:val="auto"/>
        </w:rPr>
      </w:pPr>
    </w:p>
    <w:p>
      <w:pPr>
        <w:ind w:right="160"/>
        <w:spacing w:after="0" w:line="375" w:lineRule="auto"/>
        <w:rPr>
          <w:sz w:val="20"/>
          <w:szCs w:val="20"/>
          <w:color w:val="auto"/>
        </w:rPr>
      </w:pPr>
      <w:r>
        <w:rPr>
          <w:rFonts w:ascii="Arial" w:cs="Arial" w:eastAsia="Arial" w:hAnsi="Arial"/>
          <w:sz w:val="15"/>
          <w:szCs w:val="15"/>
          <w:b w:val="1"/>
          <w:bCs w:val="1"/>
          <w:i w:val="1"/>
          <w:iCs w:val="1"/>
          <w:color w:val="auto"/>
        </w:rPr>
        <w:t>Our acquisition of Cavium involves a number of risks, including, among others, associated with our use of a significant portion of our cash and our taking on significant indebtedness, other financial risks, integration risks, and risk associated with the reactions of customers, suppliers and employees.</w:t>
      </w:r>
    </w:p>
    <w:p>
      <w:pPr>
        <w:spacing w:after="0" w:line="1" w:lineRule="exact"/>
        <w:rPr>
          <w:sz w:val="20"/>
          <w:szCs w:val="20"/>
          <w:color w:val="auto"/>
        </w:rPr>
      </w:pPr>
    </w:p>
    <w:p>
      <w:pPr>
        <w:ind w:right="460" w:firstLine="405"/>
        <w:spacing w:after="0" w:line="264" w:lineRule="auto"/>
        <w:rPr>
          <w:sz w:val="20"/>
          <w:szCs w:val="20"/>
          <w:color w:val="auto"/>
        </w:rPr>
      </w:pPr>
      <w:r>
        <w:rPr>
          <w:rFonts w:ascii="Arial" w:cs="Arial" w:eastAsia="Arial" w:hAnsi="Arial"/>
          <w:sz w:val="18"/>
          <w:szCs w:val="18"/>
          <w:color w:val="auto"/>
        </w:rPr>
        <w:t>We used a significant portion of our cash and incurred substantial indebtedness in connection with the financing of our acquisition of Cavium (the "Cavium acquisition") that will reduce our liquidity and may (i) limit our flexibility in responding to other business opportunities and (ii) increase our vulnerability to adverse economic and industry conditions.</w:t>
      </w:r>
    </w:p>
    <w:p>
      <w:pPr>
        <w:spacing w:after="0" w:line="73" w:lineRule="exact"/>
        <w:rPr>
          <w:sz w:val="20"/>
          <w:szCs w:val="20"/>
          <w:color w:val="auto"/>
        </w:rPr>
      </w:pPr>
    </w:p>
    <w:p>
      <w:pPr>
        <w:jc w:val="both"/>
        <w:ind w:firstLine="405"/>
        <w:spacing w:after="0" w:line="264" w:lineRule="auto"/>
        <w:rPr>
          <w:sz w:val="20"/>
          <w:szCs w:val="20"/>
          <w:color w:val="auto"/>
        </w:rPr>
      </w:pPr>
      <w:r>
        <w:rPr>
          <w:rFonts w:ascii="Arial" w:cs="Arial" w:eastAsia="Arial" w:hAnsi="Arial"/>
          <w:sz w:val="18"/>
          <w:szCs w:val="18"/>
          <w:color w:val="auto"/>
        </w:rPr>
        <w:t>The benefits we expect to realize from the Cavium acquisition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risks, any of which could harm our business."</w:t>
      </w:r>
    </w:p>
    <w:p>
      <w:pPr>
        <w:spacing w:after="0" w:line="73" w:lineRule="exact"/>
        <w:rPr>
          <w:sz w:val="20"/>
          <w:szCs w:val="20"/>
          <w:color w:val="auto"/>
        </w:rPr>
      </w:pPr>
    </w:p>
    <w:p>
      <w:pPr>
        <w:ind w:right="140" w:firstLine="405"/>
        <w:spacing w:after="0" w:line="254" w:lineRule="auto"/>
        <w:rPr>
          <w:sz w:val="20"/>
          <w:szCs w:val="20"/>
          <w:color w:val="auto"/>
        </w:rPr>
      </w:pPr>
      <w:r>
        <w:rPr>
          <w:rFonts w:ascii="Arial" w:cs="Arial" w:eastAsia="Arial" w:hAnsi="Arial"/>
          <w:sz w:val="18"/>
          <w:szCs w:val="18"/>
          <w:color w:val="auto"/>
        </w:rPr>
        <w:t>Prior to the Cavium acquisition, Marvell and Cavium operated as independent public companies. After the acquisition, we will devote significant management attention and resources to integrating the Cavium business. If we are unable to successfully integrate the businesses of Cavium with that of the Company, the combined company’s business, results of operations, financial condition or cash flows could be harmed. The challenges in integrating the operations of the companies include, among others:</w:t>
      </w:r>
    </w:p>
    <w:p>
      <w:pPr>
        <w:spacing w:after="0" w:line="2" w:lineRule="exact"/>
        <w:rPr>
          <w:sz w:val="20"/>
          <w:szCs w:val="20"/>
          <w:color w:val="auto"/>
        </w:rPr>
      </w:pPr>
    </w:p>
    <w:p>
      <w:pPr>
        <w:ind w:left="900" w:hanging="406"/>
        <w:spacing w:after="0"/>
        <w:tabs>
          <w:tab w:leader="none" w:pos="900" w:val="left"/>
        </w:tabs>
        <w:numPr>
          <w:ilvl w:val="0"/>
          <w:numId w:val="11"/>
        </w:numPr>
        <w:rPr>
          <w:rFonts w:ascii="Arial" w:cs="Arial" w:eastAsia="Arial" w:hAnsi="Arial"/>
          <w:sz w:val="17"/>
          <w:szCs w:val="17"/>
          <w:color w:val="auto"/>
        </w:rPr>
      </w:pPr>
      <w:r>
        <w:rPr>
          <w:rFonts w:ascii="Arial" w:cs="Arial" w:eastAsia="Arial" w:hAnsi="Arial"/>
          <w:sz w:val="17"/>
          <w:szCs w:val="17"/>
          <w:color w:val="auto"/>
        </w:rPr>
        <w:t>difficulties in achieving anticipated cost savings, synergies, business opportunities and growth prospects from combining the businesses;</w:t>
      </w:r>
    </w:p>
    <w:p>
      <w:pPr>
        <w:spacing w:after="0" w:line="20" w:lineRule="exact"/>
        <w:rPr>
          <w:rFonts w:ascii="Arial" w:cs="Arial" w:eastAsia="Arial" w:hAnsi="Arial"/>
          <w:sz w:val="17"/>
          <w:szCs w:val="17"/>
          <w:color w:val="auto"/>
        </w:rPr>
      </w:pPr>
    </w:p>
    <w:p>
      <w:pPr>
        <w:ind w:left="900" w:hanging="40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9" w:lineRule="exact"/>
        <w:rPr>
          <w:rFonts w:ascii="Arial" w:cs="Arial" w:eastAsia="Arial" w:hAnsi="Arial"/>
          <w:sz w:val="18"/>
          <w:szCs w:val="18"/>
          <w:color w:val="auto"/>
        </w:rPr>
      </w:pPr>
    </w:p>
    <w:p>
      <w:pPr>
        <w:ind w:left="900" w:hanging="40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9" w:lineRule="exact"/>
        <w:rPr>
          <w:rFonts w:ascii="Arial" w:cs="Arial" w:eastAsia="Arial" w:hAnsi="Arial"/>
          <w:sz w:val="18"/>
          <w:szCs w:val="18"/>
          <w:color w:val="auto"/>
        </w:rPr>
      </w:pPr>
    </w:p>
    <w:p>
      <w:pPr>
        <w:ind w:left="900" w:hanging="40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the assimilation of employees;</w:t>
      </w:r>
    </w:p>
    <w:p>
      <w:pPr>
        <w:spacing w:after="0" w:line="9" w:lineRule="exact"/>
        <w:rPr>
          <w:rFonts w:ascii="Arial" w:cs="Arial" w:eastAsia="Arial" w:hAnsi="Arial"/>
          <w:sz w:val="18"/>
          <w:szCs w:val="18"/>
          <w:color w:val="auto"/>
        </w:rPr>
      </w:pPr>
    </w:p>
    <w:p>
      <w:pPr>
        <w:ind w:left="900" w:hanging="40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 and</w:t>
      </w:r>
    </w:p>
    <w:p>
      <w:pPr>
        <w:spacing w:after="0" w:line="9" w:lineRule="exact"/>
        <w:rPr>
          <w:rFonts w:ascii="Arial" w:cs="Arial" w:eastAsia="Arial" w:hAnsi="Arial"/>
          <w:sz w:val="18"/>
          <w:szCs w:val="18"/>
          <w:color w:val="auto"/>
        </w:rPr>
      </w:pPr>
    </w:p>
    <w:p>
      <w:pPr>
        <w:ind w:left="900" w:hanging="40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challenges in maintaining existing, and establishing new, business relationships.</w:t>
      </w:r>
    </w:p>
    <w:p>
      <w:pPr>
        <w:spacing w:after="0" w:line="319"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Our and/or Cavium’s existing or prospective customers, licensees, suppliers and/or partners may delay, defer or cease purchasing products or services from or providing products or services to the combined company, delay or defer other decisions concerning the combined company, or otherwise seek to change the terms on which they do business with the combined company. Any of the above could harm the combined company and thus decrease the benefits we expect to receive from the acquisition.</w:t>
      </w:r>
    </w:p>
    <w:p>
      <w:pPr>
        <w:spacing w:after="0" w:line="187"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We may not fully realize the benefits we expect to receive from the transaction, such as increasing revenue or profits, or receive them in the anticipated time frame. In addition, if we have not identified or accurately assessed the magnitude of Cavium’s liabilities, it could result in unexpected litigation or regulatory exposure, unfavorable accounting charges, unexpected increases in taxes due, a loss of anticipated tax benefits or other adverse effects on our business, results of operations, financial condition or cash flows. Moreover, the completion of the acquisition and integration of the businesses could result in increased employee voluntary attrition. Loss of key or skilled personnel could adversely impact product development or other aspects of the Company's business and operations.</w:t>
      </w:r>
    </w:p>
    <w:p>
      <w:pPr>
        <w:spacing w:after="0" w:line="22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80"/>
          </w:cols>
          <w:pgMar w:left="240" w:top="130" w:right="279" w:bottom="1440" w:gutter="0" w:footer="0" w:header="0"/>
        </w:sectPr>
      </w:pPr>
    </w:p>
    <w:bookmarkStart w:id="45" w:name="page46"/>
    <w:bookmarkEnd w:id="4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The occurrence of any of these risks could have a material adverse effect on the combined company's business, results of operations, financial condition or cash flows.</w:t>
      </w:r>
    </w:p>
    <w:p>
      <w:pPr>
        <w:spacing w:after="0" w:line="197"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Our indebtedness could adversely affect our financial condition and our ability to raise additional capital to fund our operations and limit our ability to react to changes in the economy or our industry.</w:t>
      </w:r>
    </w:p>
    <w:p>
      <w:pPr>
        <w:spacing w:after="0" w:line="170"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August 4, 2018, the outstanding principal balance of the Term Loan amounted to $900.0 million.</w:t>
      </w:r>
    </w:p>
    <w:p>
      <w:pPr>
        <w:spacing w:after="0" w:line="181" w:lineRule="exact"/>
        <w:rPr>
          <w:sz w:val="20"/>
          <w:szCs w:val="20"/>
          <w:color w:val="auto"/>
        </w:rPr>
      </w:pPr>
    </w:p>
    <w:p>
      <w:pPr>
        <w:ind w:right="220" w:firstLine="405"/>
        <w:spacing w:after="0" w:line="257" w:lineRule="auto"/>
        <w:rPr>
          <w:sz w:val="20"/>
          <w:szCs w:val="20"/>
          <w:color w:val="auto"/>
        </w:rPr>
      </w:pPr>
      <w:r>
        <w:rPr>
          <w:rFonts w:ascii="Arial" w:cs="Arial" w:eastAsia="Arial" w:hAnsi="Arial"/>
          <w:sz w:val="18"/>
          <w:szCs w:val="18"/>
          <w:color w:val="auto"/>
        </w:rPr>
        <w:t>In addition to the Term Loan under the Credit Agreement, on June 22, 2018, we completed a public offering of (i) $500,000,000 aggregate principal amount of the Company’s 4.200% Senior Notes due 2023 (the “2023 Notes”) and (ii) $500,000,000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3" w:lineRule="exact"/>
        <w:rPr>
          <w:sz w:val="20"/>
          <w:szCs w:val="20"/>
          <w:color w:val="auto"/>
        </w:rPr>
      </w:pPr>
    </w:p>
    <w:p>
      <w:pPr>
        <w:ind w:left="820" w:hanging="326"/>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w:t>
      </w:r>
    </w:p>
    <w:p>
      <w:pPr>
        <w:spacing w:after="0" w:line="9" w:lineRule="exact"/>
        <w:rPr>
          <w:rFonts w:ascii="Arial" w:cs="Arial" w:eastAsia="Arial" w:hAnsi="Arial"/>
          <w:sz w:val="18"/>
          <w:szCs w:val="18"/>
          <w:color w:val="auto"/>
        </w:rPr>
      </w:pPr>
    </w:p>
    <w:p>
      <w:pPr>
        <w:ind w:left="820" w:right="40"/>
        <w:spacing w:after="0" w:line="250" w:lineRule="auto"/>
        <w:rPr>
          <w:rFonts w:ascii="Arial" w:cs="Arial" w:eastAsia="Arial" w:hAnsi="Arial"/>
          <w:sz w:val="18"/>
          <w:szCs w:val="18"/>
          <w:color w:val="auto"/>
        </w:rPr>
      </w:pPr>
      <w:r>
        <w:rPr>
          <w:rFonts w:ascii="Arial" w:cs="Arial" w:eastAsia="Arial" w:hAnsi="Arial"/>
          <w:sz w:val="18"/>
          <w:szCs w:val="18"/>
          <w:color w:val="auto"/>
        </w:rPr>
        <w:t>thereby reducing the availability of our cash flow to fund working capital, capital expenditures, research and development efforts, execution of our business strategy, acquisitions and other general corporate purposes;</w:t>
      </w:r>
    </w:p>
    <w:p>
      <w:pPr>
        <w:ind w:left="820" w:hanging="326"/>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9" w:lineRule="exact"/>
        <w:rPr>
          <w:rFonts w:ascii="Arial" w:cs="Arial" w:eastAsia="Arial" w:hAnsi="Arial"/>
          <w:sz w:val="18"/>
          <w:szCs w:val="18"/>
          <w:color w:val="auto"/>
        </w:rPr>
      </w:pPr>
    </w:p>
    <w:p>
      <w:pPr>
        <w:ind w:left="820" w:right="460" w:hanging="326"/>
        <w:spacing w:after="0" w:line="261" w:lineRule="auto"/>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184" w:lineRule="exact"/>
        <w:rPr>
          <w:sz w:val="20"/>
          <w:szCs w:val="20"/>
          <w:color w:val="auto"/>
        </w:rPr>
      </w:pPr>
    </w:p>
    <w:p>
      <w:pPr>
        <w:jc w:val="both"/>
        <w:ind w:right="200" w:firstLine="405"/>
        <w:spacing w:after="0" w:line="312" w:lineRule="auto"/>
        <w:rPr>
          <w:sz w:val="20"/>
          <w:szCs w:val="20"/>
          <w:color w:val="auto"/>
        </w:rPr>
      </w:pPr>
      <w:r>
        <w:rPr>
          <w:rFonts w:ascii="Arial" w:cs="Arial" w:eastAsia="Arial" w:hAnsi="Arial"/>
          <w:sz w:val="16"/>
          <w:szCs w:val="16"/>
          <w:color w:val="auto"/>
        </w:rPr>
        <w:t>Although the Credit Agreement contains restriction on the incurrence of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147"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The Credit Agreement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Adverse changes to our debt ratings could negatively affect our ability to raise additional capital to fund our operations.</w:t>
      </w:r>
    </w:p>
    <w:p>
      <w:pPr>
        <w:spacing w:after="0" w:line="225"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130" w:right="239" w:bottom="1440" w:gutter="0" w:footer="0" w:header="0"/>
        </w:sectPr>
      </w:pPr>
    </w:p>
    <w:bookmarkStart w:id="46" w:name="page47"/>
    <w:bookmarkEnd w:id="4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Credit Agreement and the indenture under which the Senior Notes were issued impose restrictions on our business.</w:t>
      </w:r>
    </w:p>
    <w:p>
      <w:pPr>
        <w:spacing w:after="0" w:line="117"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The Credit Agreement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 and the indenture for the Senior Notes. Our ability to meet the liquidity covenant set forth in the Credit Agreement may be affected by events beyond our control.</w:t>
      </w:r>
    </w:p>
    <w:p>
      <w:pPr>
        <w:spacing w:after="0" w:line="70" w:lineRule="exact"/>
        <w:rPr>
          <w:sz w:val="20"/>
          <w:szCs w:val="20"/>
          <w:color w:val="auto"/>
        </w:rPr>
      </w:pPr>
    </w:p>
    <w:p>
      <w:pPr>
        <w:jc w:val="both"/>
        <w:ind w:right="100" w:firstLine="405"/>
        <w:spacing w:after="0" w:line="264"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 or to the Senior Notes if for any reason we are unable to meet these requirements, or whether we will be able to refinance our indebtedness on terms acceptable to us, or at all.</w:t>
      </w:r>
    </w:p>
    <w:p>
      <w:pPr>
        <w:spacing w:after="0" w:line="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w:t>
      </w:r>
    </w:p>
    <w:p>
      <w:pPr>
        <w:spacing w:after="0" w:line="117" w:lineRule="exact"/>
        <w:rPr>
          <w:sz w:val="20"/>
          <w:szCs w:val="20"/>
          <w:color w:val="auto"/>
        </w:rPr>
      </w:pPr>
    </w:p>
    <w:p>
      <w:pPr>
        <w:ind w:right="20" w:firstLine="405"/>
        <w:spacing w:after="0" w:line="270" w:lineRule="auto"/>
        <w:rPr>
          <w:sz w:val="20"/>
          <w:szCs w:val="20"/>
          <w:color w:val="auto"/>
        </w:rPr>
      </w:pPr>
      <w:r>
        <w:rPr>
          <w:rFonts w:ascii="Arial" w:cs="Arial" w:eastAsia="Arial" w:hAnsi="Arial"/>
          <w:sz w:val="17"/>
          <w:szCs w:val="17"/>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under certain circumstances, be required to repurchase the Senior Notes at the option of the holder.</w:t>
      </w:r>
    </w:p>
    <w:p>
      <w:pPr>
        <w:spacing w:after="0" w:line="117" w:lineRule="exact"/>
        <w:rPr>
          <w:sz w:val="20"/>
          <w:szCs w:val="20"/>
          <w:color w:val="auto"/>
        </w:rPr>
      </w:pPr>
    </w:p>
    <w:p>
      <w:pPr>
        <w:ind w:right="20" w:firstLine="486"/>
        <w:spacing w:after="0" w:line="255" w:lineRule="auto"/>
        <w:rPr>
          <w:sz w:val="20"/>
          <w:szCs w:val="20"/>
          <w:color w:val="auto"/>
        </w:rPr>
      </w:pPr>
      <w:r>
        <w:rPr>
          <w:rFonts w:ascii="Arial" w:cs="Arial" w:eastAsia="Arial" w:hAnsi="Arial"/>
          <w:sz w:val="18"/>
          <w:szCs w:val="18"/>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Our Future Results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40"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62"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170" w:lineRule="exact"/>
        <w:rPr>
          <w:sz w:val="20"/>
          <w:szCs w:val="20"/>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ability to realize anticipated synergies in connection with the Cavium acquisition;</w:t>
      </w:r>
    </w:p>
    <w:p>
      <w:pPr>
        <w:spacing w:after="0" w:line="23" w:lineRule="exact"/>
        <w:rPr>
          <w:rFonts w:ascii="Arial" w:cs="Arial" w:eastAsia="Arial" w:hAnsi="Arial"/>
          <w:sz w:val="18"/>
          <w:szCs w:val="18"/>
          <w:color w:val="auto"/>
        </w:rPr>
      </w:pPr>
    </w:p>
    <w:p>
      <w:pPr>
        <w:ind w:left="820" w:right="140" w:hanging="420"/>
        <w:spacing w:after="0" w:line="250"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effects of any acquisitions, divestitures or significant investments, including the Cavium acquisition;</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2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130" w:right="239" w:bottom="1440" w:gutter="0" w:footer="0" w:header="0"/>
        </w:sectPr>
      </w:pPr>
    </w:p>
    <w:bookmarkStart w:id="47" w:name="page48"/>
    <w:bookmarkEnd w:id="4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left="820" w:right="440" w:hanging="420"/>
        <w:spacing w:after="0" w:line="258" w:lineRule="auto"/>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1" w:lineRule="exact"/>
        <w:rPr>
          <w:rFonts w:ascii="Arial" w:cs="Arial" w:eastAsia="Arial" w:hAnsi="Arial"/>
          <w:sz w:val="18"/>
          <w:szCs w:val="18"/>
          <w:color w:val="auto"/>
        </w:rPr>
      </w:pPr>
    </w:p>
    <w:p>
      <w:pPr>
        <w:ind w:left="820" w:right="240" w:hanging="420"/>
        <w:spacing w:after="0" w:line="250" w:lineRule="auto"/>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ind w:left="820" w:hanging="420"/>
        <w:spacing w:after="0"/>
        <w:tabs>
          <w:tab w:leader="none" w:pos="8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 w:lineRule="exact"/>
        <w:rPr>
          <w:rFonts w:ascii="Arial" w:cs="Arial" w:eastAsia="Arial" w:hAnsi="Arial"/>
          <w:sz w:val="18"/>
          <w:szCs w:val="18"/>
          <w:color w:val="auto"/>
        </w:rPr>
      </w:pPr>
    </w:p>
    <w:p>
      <w:pPr>
        <w:ind w:left="820" w:right="160" w:hanging="420"/>
        <w:spacing w:after="0" w:line="250" w:lineRule="auto"/>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 w:lineRule="exact"/>
        <w:rPr>
          <w:rFonts w:ascii="Arial" w:cs="Arial" w:eastAsia="Arial" w:hAnsi="Arial"/>
          <w:sz w:val="18"/>
          <w:szCs w:val="18"/>
          <w:color w:val="auto"/>
        </w:rPr>
      </w:pPr>
    </w:p>
    <w:p>
      <w:pPr>
        <w:ind w:left="820" w:right="360" w:hanging="420"/>
        <w:spacing w:after="0" w:line="281" w:lineRule="auto"/>
        <w:tabs>
          <w:tab w:leader="none" w:pos="8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1" w:lineRule="exact"/>
        <w:rPr>
          <w:rFonts w:ascii="Arial" w:cs="Arial" w:eastAsia="Arial" w:hAnsi="Arial"/>
          <w:sz w:val="16"/>
          <w:szCs w:val="16"/>
          <w:color w:val="auto"/>
        </w:rPr>
      </w:pPr>
    </w:p>
    <w:p>
      <w:pPr>
        <w:ind w:left="820" w:hanging="420"/>
        <w:spacing w:after="0"/>
        <w:tabs>
          <w:tab w:leader="none" w:pos="820"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114"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Due to fluctuations in our quarterly results of operations and other factors, the price at which our common shares will trade is likely to continue to be highly volatile. From January 29, 2017 through August 4, 2018, our common shares traded as low as $14.58 and as high as $25.18 per share.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70" w:lineRule="exact"/>
        <w:rPr>
          <w:sz w:val="20"/>
          <w:szCs w:val="20"/>
          <w:color w:val="auto"/>
        </w:rPr>
      </w:pPr>
    </w:p>
    <w:p>
      <w:pPr>
        <w:jc w:val="both"/>
        <w:ind w:right="20"/>
        <w:spacing w:after="0" w:line="286" w:lineRule="auto"/>
        <w:rPr>
          <w:sz w:val="20"/>
          <w:szCs w:val="20"/>
          <w:color w:val="auto"/>
        </w:rPr>
      </w:pPr>
      <w:r>
        <w:rPr>
          <w:rFonts w:ascii="Arial" w:cs="Arial" w:eastAsia="Arial" w:hAnsi="Arial"/>
          <w:sz w:val="17"/>
          <w:szCs w:val="17"/>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57" w:lineRule="exact"/>
        <w:rPr>
          <w:sz w:val="20"/>
          <w:szCs w:val="20"/>
          <w:color w:val="auto"/>
        </w:rPr>
      </w:pPr>
    </w:p>
    <w:p>
      <w:pPr>
        <w:ind w:right="100" w:firstLine="405"/>
        <w:spacing w:after="0" w:line="291" w:lineRule="auto"/>
        <w:rPr>
          <w:sz w:val="20"/>
          <w:szCs w:val="20"/>
          <w:color w:val="auto"/>
        </w:rPr>
      </w:pPr>
      <w:r>
        <w:rPr>
          <w:rFonts w:ascii="Arial" w:cs="Arial" w:eastAsia="Arial" w:hAnsi="Arial"/>
          <w:sz w:val="16"/>
          <w:szCs w:val="16"/>
          <w:color w:val="auto"/>
        </w:rPr>
        <w:t>We receive a significant amount of our revenue from a limited number of customers. Net revenue from our two largest customers represented 28% and 37% of our net revenue for the three months ended August 4, 2018 and July 29, 2017,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59" w:lineRule="exact"/>
        <w:rPr>
          <w:sz w:val="20"/>
          <w:szCs w:val="20"/>
          <w:color w:val="auto"/>
        </w:rPr>
      </w:pPr>
    </w:p>
    <w:p>
      <w:pPr>
        <w:ind w:right="120" w:firstLine="405"/>
        <w:spacing w:after="0" w:line="264" w:lineRule="auto"/>
        <w:rPr>
          <w:sz w:val="20"/>
          <w:szCs w:val="20"/>
          <w:color w:val="auto"/>
        </w:rPr>
      </w:pPr>
      <w:r>
        <w:rPr>
          <w:rFonts w:ascii="Arial" w:cs="Arial" w:eastAsia="Arial" w:hAnsi="Arial"/>
          <w:sz w:val="18"/>
          <w:szCs w:val="18"/>
          <w:color w:val="auto"/>
        </w:rPr>
        <w:t>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73" w:lineRule="exact"/>
        <w:rPr>
          <w:sz w:val="20"/>
          <w:szCs w:val="20"/>
          <w:color w:val="auto"/>
        </w:rPr>
      </w:pPr>
    </w:p>
    <w:p>
      <w:pPr>
        <w:ind w:left="820" w:right="400" w:hanging="420"/>
        <w:spacing w:after="0" w:line="258"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9" w:lineRule="exact"/>
        <w:rPr>
          <w:rFonts w:ascii="Arial" w:cs="Arial" w:eastAsia="Arial" w:hAnsi="Arial"/>
          <w:sz w:val="18"/>
          <w:szCs w:val="18"/>
          <w:color w:val="auto"/>
        </w:rPr>
      </w:pPr>
    </w:p>
    <w:p>
      <w:pPr>
        <w:ind w:left="820" w:right="180" w:hanging="420"/>
        <w:spacing w:after="0" w:line="255"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82" w:lineRule="exact"/>
        <w:rPr>
          <w:sz w:val="20"/>
          <w:szCs w:val="20"/>
          <w:color w:val="auto"/>
        </w:rPr>
      </w:pPr>
    </w:p>
    <w:p>
      <w:pPr>
        <w:ind w:right="260" w:firstLine="378"/>
        <w:spacing w:after="0" w:line="277" w:lineRule="auto"/>
        <w:rPr>
          <w:sz w:val="20"/>
          <w:szCs w:val="20"/>
          <w:color w:val="auto"/>
        </w:rPr>
      </w:pPr>
      <w:r>
        <w:rPr>
          <w:rFonts w:ascii="Arial" w:cs="Arial" w:eastAsia="Arial" w:hAnsi="Arial"/>
          <w:sz w:val="18"/>
          <w:szCs w:val="18"/>
          <w:color w:val="auto"/>
        </w:rPr>
        <w:t>In addition, if regulatory activity, such as enforcement of U.S. export control and sanctions laws, were to materially limit our ability to makes sales to any of our significant customers, it could harm our results of operations, reputation and financial condition.</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130" w:right="259" w:bottom="1440" w:gutter="0" w:footer="0" w:header="0"/>
        </w:sectPr>
      </w:pPr>
    </w:p>
    <w:bookmarkStart w:id="48" w:name="page49"/>
    <w:bookmarkEnd w:id="4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62"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79" w:lineRule="exact"/>
        <w:rPr>
          <w:sz w:val="20"/>
          <w:szCs w:val="20"/>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key personnel of an acquired company may decide not to work for us;</w:t>
      </w:r>
    </w:p>
    <w:p>
      <w:pPr>
        <w:spacing w:after="0" w:line="9"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ind w:left="820" w:right="340" w:hanging="420"/>
        <w:spacing w:after="0" w:line="250"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w:t>
      </w: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9" w:lineRule="exact"/>
        <w:rPr>
          <w:rFonts w:ascii="Arial" w:cs="Arial" w:eastAsia="Arial" w:hAnsi="Arial"/>
          <w:sz w:val="18"/>
          <w:szCs w:val="18"/>
          <w:color w:val="auto"/>
        </w:rPr>
      </w:pPr>
    </w:p>
    <w:p>
      <w:pPr>
        <w:ind w:left="820" w:right="740" w:hanging="420"/>
        <w:spacing w:after="0" w:line="250"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103" w:lineRule="exact"/>
        <w:rPr>
          <w:sz w:val="20"/>
          <w:szCs w:val="20"/>
          <w:color w:val="auto"/>
        </w:rPr>
      </w:pPr>
    </w:p>
    <w:p>
      <w:pPr>
        <w:ind w:right="220" w:firstLine="378"/>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39" w:lineRule="exact"/>
        <w:rPr>
          <w:sz w:val="20"/>
          <w:szCs w:val="20"/>
          <w:color w:val="auto"/>
        </w:rPr>
      </w:pPr>
    </w:p>
    <w:p>
      <w:pPr>
        <w:jc w:val="both"/>
        <w:ind w:right="20" w:firstLine="378"/>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6"/>
          <w:szCs w:val="16"/>
          <w:color w:val="auto"/>
        </w:rPr>
        <w:t>If we do enter into agreements with respect to acquisitions, divestitures, or other transactions, we may fail to complete them due to factors such as:</w:t>
      </w:r>
    </w:p>
    <w:p>
      <w:pPr>
        <w:spacing w:after="0" w:line="140" w:lineRule="exact"/>
        <w:rPr>
          <w:sz w:val="20"/>
          <w:szCs w:val="20"/>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IP disputes or other litigation; or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103" w:lineRule="exact"/>
        <w:rPr>
          <w:sz w:val="20"/>
          <w:szCs w:val="20"/>
          <w:color w:val="auto"/>
        </w:rPr>
      </w:pPr>
    </w:p>
    <w:p>
      <w:pPr>
        <w:ind w:right="380" w:firstLine="378"/>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6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Our failure to compete effectively would harm our results of operations.</w:t>
      </w:r>
    </w:p>
    <w:p>
      <w:pPr>
        <w:spacing w:after="0" w:line="117" w:lineRule="exact"/>
        <w:rPr>
          <w:sz w:val="20"/>
          <w:szCs w:val="20"/>
          <w:color w:val="auto"/>
        </w:rPr>
      </w:pPr>
    </w:p>
    <w:p>
      <w:pPr>
        <w:ind w:right="60" w:firstLine="378"/>
        <w:spacing w:after="0" w:line="255" w:lineRule="auto"/>
        <w:rPr>
          <w:sz w:val="20"/>
          <w:szCs w:val="20"/>
          <w:color w:val="auto"/>
        </w:rPr>
      </w:pPr>
      <w:r>
        <w:rPr>
          <w:rFonts w:ascii="Arial" w:cs="Arial" w:eastAsia="Arial" w:hAnsi="Arial"/>
          <w:sz w:val="18"/>
          <w:szCs w:val="18"/>
          <w:color w:val="auto"/>
        </w:rPr>
        <w:t>The semiconductor industry, and specifically the storage, networking and connectivity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and SSD storage markets. Additionally, customer expectations and requirements have been evolving rapidly. For example, customers now expect us to provide turnkey solutions and commit to future roadmaps that have technical risks.</w:t>
      </w:r>
    </w:p>
    <w:p>
      <w:pPr>
        <w:spacing w:after="0" w:line="2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130" w:right="259" w:bottom="1440" w:gutter="0" w:footer="0" w:header="0"/>
        </w:sectPr>
      </w:pPr>
    </w:p>
    <w:bookmarkStart w:id="49" w:name="page50"/>
    <w:bookmarkEnd w:id="4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firstLine="378"/>
        <w:spacing w:after="0" w:line="269"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 such as bundling multiple products and pricing.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 As the technology inflections happen, our competitors may get ahead of us and negatively impact our market share.</w:t>
      </w:r>
    </w:p>
    <w:p>
      <w:pPr>
        <w:spacing w:after="0" w:line="75" w:lineRule="exact"/>
        <w:rPr>
          <w:sz w:val="20"/>
          <w:szCs w:val="20"/>
          <w:color w:val="auto"/>
        </w:rPr>
      </w:pPr>
    </w:p>
    <w:p>
      <w:pPr>
        <w:ind w:right="100" w:firstLine="378"/>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Avago Technologies Limited (now Broadcom Limited (“Broadcom”)) acquired Broadcom Corporation in February 2016 and LSI Corporation in May 2014; Intel acquired Altera Corporation in December 2015; and NXP Semiconductors acquired Freescale Semiconductor, Ltd. in December 2015. Consolidation among our competitors could lead to a changing competitive landscape, capabilities and market share, which could put us at a competitive disadvantage and harm our results of operations.</w:t>
      </w:r>
    </w:p>
    <w:p>
      <w:pPr>
        <w:spacing w:after="0" w:line="188" w:lineRule="exact"/>
        <w:rPr>
          <w:sz w:val="20"/>
          <w:szCs w:val="20"/>
          <w:color w:val="auto"/>
        </w:rPr>
      </w:pPr>
    </w:p>
    <w:p>
      <w:pPr>
        <w:ind w:right="160"/>
        <w:spacing w:after="0" w:line="375" w:lineRule="auto"/>
        <w:rPr>
          <w:sz w:val="20"/>
          <w:szCs w:val="20"/>
          <w:color w:val="auto"/>
        </w:rPr>
      </w:pPr>
      <w:r>
        <w:rPr>
          <w:rFonts w:ascii="Arial" w:cs="Arial" w:eastAsia="Arial" w:hAnsi="Arial"/>
          <w:sz w:val="15"/>
          <w:szCs w:val="15"/>
          <w:b w:val="1"/>
          <w:bCs w:val="1"/>
          <w:i w:val="1"/>
          <w:i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1"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66"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29" w:lineRule="exact"/>
        <w:rPr>
          <w:sz w:val="20"/>
          <w:szCs w:val="20"/>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our customers may experience changed market conditions or product development issues.</w:t>
      </w:r>
    </w:p>
    <w:p>
      <w:pPr>
        <w:spacing w:after="0" w:line="200" w:lineRule="exact"/>
        <w:rPr>
          <w:sz w:val="20"/>
          <w:szCs w:val="20"/>
          <w:color w:val="auto"/>
        </w:rPr>
      </w:pPr>
    </w:p>
    <w:p>
      <w:pPr>
        <w:spacing w:after="0" w:line="227"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130" w:right="259" w:bottom="1440" w:gutter="0" w:footer="0" w:header="0"/>
        </w:sectPr>
      </w:pPr>
    </w:p>
    <w:bookmarkStart w:id="50" w:name="page51"/>
    <w:bookmarkEnd w:id="5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397" w:lineRule="exact"/>
        <w:rPr>
          <w:sz w:val="20"/>
          <w:szCs w:val="20"/>
          <w:color w:val="auto"/>
        </w:rPr>
      </w:pPr>
    </w:p>
    <w:p>
      <w:pPr>
        <w:ind w:right="560"/>
        <w:spacing w:after="0" w:line="308" w:lineRule="auto"/>
        <w:rPr>
          <w:sz w:val="20"/>
          <w:szCs w:val="20"/>
          <w:color w:val="auto"/>
        </w:rPr>
      </w:pPr>
      <w:r>
        <w:rPr>
          <w:rFonts w:ascii="Arial" w:cs="Arial" w:eastAsia="Arial" w:hAnsi="Arial"/>
          <w:sz w:val="17"/>
          <w:szCs w:val="17"/>
          <w:b w:val="1"/>
          <w:bCs w:val="1"/>
          <w:i w:val="1"/>
          <w:iCs w:val="1"/>
          <w:color w:val="auto"/>
        </w:rPr>
        <w:t>A significant portion of our business is dependent on the HDD and SSD storage industry, which is highly cyclical, experiences rapid technological change, is subject to industry consolidation and is facing increased competition from alternative technologies.</w:t>
      </w:r>
    </w:p>
    <w:p>
      <w:pPr>
        <w:spacing w:after="0" w:line="38" w:lineRule="exact"/>
        <w:rPr>
          <w:sz w:val="20"/>
          <w:szCs w:val="20"/>
          <w:color w:val="auto"/>
        </w:rPr>
      </w:pPr>
    </w:p>
    <w:p>
      <w:pPr>
        <w:ind w:firstLine="378"/>
        <w:spacing w:after="0" w:line="264" w:lineRule="auto"/>
        <w:rPr>
          <w:sz w:val="20"/>
          <w:szCs w:val="20"/>
          <w:color w:val="auto"/>
        </w:rPr>
      </w:pPr>
      <w:r>
        <w:rPr>
          <w:rFonts w:ascii="Arial" w:cs="Arial" w:eastAsia="Arial" w:hAnsi="Arial"/>
          <w:sz w:val="18"/>
          <w:szCs w:val="18"/>
          <w:color w:val="auto"/>
        </w:rPr>
        <w:t>The HDD industry is intensely competitive and technology inflections are happening rapidly. 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73" w:lineRule="exact"/>
        <w:rPr>
          <w:sz w:val="20"/>
          <w:szCs w:val="20"/>
          <w:color w:val="auto"/>
        </w:rPr>
      </w:pPr>
    </w:p>
    <w:p>
      <w:pPr>
        <w:ind w:right="140" w:firstLine="378"/>
        <w:spacing w:after="0" w:line="264"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73"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In addition, the HDD industry has experienced significant consolidation.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79" w:lineRule="exact"/>
        <w:rPr>
          <w:sz w:val="20"/>
          <w:szCs w:val="20"/>
          <w:color w:val="auto"/>
        </w:rPr>
      </w:pPr>
    </w:p>
    <w:p>
      <w:pPr>
        <w:ind w:right="180" w:firstLine="378"/>
        <w:spacing w:after="0" w:line="259"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79" w:lineRule="exact"/>
        <w:rPr>
          <w:sz w:val="20"/>
          <w:szCs w:val="20"/>
          <w:color w:val="auto"/>
        </w:rPr>
      </w:pPr>
    </w:p>
    <w:p>
      <w:pPr>
        <w:ind w:right="100" w:firstLine="378"/>
        <w:spacing w:after="0" w:line="264" w:lineRule="auto"/>
        <w:rPr>
          <w:sz w:val="20"/>
          <w:szCs w:val="20"/>
          <w:color w:val="auto"/>
        </w:rPr>
      </w:pPr>
      <w:r>
        <w:rPr>
          <w:rFonts w:ascii="Arial" w:cs="Arial" w:eastAsia="Arial" w:hAnsi="Arial"/>
          <w:sz w:val="18"/>
          <w:szCs w:val="18"/>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w:t>
      </w:r>
    </w:p>
    <w:p>
      <w:pPr>
        <w:spacing w:after="0" w:line="73"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62" w:lineRule="exact"/>
        <w:rPr>
          <w:sz w:val="20"/>
          <w:szCs w:val="20"/>
          <w:color w:val="auto"/>
        </w:rPr>
      </w:pPr>
    </w:p>
    <w:p>
      <w:pPr>
        <w:ind w:right="180" w:firstLine="378"/>
        <w:spacing w:after="0" w:line="297"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in a timely and cost-effective manner.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p>
    <w:p>
      <w:pPr>
        <w:spacing w:after="0" w:line="50" w:lineRule="exact"/>
        <w:rPr>
          <w:sz w:val="20"/>
          <w:szCs w:val="20"/>
          <w:color w:val="auto"/>
        </w:rPr>
      </w:pPr>
    </w:p>
    <w:p>
      <w:pPr>
        <w:ind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80"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62" w:lineRule="exact"/>
        <w:rPr>
          <w:sz w:val="20"/>
          <w:szCs w:val="20"/>
          <w:color w:val="auto"/>
        </w:rPr>
      </w:pPr>
    </w:p>
    <w:p>
      <w:pPr>
        <w:ind w:right="40" w:firstLine="405"/>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130" w:right="259" w:bottom="1440" w:gutter="0" w:footer="0" w:header="0"/>
        </w:sectPr>
      </w:pPr>
    </w:p>
    <w:bookmarkStart w:id="51" w:name="page52"/>
    <w:bookmarkEnd w:id="5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74" w:lineRule="exact"/>
        <w:rPr>
          <w:sz w:val="20"/>
          <w:szCs w:val="20"/>
          <w:color w:val="auto"/>
        </w:rPr>
      </w:pPr>
    </w:p>
    <w:p>
      <w:pPr>
        <w:ind w:right="400" w:firstLine="405"/>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38"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73" w:lineRule="exact"/>
        <w:rPr>
          <w:sz w:val="20"/>
          <w:szCs w:val="20"/>
          <w:color w:val="auto"/>
        </w:rPr>
      </w:pPr>
    </w:p>
    <w:p>
      <w:pPr>
        <w:jc w:val="both"/>
        <w:ind w:right="24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117" w:lineRule="exact"/>
        <w:rPr>
          <w:sz w:val="20"/>
          <w:szCs w:val="20"/>
          <w:color w:val="auto"/>
        </w:rPr>
      </w:pPr>
    </w:p>
    <w:p>
      <w:pPr>
        <w:ind w:right="180" w:firstLine="378"/>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58"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117"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67"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130" w:right="239" w:bottom="1440" w:gutter="0" w:footer="0" w:header="0"/>
        </w:sectPr>
      </w:pPr>
    </w:p>
    <w:bookmarkStart w:id="52" w:name="page53"/>
    <w:bookmarkEnd w:id="5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85"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117" w:lineRule="exact"/>
        <w:rPr>
          <w:sz w:val="20"/>
          <w:szCs w:val="20"/>
          <w:color w:val="auto"/>
        </w:rPr>
      </w:pPr>
    </w:p>
    <w:p>
      <w:pPr>
        <w:ind w:firstLine="378"/>
        <w:spacing w:after="0" w:line="253" w:lineRule="auto"/>
        <w:rPr>
          <w:sz w:val="20"/>
          <w:szCs w:val="20"/>
          <w:color w:val="auto"/>
        </w:rPr>
      </w:pPr>
      <w:r>
        <w:rPr>
          <w:rFonts w:ascii="Arial" w:cs="Arial" w:eastAsia="Arial" w:hAnsi="Arial"/>
          <w:sz w:val="18"/>
          <w:szCs w:val="18"/>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 adverse effect on</w:t>
      </w:r>
      <w:r>
        <w:rPr>
          <w:rFonts w:ascii="Arial" w:cs="Arial" w:eastAsia="Arial" w:hAnsi="Arial"/>
          <w:sz w:val="18"/>
          <w:szCs w:val="18"/>
          <w:color w:val="auto"/>
        </w:rPr>
        <w:t xml:space="preserve"> </w:t>
      </w:r>
      <w:r>
        <w:rPr>
          <w:rFonts w:ascii="Arial" w:cs="Arial" w:eastAsia="Arial" w:hAnsi="Arial"/>
          <w:sz w:val="18"/>
          <w:szCs w:val="18"/>
          <w:i w:val="1"/>
          <w:iCs w:val="1"/>
          <w:color w:val="auto"/>
        </w:rPr>
        <w:t>us.</w:t>
      </w:r>
      <w:r>
        <w:rPr>
          <w:rFonts w:ascii="Arial" w:cs="Arial" w:eastAsia="Arial" w:hAnsi="Arial"/>
          <w:sz w:val="18"/>
          <w:szCs w:val="18"/>
          <w:color w:val="auto"/>
        </w:rPr>
        <w:t>”</w:t>
      </w:r>
    </w:p>
    <w:p>
      <w:pPr>
        <w:spacing w:after="0" w:line="87" w:lineRule="exact"/>
        <w:rPr>
          <w:sz w:val="20"/>
          <w:szCs w:val="20"/>
          <w:color w:val="auto"/>
        </w:rPr>
      </w:pPr>
    </w:p>
    <w:p>
      <w:pPr>
        <w:jc w:val="both"/>
        <w:ind w:right="50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117" w:lineRule="exact"/>
        <w:rPr>
          <w:sz w:val="20"/>
          <w:szCs w:val="20"/>
          <w:color w:val="auto"/>
        </w:rPr>
      </w:pPr>
    </w:p>
    <w:p>
      <w:pPr>
        <w:ind w:right="22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73"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62"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In addition, the cost of developing products with increasingly smaller line width geometries requires significantly higher investment and risk.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57"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80" w:lineRule="exact"/>
        <w:rPr>
          <w:sz w:val="20"/>
          <w:szCs w:val="20"/>
          <w:color w:val="auto"/>
        </w:rPr>
      </w:pPr>
    </w:p>
    <w:p>
      <w:pPr>
        <w:ind w:right="20" w:firstLine="405"/>
        <w:spacing w:after="0" w:line="279" w:lineRule="auto"/>
        <w:rPr>
          <w:sz w:val="20"/>
          <w:szCs w:val="20"/>
          <w:color w:val="auto"/>
        </w:rPr>
      </w:pPr>
      <w:r>
        <w:rPr>
          <w:rFonts w:ascii="Arial" w:cs="Arial" w:eastAsia="Arial" w:hAnsi="Arial"/>
          <w:sz w:val="17"/>
          <w:szCs w:val="17"/>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130" w:right="259" w:bottom="1440" w:gutter="0" w:footer="0" w:header="0"/>
        </w:sectPr>
      </w:pPr>
    </w:p>
    <w:bookmarkStart w:id="53" w:name="page54"/>
    <w:bookmarkEnd w:id="5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62" w:lineRule="exact"/>
        <w:rPr>
          <w:sz w:val="20"/>
          <w:szCs w:val="20"/>
          <w:color w:val="auto"/>
        </w:rPr>
      </w:pPr>
    </w:p>
    <w:p>
      <w:pPr>
        <w:ind w:right="80" w:firstLine="378"/>
        <w:spacing w:after="0" w:line="273" w:lineRule="auto"/>
        <w:rPr>
          <w:sz w:val="20"/>
          <w:szCs w:val="20"/>
          <w:color w:val="auto"/>
        </w:rPr>
      </w:pPr>
      <w:r>
        <w:rPr>
          <w:rFonts w:ascii="Arial" w:cs="Arial" w:eastAsia="Arial" w:hAnsi="Arial"/>
          <w:sz w:val="17"/>
          <w:szCs w:val="17"/>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have incurred significant indemnification expenses in connection with the Audit Committee's independent investigation completed in March 2016 and related shareholder litigation and pending government investigations.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w:t>
      </w:r>
    </w:p>
    <w:p>
      <w:pPr>
        <w:spacing w:after="0" w:line="70" w:lineRule="exact"/>
        <w:rPr>
          <w:sz w:val="20"/>
          <w:szCs w:val="20"/>
          <w:color w:val="auto"/>
        </w:rPr>
      </w:pPr>
    </w:p>
    <w:p>
      <w:pPr>
        <w:jc w:val="both"/>
        <w:ind w:right="260" w:firstLine="378"/>
        <w:spacing w:after="0" w:line="264" w:lineRule="auto"/>
        <w:rPr>
          <w:sz w:val="20"/>
          <w:szCs w:val="20"/>
          <w:color w:val="auto"/>
        </w:rPr>
      </w:pPr>
      <w:r>
        <w:rPr>
          <w:rFonts w:ascii="Arial" w:cs="Arial" w:eastAsia="Arial" w:hAnsi="Arial"/>
          <w:sz w:val="18"/>
          <w:szCs w:val="18"/>
          <w:color w:val="auto"/>
        </w:rPr>
        <w:t>Indemnification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any amounts we previously advanced to them.</w:t>
      </w:r>
    </w:p>
    <w:p>
      <w:pPr>
        <w:spacing w:after="0" w:line="73"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117" w:lineRule="exact"/>
        <w:rPr>
          <w:sz w:val="20"/>
          <w:szCs w:val="20"/>
          <w:color w:val="auto"/>
        </w:rPr>
      </w:pPr>
    </w:p>
    <w:p>
      <w:pPr>
        <w:ind w:right="16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73" w:lineRule="exact"/>
        <w:rPr>
          <w:sz w:val="20"/>
          <w:szCs w:val="20"/>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103"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280" w:firstLine="405"/>
        <w:spacing w:after="0" w:line="279"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63"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b w:val="1"/>
          <w:bCs w:val="1"/>
          <w:i w:val="1"/>
          <w:iCs w:val="1"/>
          <w:color w:val="auto"/>
        </w:rPr>
        <w:t>We have experienced a significant transition at the executive management level in the last two years. If our executive team is unable to engage and align mid-management or attract and retain the key talent needed for us to timely achieve our business objectives, our business and results of operations could be harmed.</w:t>
      </w:r>
    </w:p>
    <w:p>
      <w:pPr>
        <w:spacing w:after="0" w:line="73" w:lineRule="exact"/>
        <w:rPr>
          <w:sz w:val="20"/>
          <w:szCs w:val="20"/>
          <w:color w:val="auto"/>
        </w:rPr>
      </w:pPr>
    </w:p>
    <w:p>
      <w:pPr>
        <w:ind w:right="20" w:firstLine="648"/>
        <w:spacing w:after="0" w:line="302" w:lineRule="auto"/>
        <w:rPr>
          <w:sz w:val="20"/>
          <w:szCs w:val="20"/>
          <w:color w:val="auto"/>
        </w:rPr>
      </w:pPr>
      <w:r>
        <w:rPr>
          <w:rFonts w:ascii="Arial" w:cs="Arial" w:eastAsia="Arial" w:hAnsi="Arial"/>
          <w:sz w:val="16"/>
          <w:szCs w:val="16"/>
          <w:color w:val="auto"/>
        </w:rPr>
        <w:t>Our executive management team has gone through a complete transition in the last two years, including the hiring of a new President and CEO, Chief Financial Officer, Chief Accounting Officer and Controller, Chief Operations Officer, Chief Technology Officer, Chief Administration and Legal Officer, Executive Vice President of Worldwide Sales and Marketing and the appointment of new leaders for our corporate development organization and our storage, and networking and connectivity groups. In addition, we have added two new senior executives in connection with our acquisition of Cavium.</w:t>
      </w:r>
    </w:p>
    <w:p>
      <w:pPr>
        <w:spacing w:after="0" w:line="46" w:lineRule="exact"/>
        <w:rPr>
          <w:sz w:val="20"/>
          <w:szCs w:val="20"/>
          <w:color w:val="auto"/>
        </w:rPr>
      </w:pPr>
    </w:p>
    <w:p>
      <w:pPr>
        <w:ind w:right="20" w:firstLine="648"/>
        <w:spacing w:after="0" w:line="286" w:lineRule="auto"/>
        <w:rPr>
          <w:sz w:val="20"/>
          <w:szCs w:val="20"/>
          <w:color w:val="auto"/>
        </w:rPr>
      </w:pPr>
      <w:r>
        <w:rPr>
          <w:rFonts w:ascii="Arial" w:cs="Arial" w:eastAsia="Arial" w:hAnsi="Arial"/>
          <w:sz w:val="17"/>
          <w:szCs w:val="17"/>
          <w:color w:val="auto"/>
        </w:rPr>
        <w:t>While the individual members of our executive management team each have significant industry-related experience, they previously had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380"/>
          </w:cols>
          <w:pgMar w:left="240" w:top="130" w:right="279" w:bottom="1440" w:gutter="0" w:footer="0" w:header="0"/>
        </w:sectPr>
      </w:pPr>
    </w:p>
    <w:bookmarkStart w:id="54" w:name="page55"/>
    <w:bookmarkEnd w:id="5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60" w:firstLine="405"/>
        <w:spacing w:after="0" w:line="297" w:lineRule="auto"/>
        <w:rPr>
          <w:sz w:val="20"/>
          <w:szCs w:val="20"/>
          <w:color w:val="auto"/>
        </w:rPr>
      </w:pPr>
      <w:r>
        <w:rPr>
          <w:rFonts w:ascii="Arial" w:cs="Arial" w:eastAsia="Arial" w:hAnsi="Arial"/>
          <w:sz w:val="16"/>
          <w:szCs w:val="16"/>
          <w:color w:val="auto"/>
        </w:rPr>
        <w:t>If any of the members of our current management team were to leave our company unexpectedly, we could face substantial difficulty in hiring qualified successors. The marketplace for senior executive management candidates is very competitive and limited, particularly in the Silicon Valley where our U.S. operations are based. Our growth may be adversely impacted if we are unable to attract, retain and motivate such key employees. Turnover of senior management can adversely impact our stock price, our results of operations and our client relationships, and has made recruiting for future management positions more difficult. Competition for senior leadership may increase our compensation expenses, which may negatively affect our profitability.</w:t>
      </w:r>
    </w:p>
    <w:p>
      <w:pPr>
        <w:spacing w:after="0" w:line="50" w:lineRule="exact"/>
        <w:rPr>
          <w:sz w:val="20"/>
          <w:szCs w:val="20"/>
          <w:color w:val="auto"/>
        </w:rPr>
      </w:pPr>
    </w:p>
    <w:p>
      <w:pPr>
        <w:ind w:right="180"/>
        <w:spacing w:after="0" w:line="375" w:lineRule="auto"/>
        <w:rPr>
          <w:sz w:val="20"/>
          <w:szCs w:val="20"/>
          <w:color w:val="auto"/>
        </w:rPr>
      </w:pPr>
      <w:r>
        <w:rPr>
          <w:rFonts w:ascii="Arial" w:cs="Arial" w:eastAsia="Arial" w:hAnsi="Arial"/>
          <w:sz w:val="15"/>
          <w:szCs w:val="15"/>
          <w:b w:val="1"/>
          <w:bCs w:val="1"/>
          <w:i w:val="1"/>
          <w:iCs w:val="1"/>
          <w:color w:val="auto"/>
        </w:rPr>
        <w:t>We depend on highly skilled engineering and sales and marketing personnel to support our business operations. If we are unable to retain and motivate our current personnel or attract additional qualified personnel, our ability to develop and successfully market our products could be harmed.</w:t>
      </w:r>
    </w:p>
    <w:p>
      <w:pPr>
        <w:spacing w:after="0" w:line="1"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Changes to United States immigration policies that restrict our ability to attract and retain technical personnel may negatively affect our research and development efforts.</w:t>
      </w:r>
    </w:p>
    <w:p>
      <w:pPr>
        <w:spacing w:after="0" w:line="85"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which eliminated approximately 900 jobs worldwide, could make it more difficult for us to add to our workforce when needed due to speculation regarding our future restructuring activities. In addition, as a result of the Cavium acquisition, our current and prospective employees may experience uncertainty about their futures that may impair our ability to retain, recruit or motivate key management, engineering, technical and other personnel.</w:t>
      </w:r>
    </w:p>
    <w:p>
      <w:pPr>
        <w:spacing w:after="0" w:line="85" w:lineRule="exact"/>
        <w:rPr>
          <w:sz w:val="20"/>
          <w:szCs w:val="20"/>
          <w:color w:val="auto"/>
        </w:rPr>
      </w:pPr>
    </w:p>
    <w:p>
      <w:pPr>
        <w:jc w:val="both"/>
        <w:ind w:right="400"/>
        <w:spacing w:after="0" w:line="264"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The failure of or security breaches of any of our critical information technology systems may result in serious harm to our reputation, business, results of operations and/or financial condition.</w:t>
      </w:r>
    </w:p>
    <w:p>
      <w:pPr>
        <w:spacing w:after="0" w:line="73"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viruses, destructive or inadequate code, malware, power failures, cyber-attacks, internal malfeasance or other events. 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 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17"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220" w:firstLine="405"/>
        <w:spacing w:after="0" w:line="297" w:lineRule="auto"/>
        <w:rPr>
          <w:sz w:val="20"/>
          <w:szCs w:val="20"/>
          <w:color w:val="auto"/>
        </w:rPr>
      </w:pPr>
      <w:r>
        <w:rPr>
          <w:rFonts w:ascii="Arial" w:cs="Arial" w:eastAsia="Arial" w:hAnsi="Arial"/>
          <w:sz w:val="16"/>
          <w:szCs w:val="16"/>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130" w:right="259" w:bottom="1440" w:gutter="0" w:footer="0" w:header="0"/>
        </w:sectPr>
      </w:pPr>
    </w:p>
    <w:bookmarkStart w:id="55" w:name="page56"/>
    <w:bookmarkEnd w:id="5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100" w:firstLine="405"/>
        <w:spacing w:after="0" w:line="290"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58"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7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73"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57" w:lineRule="exact"/>
        <w:rPr>
          <w:sz w:val="20"/>
          <w:szCs w:val="20"/>
          <w:color w:val="auto"/>
        </w:rPr>
      </w:pPr>
    </w:p>
    <w:p>
      <w:pPr>
        <w:ind w:right="6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70" w:lineRule="exact"/>
        <w:rPr>
          <w:sz w:val="20"/>
          <w:szCs w:val="20"/>
          <w:color w:val="auto"/>
        </w:rPr>
      </w:pPr>
    </w:p>
    <w:p>
      <w:pPr>
        <w:ind w:right="260" w:firstLine="378"/>
        <w:spacing w:after="0" w:line="259"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79"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130" w:right="239" w:bottom="1440" w:gutter="0" w:footer="0" w:header="0"/>
        </w:sectPr>
      </w:pPr>
    </w:p>
    <w:bookmarkStart w:id="56" w:name="page57"/>
    <w:bookmarkEnd w:id="5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62"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85"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73" w:lineRule="exact"/>
        <w:rPr>
          <w:sz w:val="20"/>
          <w:szCs w:val="20"/>
          <w:color w:val="auto"/>
        </w:rPr>
      </w:pPr>
    </w:p>
    <w:p>
      <w:pPr>
        <w:ind w:right="20" w:firstLine="378"/>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89% and 95% of our net revenue in the three months ended August 4, 2018 and July 29, 2017, respectively</w:t>
      </w:r>
    </w:p>
    <w:p>
      <w:pPr>
        <w:spacing w:after="0" w:line="64" w:lineRule="exact"/>
        <w:rPr>
          <w:sz w:val="20"/>
          <w:szCs w:val="20"/>
          <w:color w:val="auto"/>
        </w:rPr>
      </w:pPr>
    </w:p>
    <w:p>
      <w:pPr>
        <w:ind w:right="20"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79"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17" w:lineRule="exact"/>
        <w:rPr>
          <w:sz w:val="20"/>
          <w:szCs w:val="20"/>
          <w:color w:val="auto"/>
        </w:rPr>
      </w:pPr>
    </w:p>
    <w:p>
      <w:pPr>
        <w:ind w:left="820" w:hanging="420"/>
        <w:spacing w:after="0"/>
        <w:tabs>
          <w:tab w:leader="none" w:pos="8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46" w:lineRule="exact"/>
        <w:rPr>
          <w:rFonts w:ascii="Arial" w:cs="Arial" w:eastAsia="Arial" w:hAnsi="Arial"/>
          <w:sz w:val="16"/>
          <w:szCs w:val="16"/>
          <w:color w:val="auto"/>
        </w:rPr>
      </w:pPr>
    </w:p>
    <w:p>
      <w:pPr>
        <w:ind w:left="820" w:right="440" w:hanging="420"/>
        <w:spacing w:after="0" w:line="250"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ind w:left="820" w:right="720" w:hanging="420"/>
        <w:spacing w:after="0" w:line="250"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ind w:left="820" w:right="60" w:hanging="420"/>
        <w:spacing w:after="0" w:line="250"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 w:lineRule="exact"/>
        <w:rPr>
          <w:rFonts w:ascii="Arial" w:cs="Arial" w:eastAsia="Arial" w:hAnsi="Arial"/>
          <w:sz w:val="18"/>
          <w:szCs w:val="18"/>
          <w:color w:val="auto"/>
        </w:rPr>
      </w:pPr>
    </w:p>
    <w:p>
      <w:pPr>
        <w:ind w:left="820" w:right="240" w:hanging="420"/>
        <w:spacing w:after="0" w:line="250"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trade restrictions, higher tariffs, or changes in cross border taxation, particularly in light of the recently imposed tariffs announced by the Trump administration;</w:t>
      </w: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03" w:lineRule="exact"/>
        <w:rPr>
          <w:sz w:val="20"/>
          <w:szCs w:val="20"/>
          <w:color w:val="auto"/>
        </w:rPr>
      </w:pPr>
    </w:p>
    <w:p>
      <w:pPr>
        <w:ind w:right="520" w:firstLine="378"/>
        <w:spacing w:after="0" w:line="34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6" w:lineRule="exact"/>
        <w:rPr>
          <w:sz w:val="20"/>
          <w:szCs w:val="20"/>
          <w:color w:val="auto"/>
        </w:rPr>
      </w:pPr>
    </w:p>
    <w:p>
      <w:pPr>
        <w:ind w:right="46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130" w:right="239" w:bottom="1440" w:gutter="0" w:footer="0" w:header="0"/>
        </w:sectPr>
      </w:pPr>
    </w:p>
    <w:bookmarkStart w:id="57" w:name="page58"/>
    <w:bookmarkEnd w:id="5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62" w:lineRule="exact"/>
        <w:rPr>
          <w:sz w:val="20"/>
          <w:szCs w:val="20"/>
          <w:color w:val="auto"/>
        </w:rPr>
      </w:pPr>
    </w:p>
    <w:p>
      <w:pPr>
        <w:ind w:firstLine="378"/>
        <w:spacing w:after="0" w:line="288"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data private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1" w:lineRule="exact"/>
        <w:rPr>
          <w:sz w:val="20"/>
          <w:szCs w:val="20"/>
          <w:color w:val="auto"/>
        </w:rPr>
      </w:pPr>
    </w:p>
    <w:p>
      <w:pPr>
        <w:ind w:right="140" w:firstLine="378"/>
        <w:spacing w:after="0" w:line="291" w:lineRule="auto"/>
        <w:rPr>
          <w:sz w:val="20"/>
          <w:szCs w:val="20"/>
          <w:color w:val="auto"/>
        </w:rPr>
      </w:pPr>
      <w:r>
        <w:rPr>
          <w:rFonts w:ascii="Arial" w:cs="Arial" w:eastAsia="Arial" w:hAnsi="Arial"/>
          <w:sz w:val="16"/>
          <w:szCs w:val="16"/>
          <w:color w:val="auto"/>
        </w:rPr>
        <w:t>In addition, we are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5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117" w:lineRule="exact"/>
        <w:rPr>
          <w:sz w:val="20"/>
          <w:szCs w:val="20"/>
          <w:color w:val="auto"/>
        </w:rPr>
      </w:pPr>
    </w:p>
    <w:p>
      <w:pPr>
        <w:ind w:right="20" w:firstLine="378"/>
        <w:spacing w:after="0" w:line="286"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67" w:lineRule="exact"/>
        <w:rPr>
          <w:sz w:val="20"/>
          <w:szCs w:val="20"/>
          <w:color w:val="auto"/>
        </w:rPr>
      </w:pPr>
    </w:p>
    <w:p>
      <w:pPr>
        <w:ind w:right="20" w:firstLine="378"/>
        <w:spacing w:after="0" w:line="273"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The European Commission has also conducted investigations in multiple countries focusing on whether local country tax rulings or tax legislation provides preferential tax treatment that violates European Union state aid rules and concluded that certain countries, including Ireland and Belgium, have provided illegal state aid in certain cases. We can provide no assurance that changes in tax laws and additional investigations would not have an adverse tax impact on our international operations.</w:t>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00"/>
          </w:cols>
          <w:pgMar w:left="240" w:top="130" w:right="259" w:bottom="1440" w:gutter="0" w:footer="0" w:header="0"/>
        </w:sectPr>
      </w:pPr>
    </w:p>
    <w:bookmarkStart w:id="58" w:name="page59"/>
    <w:bookmarkEnd w:id="5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62"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color w:val="auto"/>
        </w:rPr>
        <w:t>As previously disclosed in our public filings, in March 2016,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We are also the subject of investigations by the Securities and Exchange Commission and the U.S. Attorney related to these matters. We are fully cooperating with the SEC and the U.S. Attorney with respect to those investigations.</w:t>
      </w:r>
    </w:p>
    <w:p>
      <w:pPr>
        <w:spacing w:after="0" w:line="70"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incurred significant expenses related to legal, accounting, and other professional services in connection with the investigations and related matters and related remediation efforts. In addition, we incurred significant legal expenses in connection with the litigation and settlement of securities class actions or other lawsuits that were filed against us, our directors and officers. The expenses incurred, the impact of our delay in fiscal 2016 and the beginning of fiscal 2017 in meeting our periodic reports on the confidence of investors, employees and customers, and the diversion of the attention of the management team that occurred adversely affected our business, financial condition and results of operations or cash flows. Any future such investigations or additional lawsuits may adversely affect our business, financial condition, results of operations and cash flows.</w:t>
      </w:r>
    </w:p>
    <w:p>
      <w:pPr>
        <w:spacing w:after="0" w:line="70" w:lineRule="exact"/>
        <w:rPr>
          <w:sz w:val="20"/>
          <w:szCs w:val="20"/>
          <w:color w:val="auto"/>
        </w:rPr>
      </w:pPr>
    </w:p>
    <w:p>
      <w:pPr>
        <w:ind w:right="320"/>
        <w:spacing w:after="0" w:line="257" w:lineRule="auto"/>
        <w:rPr>
          <w:sz w:val="20"/>
          <w:szCs w:val="20"/>
          <w:color w:val="auto"/>
        </w:rPr>
      </w:pPr>
      <w:r>
        <w:rPr>
          <w:rFonts w:ascii="Arial" w:cs="Arial" w:eastAsia="Arial" w:hAnsi="Arial"/>
          <w:sz w:val="18"/>
          <w:szCs w:val="18"/>
          <w:b w:val="1"/>
          <w:bCs w:val="1"/>
          <w:i w:val="1"/>
          <w:iCs w:val="1"/>
          <w:color w:val="auto"/>
        </w:rPr>
        <w:t>During fiscal 2016 and continuing through the third quarter of fiscal 2018, we identified material weaknesses in our internal controls over financial reporting, which have since been remediated. If we are unable to develop, implement and maintain effective internal controls in future periods, our consolidated financial statements could contain material misstatements which would cause us to issue a restatement thereof. A restatement of our consolidated financial statements could cause our investors to lose confidence in our reported financial information and lead to a decline in our stock price.</w:t>
      </w:r>
    </w:p>
    <w:p>
      <w:pPr>
        <w:spacing w:after="0" w:line="80" w:lineRule="exact"/>
        <w:rPr>
          <w:sz w:val="20"/>
          <w:szCs w:val="20"/>
          <w:color w:val="auto"/>
        </w:rPr>
      </w:pPr>
    </w:p>
    <w:p>
      <w:pPr>
        <w:ind w:right="100" w:firstLine="405"/>
        <w:spacing w:after="0" w:line="255" w:lineRule="auto"/>
        <w:rPr>
          <w:sz w:val="20"/>
          <w:szCs w:val="20"/>
          <w:color w:val="auto"/>
        </w:rPr>
      </w:pPr>
      <w:r>
        <w:rPr>
          <w:rFonts w:ascii="Arial" w:cs="Arial" w:eastAsia="Arial" w:hAnsi="Arial"/>
          <w:sz w:val="18"/>
          <w:szCs w:val="18"/>
          <w:color w:val="auto"/>
        </w:rPr>
        <w:t>The Sarbanes-Oxley Act of 2002 and SEC rules require that management report on the effectiveness of our internal control over financial reporting and our disclosure controls and procedures. Among other things, management must conduct an assessment of internal control over financial reporting to allow management to report on the effectiveness of our internal control over financial reporting, as required by Section 404 of the Sarbanes-Oxley Act. During fiscal 2016 and continuing through the third quarter of fiscal 2018, we identified material weaknesses in our internal controls over financial reporting. While we have remediated these material weaknesses as of February 3, 2018, the remediation process absorbed significant management attention and we incurred significant expenses relating to the remediation.</w:t>
      </w:r>
    </w:p>
    <w:p>
      <w:pPr>
        <w:spacing w:after="0" w:line="85"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70"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20"/>
          </w:cols>
          <w:pgMar w:left="240" w:top="130" w:right="239" w:bottom="1440" w:gutter="0" w:footer="0" w:header="0"/>
        </w:sectPr>
      </w:pPr>
    </w:p>
    <w:bookmarkStart w:id="59" w:name="page60"/>
    <w:bookmarkEnd w:id="5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3"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12 -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 unable to protect our intellectual property, which would negatively affect our ability to compete.”</w:t>
      </w:r>
    </w:p>
    <w:p>
      <w:pPr>
        <w:spacing w:after="0" w:line="70" w:lineRule="exact"/>
        <w:rPr>
          <w:sz w:val="20"/>
          <w:szCs w:val="20"/>
          <w:color w:val="auto"/>
        </w:rPr>
      </w:pPr>
    </w:p>
    <w:p>
      <w:pPr>
        <w:ind w:right="120" w:firstLine="405"/>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46" w:lineRule="exact"/>
        <w:rPr>
          <w:sz w:val="20"/>
          <w:szCs w:val="20"/>
          <w:color w:val="auto"/>
        </w:rPr>
      </w:pPr>
    </w:p>
    <w:p>
      <w:pPr>
        <w:ind w:left="820" w:right="260" w:hanging="420"/>
        <w:spacing w:after="0" w:line="258" w:lineRule="auto"/>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 w:lineRule="exact"/>
        <w:rPr>
          <w:rFonts w:ascii="Arial" w:cs="Arial" w:eastAsia="Arial" w:hAnsi="Arial"/>
          <w:sz w:val="18"/>
          <w:szCs w:val="18"/>
          <w:color w:val="auto"/>
        </w:rPr>
      </w:pPr>
    </w:p>
    <w:p>
      <w:pPr>
        <w:ind w:left="820" w:right="360" w:hanging="420"/>
        <w:spacing w:after="0" w:line="250" w:lineRule="auto"/>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ind w:left="820" w:hanging="420"/>
        <w:spacing w:after="0"/>
        <w:tabs>
          <w:tab w:leader="none" w:pos="8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03" w:lineRule="exact"/>
        <w:rPr>
          <w:sz w:val="20"/>
          <w:szCs w:val="20"/>
          <w:color w:val="auto"/>
        </w:rPr>
      </w:pPr>
    </w:p>
    <w:p>
      <w:pPr>
        <w:ind w:right="12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79" w:lineRule="exact"/>
        <w:rPr>
          <w:sz w:val="20"/>
          <w:szCs w:val="20"/>
          <w:color w:val="auto"/>
        </w:rPr>
      </w:pPr>
    </w:p>
    <w:p>
      <w:pPr>
        <w:ind w:right="20"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17" w:lineRule="exact"/>
        <w:rPr>
          <w:sz w:val="20"/>
          <w:szCs w:val="20"/>
          <w:color w:val="auto"/>
        </w:rPr>
      </w:pPr>
    </w:p>
    <w:p>
      <w:pPr>
        <w:jc w:val="both"/>
        <w:ind w:right="60" w:firstLine="378"/>
        <w:spacing w:after="0" w:line="302" w:lineRule="auto"/>
        <w:rPr>
          <w:sz w:val="20"/>
          <w:szCs w:val="20"/>
          <w:color w:val="auto"/>
        </w:rPr>
      </w:pPr>
      <w:r>
        <w:rPr>
          <w:rFonts w:ascii="Arial" w:cs="Arial" w:eastAsia="Arial" w:hAnsi="Arial"/>
          <w:sz w:val="16"/>
          <w:szCs w:val="16"/>
          <w:color w:val="auto"/>
        </w:rPr>
        <w:t>We had approximately $5.5 billion of goodwill on our consolidated balance sheet as of August 4, 2018.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46"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have identified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00"/>
          </w:cols>
          <w:pgMar w:left="240" w:top="130" w:right="259" w:bottom="1440" w:gutter="0" w:footer="0" w:header="0"/>
        </w:sectPr>
      </w:pPr>
    </w:p>
    <w:bookmarkStart w:id="60" w:name="page61"/>
    <w:bookmarkEnd w:id="6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8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40" w:lineRule="exact"/>
        <w:rPr>
          <w:sz w:val="20"/>
          <w:szCs w:val="20"/>
          <w:color w:val="auto"/>
        </w:rPr>
      </w:pPr>
    </w:p>
    <w:p>
      <w:pPr>
        <w:ind w:right="100" w:firstLine="392"/>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46" w:lineRule="exact"/>
        <w:rPr>
          <w:sz w:val="20"/>
          <w:szCs w:val="20"/>
          <w:color w:val="auto"/>
        </w:rPr>
      </w:pPr>
    </w:p>
    <w:p>
      <w:pPr>
        <w:ind w:right="20" w:firstLine="392"/>
        <w:spacing w:after="0" w:line="271" w:lineRule="auto"/>
        <w:rPr>
          <w:sz w:val="20"/>
          <w:szCs w:val="20"/>
          <w:color w:val="auto"/>
        </w:rPr>
      </w:pPr>
      <w:r>
        <w:rPr>
          <w:rFonts w:ascii="Arial" w:cs="Arial" w:eastAsia="Arial" w:hAnsi="Arial"/>
          <w:sz w:val="17"/>
          <w:szCs w:val="17"/>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2018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7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62"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17" w:lineRule="exact"/>
        <w:rPr>
          <w:sz w:val="20"/>
          <w:szCs w:val="20"/>
          <w:color w:val="auto"/>
        </w:rPr>
      </w:pPr>
    </w:p>
    <w:p>
      <w:pPr>
        <w:ind w:right="440" w:firstLine="378"/>
        <w:spacing w:after="0" w:line="277" w:lineRule="auto"/>
        <w:rPr>
          <w:sz w:val="20"/>
          <w:szCs w:val="20"/>
          <w:color w:val="auto"/>
        </w:rPr>
      </w:pPr>
      <w:r>
        <w:rPr>
          <w:rFonts w:ascii="Arial" w:cs="Arial" w:eastAsia="Arial" w:hAnsi="Arial"/>
          <w:sz w:val="18"/>
          <w:szCs w:val="18"/>
          <w:color w:val="auto"/>
        </w:rPr>
        <w:t>Our buildings in Santa Clara, California; Singapore; and Shanghai, China subject us to the risks of owning real property, which include, but are not limited to:</w:t>
      </w:r>
    </w:p>
    <w:p>
      <w:pPr>
        <w:spacing w:after="0" w:line="62" w:lineRule="exact"/>
        <w:rPr>
          <w:sz w:val="20"/>
          <w:szCs w:val="20"/>
          <w:color w:val="auto"/>
        </w:rPr>
      </w:pP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3"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0" w:lineRule="exact"/>
        <w:rPr>
          <w:rFonts w:ascii="Arial" w:cs="Arial" w:eastAsia="Arial" w:hAnsi="Arial"/>
          <w:sz w:val="17"/>
          <w:szCs w:val="17"/>
          <w:color w:val="auto"/>
        </w:rPr>
      </w:pP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 w:lineRule="exact"/>
        <w:rPr>
          <w:rFonts w:ascii="Arial" w:cs="Arial" w:eastAsia="Arial" w:hAnsi="Arial"/>
          <w:sz w:val="18"/>
          <w:szCs w:val="18"/>
          <w:color w:val="auto"/>
        </w:rPr>
      </w:pPr>
    </w:p>
    <w:p>
      <w:pPr>
        <w:ind w:left="820" w:right="320" w:hanging="420"/>
        <w:spacing w:after="0" w:line="261"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Owning Marvell Common Shares</w:t>
      </w:r>
    </w:p>
    <w:p>
      <w:pPr>
        <w:spacing w:after="0" w:line="121"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130" w:right="239" w:bottom="1440" w:gutter="0" w:footer="0" w:header="0"/>
        </w:sectPr>
      </w:pPr>
    </w:p>
    <w:bookmarkStart w:id="61" w:name="page62"/>
    <w:bookmarkEnd w:id="6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40" w:firstLine="378"/>
        <w:spacing w:after="0" w:line="291" w:lineRule="auto"/>
        <w:rPr>
          <w:sz w:val="20"/>
          <w:szCs w:val="20"/>
          <w:color w:val="auto"/>
        </w:rPr>
      </w:pPr>
      <w:r>
        <w:rPr>
          <w:rFonts w:ascii="Arial" w:cs="Arial" w:eastAsia="Arial" w:hAnsi="Arial"/>
          <w:sz w:val="16"/>
          <w:szCs w:val="16"/>
          <w:color w:val="auto"/>
        </w:rPr>
        <w:t>In May 2012, we declared our first quarterly cash dividend and in November 2016, we announced that our board of directors had authorized a $1 billion share repurchase program, of which $642 million of shares have been repurchased as of August 4, 2018.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59"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39"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59"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7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62"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August 4, 2018.</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4" w:lineRule="exact"/>
        <w:rPr>
          <w:sz w:val="20"/>
          <w:szCs w:val="20"/>
          <w:color w:val="auto"/>
        </w:rPr>
      </w:pPr>
    </w:p>
    <w:p>
      <w:pPr>
        <w:ind w:right="20" w:firstLine="405"/>
        <w:spacing w:after="0" w:line="286" w:lineRule="auto"/>
        <w:rPr>
          <w:sz w:val="20"/>
          <w:szCs w:val="20"/>
          <w:color w:val="auto"/>
        </w:rPr>
      </w:pPr>
      <w:r>
        <w:rPr>
          <w:rFonts w:ascii="Arial" w:cs="Arial" w:eastAsia="Arial" w:hAnsi="Arial"/>
          <w:sz w:val="17"/>
          <w:szCs w:val="17"/>
          <w:color w:val="auto"/>
        </w:rPr>
        <w:t>During the three months ended August 4, 2018, we suspended our share repurchase program in anticipation of the funding of our acquisition of Cavium. Therefore, there were no share repurchases during the three months ended August 4, 2018. Although share repurchases are temporarily suspended, we have $358.0 million of repurchase authority remaining under our current share repurchase program.</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20"/>
          </w:cols>
          <w:pgMar w:left="240" w:top="130" w:right="239" w:bottom="1440" w:gutter="0" w:footer="0" w:header="0"/>
        </w:sectPr>
      </w:pPr>
    </w:p>
    <w:bookmarkStart w:id="62" w:name="page63"/>
    <w:bookmarkEnd w:id="6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0" w:lineRule="exact"/>
        <w:rPr>
          <w:sz w:val="20"/>
          <w:szCs w:val="20"/>
          <w:color w:val="auto"/>
        </w:rPr>
      </w:pPr>
    </w:p>
    <w:p>
      <w:pPr>
        <w:spacing w:after="0" w:line="376"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1040" w:type="dxa"/>
            <w:vAlign w:val="bottom"/>
            <w:gridSpan w:val="2"/>
          </w:tcPr>
          <w:p>
            <w:pPr>
              <w:ind w:left="140"/>
              <w:spacing w:after="0"/>
              <w:rPr>
                <w:sz w:val="20"/>
                <w:szCs w:val="20"/>
                <w:color w:val="auto"/>
              </w:rPr>
            </w:pPr>
            <w:r>
              <w:rPr>
                <w:rFonts w:ascii="Arial" w:cs="Arial" w:eastAsia="Arial" w:hAnsi="Arial"/>
                <w:sz w:val="14"/>
                <w:szCs w:val="14"/>
                <w:color w:val="auto"/>
              </w:rPr>
              <w:t>Exhibit No.</w:t>
            </w:r>
          </w:p>
        </w:tc>
        <w:tc>
          <w:tcPr>
            <w:tcW w:w="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60" w:type="dxa"/>
            <w:vAlign w:val="bottom"/>
            <w:gridSpan w:val="21"/>
          </w:tcPr>
          <w:p>
            <w:pPr>
              <w:ind w:left="700"/>
              <w:spacing w:after="0"/>
              <w:rPr>
                <w:sz w:val="20"/>
                <w:szCs w:val="20"/>
                <w:color w:val="auto"/>
              </w:rPr>
            </w:pPr>
            <w:r>
              <w:rPr>
                <w:rFonts w:ascii="Arial" w:cs="Arial" w:eastAsia="Arial" w:hAnsi="Arial"/>
                <w:sz w:val="14"/>
                <w:szCs w:val="14"/>
                <w:color w:val="auto"/>
              </w:rPr>
              <w:t>Item</w:t>
            </w:r>
          </w:p>
        </w:tc>
      </w:tr>
      <w:tr>
        <w:trPr>
          <w:trHeight w:val="202"/>
        </w:trPr>
        <w:tc>
          <w:tcPr>
            <w:tcW w:w="920" w:type="dxa"/>
            <w:vAlign w:val="bottom"/>
            <w:tcBorders>
              <w:top w:val="single" w:sz="8" w:color="auto"/>
            </w:tcBorders>
          </w:tcPr>
          <w:p>
            <w:pPr>
              <w:ind w:left="280"/>
              <w:spacing w:after="0" w:line="202" w:lineRule="exact"/>
              <w:rPr>
                <w:sz w:val="20"/>
                <w:szCs w:val="20"/>
                <w:color w:val="auto"/>
              </w:rPr>
            </w:pPr>
            <w:r>
              <w:rPr>
                <w:rFonts w:ascii="Arial" w:cs="Arial" w:eastAsia="Arial" w:hAnsi="Arial"/>
                <w:sz w:val="18"/>
                <w:szCs w:val="18"/>
                <w:color w:val="auto"/>
              </w:rPr>
              <w:t>2.1</w:t>
            </w:r>
          </w:p>
        </w:tc>
        <w:tc>
          <w:tcPr>
            <w:tcW w:w="120" w:type="dxa"/>
            <w:vAlign w:val="bottom"/>
          </w:tcPr>
          <w:p>
            <w:pPr>
              <w:spacing w:after="0"/>
              <w:rPr>
                <w:sz w:val="17"/>
                <w:szCs w:val="17"/>
                <w:color w:val="auto"/>
              </w:rPr>
            </w:pPr>
          </w:p>
        </w:tc>
        <w:tc>
          <w:tcPr>
            <w:tcW w:w="40" w:type="dxa"/>
            <w:vAlign w:val="bottom"/>
            <w:tcBorders>
              <w:top w:val="single" w:sz="8" w:color="auto"/>
            </w:tcBorders>
          </w:tcPr>
          <w:p>
            <w:pPr>
              <w:spacing w:after="0"/>
              <w:rPr>
                <w:sz w:val="17"/>
                <w:szCs w:val="17"/>
                <w:color w:val="auto"/>
              </w:rPr>
            </w:pPr>
          </w:p>
        </w:tc>
        <w:tc>
          <w:tcPr>
            <w:tcW w:w="5220" w:type="dxa"/>
            <w:vAlign w:val="bottom"/>
            <w:tcBorders>
              <w:top w:val="single" w:sz="8" w:color="auto"/>
              <w:bottom w:val="single" w:sz="8" w:color="0000FF"/>
            </w:tcBorders>
            <w:gridSpan w:val="28"/>
          </w:tcPr>
          <w:p>
            <w:pPr>
              <w:spacing w:after="0" w:line="202" w:lineRule="exact"/>
              <w:rPr>
                <w:rFonts w:ascii="Arial" w:cs="Arial" w:eastAsia="Arial" w:hAnsi="Arial"/>
                <w:sz w:val="18"/>
                <w:szCs w:val="18"/>
                <w:color w:val="0000FF"/>
                <w:w w:val="90"/>
              </w:rPr>
            </w:pPr>
            <w:hyperlink r:id="rId17">
              <w:r>
                <w:rPr>
                  <w:rFonts w:ascii="Arial" w:cs="Arial" w:eastAsia="Arial" w:hAnsi="Arial"/>
                  <w:sz w:val="18"/>
                  <w:szCs w:val="18"/>
                  <w:color w:val="0000FF"/>
                  <w:w w:val="90"/>
                </w:rPr>
                <w:t>Agreement and Plan of Merger, dated as of November 19, 2017, by and</w:t>
              </w:r>
            </w:hyperlink>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20" w:type="dxa"/>
            <w:vAlign w:val="bottom"/>
            <w:gridSpan w:val="28"/>
          </w:tcPr>
          <w:p>
            <w:pPr>
              <w:spacing w:after="0" w:line="196" w:lineRule="exact"/>
              <w:rPr>
                <w:rFonts w:ascii="Arial" w:cs="Arial" w:eastAsia="Arial" w:hAnsi="Arial"/>
                <w:sz w:val="18"/>
                <w:szCs w:val="18"/>
                <w:color w:val="0000FF"/>
                <w:w w:val="95"/>
              </w:rPr>
            </w:pPr>
            <w:hyperlink r:id="rId17">
              <w:r>
                <w:rPr>
                  <w:rFonts w:ascii="Arial" w:cs="Arial" w:eastAsia="Arial" w:hAnsi="Arial"/>
                  <w:sz w:val="18"/>
                  <w:szCs w:val="18"/>
                  <w:color w:val="0000FF"/>
                  <w:w w:val="95"/>
                </w:rPr>
                <w:t>among Marvell Technology Group Ltd., Kauai Acquisition Corp., and</w:t>
              </w:r>
            </w:hyperlink>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40" w:type="dxa"/>
            <w:vAlign w:val="bottom"/>
            <w:tcBorders>
              <w:top w:val="single" w:sz="8" w:color="0000FF"/>
            </w:tcBorders>
            <w:gridSpan w:val="22"/>
          </w:tcPr>
          <w:p>
            <w:pPr>
              <w:spacing w:after="0" w:line="196" w:lineRule="exact"/>
              <w:rPr>
                <w:rFonts w:ascii="Arial" w:cs="Arial" w:eastAsia="Arial" w:hAnsi="Arial"/>
                <w:sz w:val="18"/>
                <w:szCs w:val="18"/>
                <w:color w:val="0000FF"/>
              </w:rPr>
            </w:pPr>
            <w:hyperlink r:id="rId17">
              <w:r>
                <w:rPr>
                  <w:rFonts w:ascii="Arial" w:cs="Arial" w:eastAsia="Arial" w:hAnsi="Arial"/>
                  <w:sz w:val="18"/>
                  <w:szCs w:val="18"/>
                  <w:color w:val="0000FF"/>
                </w:rPr>
                <w:t>Cavium, Inc.</w:t>
              </w:r>
            </w:hyperlink>
          </w:p>
        </w:tc>
        <w:tc>
          <w:tcPr>
            <w:tcW w:w="180" w:type="dxa"/>
            <w:vAlign w:val="bottom"/>
            <w:gridSpan w:val="6"/>
          </w:tcPr>
          <w:p>
            <w:pPr>
              <w:spacing w:after="0"/>
              <w:rPr>
                <w:sz w:val="17"/>
                <w:szCs w:val="17"/>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660" w:type="dxa"/>
            <w:vAlign w:val="bottom"/>
            <w:tcBorders>
              <w:bottom w:val="single" w:sz="8" w:color="0000FF"/>
            </w:tcBorders>
            <w:gridSpan w:val="13"/>
          </w:tcPr>
          <w:p>
            <w:pPr>
              <w:spacing w:after="0"/>
              <w:rPr>
                <w:rFonts w:ascii="Arial" w:cs="Arial" w:eastAsia="Arial" w:hAnsi="Arial"/>
                <w:sz w:val="18"/>
                <w:szCs w:val="18"/>
                <w:color w:val="0000FF"/>
                <w:w w:val="92"/>
              </w:rPr>
            </w:pPr>
            <w:hyperlink r:id="rId18">
              <w:r>
                <w:rPr>
                  <w:rFonts w:ascii="Arial" w:cs="Arial" w:eastAsia="Arial" w:hAnsi="Arial"/>
                  <w:sz w:val="18"/>
                  <w:szCs w:val="18"/>
                  <w:color w:val="0000FF"/>
                  <w:w w:val="92"/>
                </w:rPr>
                <w:t>Memorandum of Association of Marvell Technology Group Ltd.</w:t>
              </w:r>
            </w:hyperlink>
          </w:p>
        </w:tc>
        <w:tc>
          <w:tcPr>
            <w:tcW w:w="560" w:type="dxa"/>
            <w:vAlign w:val="bottom"/>
            <w:gridSpan w:val="15"/>
          </w:tcPr>
          <w:p>
            <w:pPr>
              <w:spacing w:after="0"/>
              <w:rPr>
                <w:sz w:val="21"/>
                <w:szCs w:val="2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20" w:type="dxa"/>
            <w:vAlign w:val="bottom"/>
            <w:gridSpan w:val="28"/>
          </w:tcPr>
          <w:p>
            <w:pPr>
              <w:spacing w:after="0"/>
              <w:rPr>
                <w:rFonts w:ascii="Arial" w:cs="Arial" w:eastAsia="Arial" w:hAnsi="Arial"/>
                <w:sz w:val="18"/>
                <w:szCs w:val="18"/>
                <w:color w:val="0000FF"/>
              </w:rPr>
            </w:pPr>
            <w:hyperlink r:id="rId19">
              <w:r>
                <w:rPr>
                  <w:rFonts w:ascii="Arial" w:cs="Arial" w:eastAsia="Arial" w:hAnsi="Arial"/>
                  <w:sz w:val="18"/>
                  <w:szCs w:val="18"/>
                  <w:color w:val="0000FF"/>
                </w:rPr>
                <w:t>Certificate of Incorporation of Marvell Technology Group Ltd.</w:t>
              </w:r>
            </w:hyperlink>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70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860" w:type="dxa"/>
            <w:vAlign w:val="bottom"/>
            <w:shd w:val="clear" w:color="auto" w:fill="0000FF"/>
          </w:tcPr>
          <w:p>
            <w:pPr>
              <w:spacing w:after="0" w:line="20" w:lineRule="exact"/>
              <w:rPr>
                <w:sz w:val="1"/>
                <w:szCs w:val="1"/>
                <w:color w:val="auto"/>
              </w:rPr>
            </w:pPr>
          </w:p>
        </w:tc>
        <w:tc>
          <w:tcPr>
            <w:tcW w:w="7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80" w:type="dxa"/>
            <w:vAlign w:val="bottom"/>
            <w:tcBorders>
              <w:right w:val="single" w:sz="8" w:color="0000FF"/>
            </w:tcBorders>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3.3</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00" w:type="dxa"/>
            <w:vAlign w:val="bottom"/>
            <w:tcBorders>
              <w:bottom w:val="single" w:sz="8" w:color="0000FF"/>
            </w:tcBorders>
            <w:gridSpan w:val="27"/>
          </w:tcPr>
          <w:p>
            <w:pPr>
              <w:spacing w:after="0"/>
              <w:rPr>
                <w:rFonts w:ascii="Arial" w:cs="Arial" w:eastAsia="Arial" w:hAnsi="Arial"/>
                <w:sz w:val="18"/>
                <w:szCs w:val="18"/>
                <w:color w:val="0000FF"/>
                <w:w w:val="91"/>
              </w:rPr>
            </w:pPr>
            <w:hyperlink r:id="rId20">
              <w:r>
                <w:rPr>
                  <w:rFonts w:ascii="Arial" w:cs="Arial" w:eastAsia="Arial" w:hAnsi="Arial"/>
                  <w:sz w:val="18"/>
                  <w:szCs w:val="18"/>
                  <w:color w:val="0000FF"/>
                  <w:w w:val="91"/>
                </w:rPr>
                <w:t>Fourth Amended and Restated Bye-Laws of Marvell Technology Group</w:t>
              </w:r>
            </w:hyperlink>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00" w:type="dxa"/>
            <w:vAlign w:val="bottom"/>
            <w:tcBorders>
              <w:bottom w:val="single" w:sz="8" w:color="0000FF"/>
            </w:tcBorders>
          </w:tcPr>
          <w:p>
            <w:pPr>
              <w:spacing w:after="0" w:line="196" w:lineRule="exact"/>
              <w:rPr>
                <w:rFonts w:ascii="Arial" w:cs="Arial" w:eastAsia="Arial" w:hAnsi="Arial"/>
                <w:sz w:val="18"/>
                <w:szCs w:val="18"/>
                <w:color w:val="0000FF"/>
                <w:w w:val="93"/>
              </w:rPr>
            </w:pPr>
            <w:hyperlink r:id="rId20">
              <w:r>
                <w:rPr>
                  <w:rFonts w:ascii="Arial" w:cs="Arial" w:eastAsia="Arial" w:hAnsi="Arial"/>
                  <w:sz w:val="18"/>
                  <w:szCs w:val="18"/>
                  <w:color w:val="0000FF"/>
                  <w:w w:val="93"/>
                </w:rPr>
                <w:t>Ltd.</w:t>
              </w:r>
            </w:hyperlink>
          </w:p>
        </w:tc>
        <w:tc>
          <w:tcPr>
            <w:tcW w:w="4920" w:type="dxa"/>
            <w:vAlign w:val="bottom"/>
            <w:gridSpan w:val="27"/>
          </w:tcPr>
          <w:p>
            <w:pPr>
              <w:spacing w:after="0"/>
              <w:rPr>
                <w:sz w:val="17"/>
                <w:szCs w:val="17"/>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3.4</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20" w:type="dxa"/>
            <w:vAlign w:val="bottom"/>
            <w:gridSpan w:val="28"/>
          </w:tcPr>
          <w:p>
            <w:pPr>
              <w:spacing w:after="0"/>
              <w:rPr>
                <w:rFonts w:ascii="Arial" w:cs="Arial" w:eastAsia="Arial" w:hAnsi="Arial"/>
                <w:sz w:val="18"/>
                <w:szCs w:val="18"/>
                <w:color w:val="0000FF"/>
                <w:w w:val="95"/>
              </w:rPr>
            </w:pPr>
            <w:hyperlink r:id="rId21">
              <w:r>
                <w:rPr>
                  <w:rFonts w:ascii="Arial" w:cs="Arial" w:eastAsia="Arial" w:hAnsi="Arial"/>
                  <w:sz w:val="18"/>
                  <w:szCs w:val="18"/>
                  <w:color w:val="0000FF"/>
                  <w:w w:val="95"/>
                </w:rPr>
                <w:t>Memorandum of Reduction of Share Premium dated August 8, 2011</w:t>
              </w:r>
            </w:hyperlink>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3.5</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780" w:type="dxa"/>
            <w:vAlign w:val="bottom"/>
            <w:tcBorders>
              <w:top w:val="single" w:sz="8" w:color="0000FF"/>
              <w:bottom w:val="single" w:sz="8" w:color="0000FF"/>
            </w:tcBorders>
            <w:gridSpan w:val="17"/>
          </w:tcPr>
          <w:p>
            <w:pPr>
              <w:spacing w:after="0"/>
              <w:rPr>
                <w:rFonts w:ascii="Arial" w:cs="Arial" w:eastAsia="Arial" w:hAnsi="Arial"/>
                <w:sz w:val="18"/>
                <w:szCs w:val="18"/>
                <w:color w:val="0000FF"/>
                <w:w w:val="91"/>
              </w:rPr>
            </w:pPr>
            <w:hyperlink r:id="rId22">
              <w:r>
                <w:rPr>
                  <w:rFonts w:ascii="Arial" w:cs="Arial" w:eastAsia="Arial" w:hAnsi="Arial"/>
                  <w:sz w:val="18"/>
                  <w:szCs w:val="18"/>
                  <w:color w:val="0000FF"/>
                  <w:w w:val="91"/>
                </w:rPr>
                <w:t>Memorandum of Increase of Share Capital of Marvell Technology</w:t>
              </w:r>
            </w:hyperlink>
          </w:p>
        </w:tc>
        <w:tc>
          <w:tcPr>
            <w:tcW w:w="140" w:type="dxa"/>
            <w:vAlign w:val="bottom"/>
            <w:tcBorders>
              <w:top w:val="single" w:sz="8" w:color="0000FF"/>
            </w:tcBorders>
            <w:gridSpan w:val="4"/>
          </w:tcPr>
          <w:p>
            <w:pPr>
              <w:spacing w:after="0"/>
              <w:rPr>
                <w:sz w:val="21"/>
                <w:szCs w:val="21"/>
                <w:color w:val="auto"/>
              </w:rPr>
            </w:pPr>
          </w:p>
        </w:tc>
        <w:tc>
          <w:tcPr>
            <w:tcW w:w="300" w:type="dxa"/>
            <w:vAlign w:val="bottom"/>
            <w:gridSpan w:val="7"/>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20" w:type="dxa"/>
            <w:vAlign w:val="bottom"/>
            <w:gridSpan w:val="28"/>
          </w:tcPr>
          <w:p>
            <w:pPr>
              <w:spacing w:after="0" w:line="196" w:lineRule="exact"/>
              <w:rPr>
                <w:rFonts w:ascii="Arial" w:cs="Arial" w:eastAsia="Arial" w:hAnsi="Arial"/>
                <w:sz w:val="18"/>
                <w:szCs w:val="18"/>
                <w:color w:val="0000FF"/>
                <w:w w:val="92"/>
              </w:rPr>
            </w:pPr>
            <w:hyperlink r:id="rId22">
              <w:r>
                <w:rPr>
                  <w:rFonts w:ascii="Arial" w:cs="Arial" w:eastAsia="Arial" w:hAnsi="Arial"/>
                  <w:sz w:val="18"/>
                  <w:szCs w:val="18"/>
                  <w:color w:val="0000FF"/>
                  <w:w w:val="92"/>
                </w:rPr>
                <w:t>Group Ltd. dated June 29, 2006, June 7, 2004, April 25, 2000, July 16,</w:t>
              </w:r>
            </w:hyperlink>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520" w:type="dxa"/>
            <w:vAlign w:val="bottom"/>
            <w:tcBorders>
              <w:top w:val="single" w:sz="8" w:color="0000FF"/>
              <w:bottom w:val="single" w:sz="8" w:color="0000FF"/>
            </w:tcBorders>
            <w:gridSpan w:val="11"/>
          </w:tcPr>
          <w:p>
            <w:pPr>
              <w:spacing w:after="0" w:line="196" w:lineRule="exact"/>
              <w:rPr>
                <w:rFonts w:ascii="Arial" w:cs="Arial" w:eastAsia="Arial" w:hAnsi="Arial"/>
                <w:sz w:val="18"/>
                <w:szCs w:val="18"/>
                <w:color w:val="0000FF"/>
                <w:w w:val="90"/>
              </w:rPr>
            </w:pPr>
            <w:hyperlink r:id="rId22">
              <w:r>
                <w:rPr>
                  <w:rFonts w:ascii="Arial" w:cs="Arial" w:eastAsia="Arial" w:hAnsi="Arial"/>
                  <w:sz w:val="18"/>
                  <w:szCs w:val="18"/>
                  <w:color w:val="0000FF"/>
                  <w:w w:val="90"/>
                </w:rPr>
                <w:t>1999, July 22, 1998, September 26, 1996 and March 10, 1995</w:t>
              </w:r>
            </w:hyperlink>
          </w:p>
        </w:tc>
        <w:tc>
          <w:tcPr>
            <w:tcW w:w="560" w:type="dxa"/>
            <w:vAlign w:val="bottom"/>
            <w:tcBorders>
              <w:top w:val="single" w:sz="8" w:color="0000FF"/>
            </w:tcBorders>
            <w:gridSpan w:val="12"/>
          </w:tcPr>
          <w:p>
            <w:pPr>
              <w:spacing w:after="0"/>
              <w:rPr>
                <w:sz w:val="17"/>
                <w:szCs w:val="17"/>
                <w:color w:val="auto"/>
              </w:rPr>
            </w:pPr>
          </w:p>
        </w:tc>
        <w:tc>
          <w:tcPr>
            <w:tcW w:w="140" w:type="dxa"/>
            <w:vAlign w:val="bottom"/>
            <w:gridSpan w:val="5"/>
          </w:tcPr>
          <w:p>
            <w:pPr>
              <w:spacing w:after="0"/>
              <w:rPr>
                <w:sz w:val="17"/>
                <w:szCs w:val="17"/>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4.1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180" w:type="dxa"/>
            <w:vAlign w:val="bottom"/>
            <w:tcBorders>
              <w:bottom w:val="single" w:sz="8" w:color="0000FF"/>
            </w:tcBorders>
            <w:gridSpan w:val="26"/>
          </w:tcPr>
          <w:p>
            <w:pPr>
              <w:spacing w:after="0"/>
              <w:rPr>
                <w:rFonts w:ascii="Arial" w:cs="Arial" w:eastAsia="Arial" w:hAnsi="Arial"/>
                <w:sz w:val="18"/>
                <w:szCs w:val="18"/>
                <w:color w:val="0000FF"/>
                <w:w w:val="91"/>
              </w:rPr>
            </w:pPr>
            <w:hyperlink r:id="rId23">
              <w:r>
                <w:rPr>
                  <w:rFonts w:ascii="Arial" w:cs="Arial" w:eastAsia="Arial" w:hAnsi="Arial"/>
                  <w:sz w:val="18"/>
                  <w:szCs w:val="18"/>
                  <w:color w:val="0000FF"/>
                  <w:w w:val="91"/>
                </w:rPr>
                <w:t>Specimen common share certificate for Marvell Technology Group Ltd.</w:t>
              </w:r>
            </w:hyperlink>
          </w:p>
        </w:tc>
        <w:tc>
          <w:tcPr>
            <w:tcW w:w="40" w:type="dxa"/>
            <w:vAlign w:val="bottom"/>
            <w:gridSpan w:val="2"/>
          </w:tcPr>
          <w:p>
            <w:pPr>
              <w:spacing w:after="0"/>
              <w:rPr>
                <w:sz w:val="21"/>
                <w:szCs w:val="2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4.2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40" w:type="dxa"/>
            <w:vAlign w:val="bottom"/>
            <w:tcBorders>
              <w:bottom w:val="single" w:sz="8" w:color="0000FF"/>
            </w:tcBorders>
            <w:gridSpan w:val="10"/>
          </w:tcPr>
          <w:p>
            <w:pPr>
              <w:spacing w:after="0"/>
              <w:rPr>
                <w:rFonts w:ascii="Arial" w:cs="Arial" w:eastAsia="Arial" w:hAnsi="Arial"/>
                <w:sz w:val="18"/>
                <w:szCs w:val="18"/>
                <w:color w:val="0000FF"/>
                <w:w w:val="89"/>
              </w:rPr>
            </w:pPr>
            <w:hyperlink r:id="rId24">
              <w:r>
                <w:rPr>
                  <w:rFonts w:ascii="Arial" w:cs="Arial" w:eastAsia="Arial" w:hAnsi="Arial"/>
                  <w:sz w:val="18"/>
                  <w:szCs w:val="18"/>
                  <w:color w:val="0000FF"/>
                  <w:w w:val="89"/>
                </w:rPr>
                <w:t>Indenture, dated as of June 22, 2018, by and between Marvell</w:t>
              </w:r>
            </w:hyperlink>
          </w:p>
        </w:tc>
        <w:tc>
          <w:tcPr>
            <w:tcW w:w="780" w:type="dxa"/>
            <w:vAlign w:val="bottom"/>
            <w:gridSpan w:val="18"/>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120" w:type="dxa"/>
            <w:vAlign w:val="bottom"/>
            <w:tcBorders>
              <w:bottom w:val="single" w:sz="8" w:color="0000FF"/>
            </w:tcBorders>
            <w:gridSpan w:val="25"/>
          </w:tcPr>
          <w:p>
            <w:pPr>
              <w:spacing w:after="0" w:line="196" w:lineRule="exact"/>
              <w:rPr>
                <w:rFonts w:ascii="Arial" w:cs="Arial" w:eastAsia="Arial" w:hAnsi="Arial"/>
                <w:sz w:val="18"/>
                <w:szCs w:val="18"/>
                <w:color w:val="0000FF"/>
                <w:w w:val="90"/>
              </w:rPr>
            </w:pPr>
            <w:hyperlink r:id="rId24">
              <w:r>
                <w:rPr>
                  <w:rFonts w:ascii="Arial" w:cs="Arial" w:eastAsia="Arial" w:hAnsi="Arial"/>
                  <w:sz w:val="18"/>
                  <w:szCs w:val="18"/>
                  <w:color w:val="0000FF"/>
                  <w:w w:val="90"/>
                </w:rPr>
                <w:t>Technology Group Ltd. and U.S. Bank National Association, as trustee</w:t>
              </w:r>
            </w:hyperlink>
          </w:p>
        </w:tc>
        <w:tc>
          <w:tcPr>
            <w:tcW w:w="100" w:type="dxa"/>
            <w:vAlign w:val="bottom"/>
            <w:gridSpan w:val="3"/>
          </w:tcPr>
          <w:p>
            <w:pPr>
              <w:spacing w:after="0"/>
              <w:rPr>
                <w:sz w:val="17"/>
                <w:szCs w:val="17"/>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4.3</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20" w:type="dxa"/>
            <w:vAlign w:val="bottom"/>
            <w:gridSpan w:val="28"/>
          </w:tcPr>
          <w:p>
            <w:pPr>
              <w:spacing w:after="0"/>
              <w:rPr>
                <w:rFonts w:ascii="Arial" w:cs="Arial" w:eastAsia="Arial" w:hAnsi="Arial"/>
                <w:sz w:val="18"/>
                <w:szCs w:val="18"/>
                <w:color w:val="0000FF"/>
              </w:rPr>
            </w:pPr>
            <w:hyperlink r:id="rId25">
              <w:r>
                <w:rPr>
                  <w:rFonts w:ascii="Arial" w:cs="Arial" w:eastAsia="Arial" w:hAnsi="Arial"/>
                  <w:sz w:val="18"/>
                  <w:szCs w:val="18"/>
                  <w:color w:val="0000FF"/>
                </w:rPr>
                <w:t>First Supplemental Indenture, dated as of June 22, 2018, by and</w:t>
              </w:r>
            </w:hyperlink>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70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860" w:type="dxa"/>
            <w:vAlign w:val="bottom"/>
            <w:shd w:val="clear" w:color="auto" w:fill="0000FF"/>
          </w:tcPr>
          <w:p>
            <w:pPr>
              <w:spacing w:after="0" w:line="20" w:lineRule="exact"/>
              <w:rPr>
                <w:sz w:val="1"/>
                <w:szCs w:val="1"/>
                <w:color w:val="auto"/>
              </w:rPr>
            </w:pPr>
          </w:p>
        </w:tc>
        <w:tc>
          <w:tcPr>
            <w:tcW w:w="740" w:type="dxa"/>
            <w:vAlign w:val="bottom"/>
            <w:shd w:val="clear" w:color="auto" w:fill="0000FF"/>
          </w:tcPr>
          <w:p>
            <w:pPr>
              <w:spacing w:after="0" w:line="20" w:lineRule="exact"/>
              <w:rPr>
                <w:sz w:val="1"/>
                <w:szCs w:val="1"/>
                <w:color w:val="auto"/>
              </w:rPr>
            </w:pPr>
          </w:p>
        </w:tc>
        <w:tc>
          <w:tcPr>
            <w:tcW w:w="220" w:type="dxa"/>
            <w:vAlign w:val="bottom"/>
            <w:tcBorders>
              <w:right w:val="single" w:sz="8" w:color="0000FF"/>
            </w:tcBorders>
            <w:gridSpan w:val="3"/>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gridSpan w:val="4"/>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720" w:type="dxa"/>
            <w:vAlign w:val="bottom"/>
            <w:tcBorders>
              <w:bottom w:val="single" w:sz="8" w:color="0000FF"/>
            </w:tcBorders>
            <w:gridSpan w:val="16"/>
          </w:tcPr>
          <w:p>
            <w:pPr>
              <w:spacing w:after="0" w:line="196" w:lineRule="exact"/>
              <w:rPr>
                <w:rFonts w:ascii="Arial" w:cs="Arial" w:eastAsia="Arial" w:hAnsi="Arial"/>
                <w:sz w:val="18"/>
                <w:szCs w:val="18"/>
                <w:color w:val="0000FF"/>
                <w:w w:val="91"/>
              </w:rPr>
            </w:pPr>
            <w:hyperlink r:id="rId25">
              <w:r>
                <w:rPr>
                  <w:rFonts w:ascii="Arial" w:cs="Arial" w:eastAsia="Arial" w:hAnsi="Arial"/>
                  <w:sz w:val="18"/>
                  <w:szCs w:val="18"/>
                  <w:color w:val="0000FF"/>
                  <w:w w:val="91"/>
                </w:rPr>
                <w:t>between Marvell Technology Group Ltd. and U.S. Bank National</w:t>
              </w:r>
            </w:hyperlink>
          </w:p>
        </w:tc>
        <w:tc>
          <w:tcPr>
            <w:tcW w:w="500" w:type="dxa"/>
            <w:vAlign w:val="bottom"/>
            <w:gridSpan w:val="12"/>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20" w:type="dxa"/>
            <w:vAlign w:val="bottom"/>
            <w:gridSpan w:val="28"/>
          </w:tcPr>
          <w:p>
            <w:pPr>
              <w:spacing w:after="0" w:line="196" w:lineRule="exact"/>
              <w:rPr>
                <w:rFonts w:ascii="Arial" w:cs="Arial" w:eastAsia="Arial" w:hAnsi="Arial"/>
                <w:sz w:val="18"/>
                <w:szCs w:val="18"/>
                <w:color w:val="0000FF"/>
              </w:rPr>
            </w:pPr>
            <w:hyperlink r:id="rId25">
              <w:r>
                <w:rPr>
                  <w:rFonts w:ascii="Arial" w:cs="Arial" w:eastAsia="Arial" w:hAnsi="Arial"/>
                  <w:sz w:val="18"/>
                  <w:szCs w:val="18"/>
                  <w:color w:val="0000FF"/>
                </w:rPr>
                <w:t>Association, as trustee</w:t>
              </w:r>
            </w:hyperlink>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70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gridSpan w:val="4"/>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4.4</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700" w:type="dxa"/>
            <w:vAlign w:val="bottom"/>
            <w:tcBorders>
              <w:bottom w:val="single" w:sz="8" w:color="0000FF"/>
            </w:tcBorders>
            <w:gridSpan w:val="15"/>
          </w:tcPr>
          <w:p>
            <w:pPr>
              <w:spacing w:after="0"/>
              <w:rPr>
                <w:rFonts w:ascii="Arial" w:cs="Arial" w:eastAsia="Arial" w:hAnsi="Arial"/>
                <w:sz w:val="18"/>
                <w:szCs w:val="18"/>
                <w:color w:val="0000FF"/>
                <w:w w:val="91"/>
              </w:rPr>
            </w:pPr>
            <w:hyperlink r:id="rId25">
              <w:r>
                <w:rPr>
                  <w:rFonts w:ascii="Arial" w:cs="Arial" w:eastAsia="Arial" w:hAnsi="Arial"/>
                  <w:sz w:val="18"/>
                  <w:szCs w:val="18"/>
                  <w:color w:val="0000FF"/>
                  <w:w w:val="91"/>
                </w:rPr>
                <w:t>Form of 4.200% Senior Notes due 2023 (included in Exhibit 4.3)</w:t>
              </w:r>
            </w:hyperlink>
          </w:p>
        </w:tc>
        <w:tc>
          <w:tcPr>
            <w:tcW w:w="520" w:type="dxa"/>
            <w:vAlign w:val="bottom"/>
            <w:gridSpan w:val="13"/>
          </w:tcPr>
          <w:p>
            <w:pPr>
              <w:spacing w:after="0"/>
              <w:rPr>
                <w:sz w:val="21"/>
                <w:szCs w:val="2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4.5</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20" w:type="dxa"/>
            <w:vAlign w:val="bottom"/>
            <w:gridSpan w:val="28"/>
          </w:tcPr>
          <w:p>
            <w:pPr>
              <w:spacing w:after="0"/>
              <w:rPr>
                <w:rFonts w:ascii="Arial" w:cs="Arial" w:eastAsia="Arial" w:hAnsi="Arial"/>
                <w:sz w:val="18"/>
                <w:szCs w:val="18"/>
                <w:color w:val="0000FF"/>
              </w:rPr>
            </w:pPr>
            <w:hyperlink r:id="rId25">
              <w:r>
                <w:rPr>
                  <w:rFonts w:ascii="Arial" w:cs="Arial" w:eastAsia="Arial" w:hAnsi="Arial"/>
                  <w:sz w:val="18"/>
                  <w:szCs w:val="18"/>
                  <w:color w:val="0000FF"/>
                </w:rPr>
                <w:t>Form of 4.875% Senior Notes due 2028 (included in Exhibit 4.3)</w:t>
              </w:r>
            </w:hyperlink>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360" w:type="dxa"/>
            <w:vAlign w:val="bottom"/>
            <w:tcBorders>
              <w:top w:val="single" w:sz="8" w:color="0000FF"/>
              <w:bottom w:val="single" w:sz="8" w:color="0000FF"/>
            </w:tcBorders>
            <w:gridSpan w:val="9"/>
          </w:tcPr>
          <w:p>
            <w:pPr>
              <w:spacing w:after="0"/>
              <w:rPr>
                <w:rFonts w:ascii="Arial" w:cs="Arial" w:eastAsia="Arial" w:hAnsi="Arial"/>
                <w:sz w:val="18"/>
                <w:szCs w:val="18"/>
                <w:color w:val="0000FF"/>
                <w:w w:val="89"/>
              </w:rPr>
            </w:pPr>
            <w:hyperlink r:id="rId26">
              <w:r>
                <w:rPr>
                  <w:rFonts w:ascii="Arial" w:cs="Arial" w:eastAsia="Arial" w:hAnsi="Arial"/>
                  <w:sz w:val="18"/>
                  <w:szCs w:val="18"/>
                  <w:color w:val="0000FF"/>
                  <w:w w:val="89"/>
                </w:rPr>
                <w:t>Credit Agreement dated as of June 13, 2018, among Marvell</w:t>
              </w:r>
            </w:hyperlink>
          </w:p>
        </w:tc>
        <w:tc>
          <w:tcPr>
            <w:tcW w:w="320" w:type="dxa"/>
            <w:vAlign w:val="bottom"/>
            <w:tcBorders>
              <w:top w:val="single" w:sz="8" w:color="0000FF"/>
            </w:tcBorders>
            <w:gridSpan w:val="5"/>
          </w:tcPr>
          <w:p>
            <w:pPr>
              <w:spacing w:after="0"/>
              <w:rPr>
                <w:sz w:val="21"/>
                <w:szCs w:val="21"/>
                <w:color w:val="auto"/>
              </w:rPr>
            </w:pPr>
          </w:p>
        </w:tc>
        <w:tc>
          <w:tcPr>
            <w:tcW w:w="540" w:type="dxa"/>
            <w:vAlign w:val="bottom"/>
            <w:gridSpan w:val="14"/>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20" w:type="dxa"/>
            <w:vAlign w:val="bottom"/>
            <w:gridSpan w:val="28"/>
          </w:tcPr>
          <w:p>
            <w:pPr>
              <w:spacing w:after="0" w:line="196" w:lineRule="exact"/>
              <w:rPr>
                <w:rFonts w:ascii="Arial" w:cs="Arial" w:eastAsia="Arial" w:hAnsi="Arial"/>
                <w:sz w:val="18"/>
                <w:szCs w:val="18"/>
                <w:color w:val="0000FF"/>
                <w:w w:val="97"/>
              </w:rPr>
            </w:pPr>
            <w:hyperlink r:id="rId26">
              <w:r>
                <w:rPr>
                  <w:rFonts w:ascii="Arial" w:cs="Arial" w:eastAsia="Arial" w:hAnsi="Arial"/>
                  <w:sz w:val="18"/>
                  <w:szCs w:val="18"/>
                  <w:color w:val="0000FF"/>
                  <w:w w:val="97"/>
                </w:rPr>
                <w:t>Technology Group Ltd., the Lenders party thereto, Goldman Sachs</w:t>
              </w:r>
            </w:hyperlink>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70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860" w:type="dxa"/>
            <w:vAlign w:val="bottom"/>
            <w:shd w:val="clear" w:color="auto" w:fill="0000FF"/>
          </w:tcPr>
          <w:p>
            <w:pPr>
              <w:spacing w:after="0" w:line="20" w:lineRule="exact"/>
              <w:rPr>
                <w:sz w:val="1"/>
                <w:szCs w:val="1"/>
                <w:color w:val="auto"/>
              </w:rPr>
            </w:pPr>
          </w:p>
        </w:tc>
        <w:tc>
          <w:tcPr>
            <w:tcW w:w="960" w:type="dxa"/>
            <w:vAlign w:val="bottom"/>
            <w:tcBorders>
              <w:right w:val="single" w:sz="8" w:color="0000FF"/>
            </w:tcBorders>
            <w:gridSpan w:val="4"/>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 w:type="dxa"/>
            <w:vAlign w:val="bottom"/>
            <w:gridSpan w:val="3"/>
            <w:shd w:val="clear" w:color="auto" w:fill="0000FF"/>
          </w:tcPr>
          <w:p>
            <w:pPr>
              <w:spacing w:after="0" w:line="20" w:lineRule="exact"/>
              <w:rPr>
                <w:sz w:val="1"/>
                <w:szCs w:val="1"/>
                <w:color w:val="auto"/>
              </w:rPr>
            </w:pPr>
          </w:p>
        </w:tc>
        <w:tc>
          <w:tcPr>
            <w:tcW w:w="80" w:type="dxa"/>
            <w:vAlign w:val="bottom"/>
            <w:gridSpan w:val="2"/>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gridSpan w:val="4"/>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100" w:type="dxa"/>
            <w:vAlign w:val="bottom"/>
            <w:tcBorders>
              <w:bottom w:val="single" w:sz="8" w:color="0000FF"/>
            </w:tcBorders>
            <w:gridSpan w:val="24"/>
          </w:tcPr>
          <w:p>
            <w:pPr>
              <w:spacing w:after="0" w:line="196" w:lineRule="exact"/>
              <w:rPr>
                <w:rFonts w:ascii="Arial" w:cs="Arial" w:eastAsia="Arial" w:hAnsi="Arial"/>
                <w:sz w:val="18"/>
                <w:szCs w:val="18"/>
                <w:color w:val="0000FF"/>
                <w:w w:val="91"/>
              </w:rPr>
            </w:pPr>
            <w:hyperlink r:id="rId26">
              <w:r>
                <w:rPr>
                  <w:rFonts w:ascii="Arial" w:cs="Arial" w:eastAsia="Arial" w:hAnsi="Arial"/>
                  <w:sz w:val="18"/>
                  <w:szCs w:val="18"/>
                  <w:color w:val="0000FF"/>
                  <w:w w:val="91"/>
                </w:rPr>
                <w:t>Bank USA, as the General Administrative Agent and the Term Facility</w:t>
              </w:r>
            </w:hyperlink>
          </w:p>
        </w:tc>
        <w:tc>
          <w:tcPr>
            <w:tcW w:w="120" w:type="dxa"/>
            <w:vAlign w:val="bottom"/>
            <w:gridSpan w:val="4"/>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20" w:type="dxa"/>
            <w:vAlign w:val="bottom"/>
            <w:gridSpan w:val="28"/>
          </w:tcPr>
          <w:p>
            <w:pPr>
              <w:spacing w:after="0" w:line="196" w:lineRule="exact"/>
              <w:rPr>
                <w:rFonts w:ascii="Arial" w:cs="Arial" w:eastAsia="Arial" w:hAnsi="Arial"/>
                <w:sz w:val="18"/>
                <w:szCs w:val="18"/>
                <w:color w:val="0000FF"/>
                <w:w w:val="98"/>
              </w:rPr>
            </w:pPr>
            <w:hyperlink r:id="rId26">
              <w:r>
                <w:rPr>
                  <w:rFonts w:ascii="Arial" w:cs="Arial" w:eastAsia="Arial" w:hAnsi="Arial"/>
                  <w:sz w:val="18"/>
                  <w:szCs w:val="18"/>
                  <w:color w:val="0000FF"/>
                  <w:w w:val="98"/>
                </w:rPr>
                <w:t>Agent, and Bank of America, N.A., as the Revolving Facility Agent</w:t>
              </w:r>
            </w:hyperlink>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840" w:type="dxa"/>
            <w:vAlign w:val="bottom"/>
            <w:tcBorders>
              <w:top w:val="single" w:sz="8" w:color="0000FF"/>
              <w:bottom w:val="single" w:sz="8" w:color="0000FF"/>
            </w:tcBorders>
            <w:gridSpan w:val="19"/>
          </w:tcPr>
          <w:p>
            <w:pPr>
              <w:spacing w:after="0"/>
              <w:rPr>
                <w:rFonts w:ascii="Arial" w:cs="Arial" w:eastAsia="Arial" w:hAnsi="Arial"/>
                <w:sz w:val="18"/>
                <w:szCs w:val="18"/>
                <w:color w:val="0000FF"/>
                <w:w w:val="90"/>
              </w:rPr>
            </w:pPr>
            <w:hyperlink r:id="rId27">
              <w:r>
                <w:rPr>
                  <w:rFonts w:ascii="Arial" w:cs="Arial" w:eastAsia="Arial" w:hAnsi="Arial"/>
                  <w:sz w:val="18"/>
                  <w:szCs w:val="18"/>
                  <w:color w:val="0000FF"/>
                  <w:w w:val="90"/>
                </w:rPr>
                <w:t>Severance Agreement between the Company and Willem Meintjes,</w:t>
              </w:r>
            </w:hyperlink>
          </w:p>
        </w:tc>
        <w:tc>
          <w:tcPr>
            <w:tcW w:w="40" w:type="dxa"/>
            <w:vAlign w:val="bottom"/>
            <w:tcBorders>
              <w:top w:val="single" w:sz="8" w:color="0000FF"/>
            </w:tcBorders>
          </w:tcPr>
          <w:p>
            <w:pPr>
              <w:spacing w:after="0"/>
              <w:rPr>
                <w:sz w:val="21"/>
                <w:szCs w:val="21"/>
                <w:color w:val="auto"/>
              </w:rPr>
            </w:pPr>
          </w:p>
        </w:tc>
        <w:tc>
          <w:tcPr>
            <w:tcW w:w="340" w:type="dxa"/>
            <w:vAlign w:val="bottom"/>
            <w:gridSpan w:val="8"/>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760" w:type="dxa"/>
            <w:vAlign w:val="bottom"/>
            <w:tcBorders>
              <w:bottom w:val="single" w:sz="8" w:color="0000FF"/>
            </w:tcBorders>
            <w:gridSpan w:val="7"/>
          </w:tcPr>
          <w:p>
            <w:pPr>
              <w:spacing w:after="0" w:line="196" w:lineRule="exact"/>
              <w:rPr>
                <w:rFonts w:ascii="Arial" w:cs="Arial" w:eastAsia="Arial" w:hAnsi="Arial"/>
                <w:sz w:val="18"/>
                <w:szCs w:val="18"/>
                <w:color w:val="0000FF"/>
                <w:w w:val="87"/>
              </w:rPr>
            </w:pPr>
            <w:hyperlink r:id="rId27">
              <w:r>
                <w:rPr>
                  <w:rFonts w:ascii="Arial" w:cs="Arial" w:eastAsia="Arial" w:hAnsi="Arial"/>
                  <w:sz w:val="18"/>
                  <w:szCs w:val="18"/>
                  <w:color w:val="0000FF"/>
                  <w:w w:val="87"/>
                </w:rPr>
                <w:t>dated December 9, 2016</w:t>
              </w:r>
            </w:hyperlink>
          </w:p>
        </w:tc>
        <w:tc>
          <w:tcPr>
            <w:tcW w:w="3460" w:type="dxa"/>
            <w:vAlign w:val="bottom"/>
            <w:gridSpan w:val="21"/>
          </w:tcPr>
          <w:p>
            <w:pPr>
              <w:spacing w:after="0"/>
              <w:rPr>
                <w:sz w:val="17"/>
                <w:szCs w:val="17"/>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10.3</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620" w:type="dxa"/>
            <w:vAlign w:val="bottom"/>
            <w:tcBorders>
              <w:bottom w:val="single" w:sz="8" w:color="0000FF"/>
            </w:tcBorders>
            <w:gridSpan w:val="8"/>
          </w:tcPr>
          <w:p>
            <w:pPr>
              <w:spacing w:after="0"/>
              <w:rPr>
                <w:rFonts w:ascii="Arial" w:cs="Arial" w:eastAsia="Arial" w:hAnsi="Arial"/>
                <w:sz w:val="18"/>
                <w:szCs w:val="18"/>
                <w:color w:val="0000FF"/>
                <w:w w:val="91"/>
              </w:rPr>
            </w:pPr>
            <w:hyperlink w:anchor="page66">
              <w:r>
                <w:rPr>
                  <w:rFonts w:ascii="Arial" w:cs="Arial" w:eastAsia="Arial" w:hAnsi="Arial"/>
                  <w:sz w:val="18"/>
                  <w:szCs w:val="18"/>
                  <w:color w:val="0000FF"/>
                  <w:w w:val="91"/>
                </w:rPr>
                <w:t>Offer Letter between Marvell and Raghib Hussain</w:t>
              </w:r>
            </w:hyperlink>
          </w:p>
        </w:tc>
        <w:tc>
          <w:tcPr>
            <w:tcW w:w="1600" w:type="dxa"/>
            <w:vAlign w:val="bottom"/>
            <w:gridSpan w:val="20"/>
          </w:tcPr>
          <w:p>
            <w:pPr>
              <w:spacing w:after="0"/>
              <w:rPr>
                <w:sz w:val="21"/>
                <w:szCs w:val="2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720" w:type="dxa"/>
            <w:vAlign w:val="bottom"/>
            <w:tcBorders>
              <w:bottom w:val="single" w:sz="8" w:color="0000FF"/>
            </w:tcBorders>
            <w:gridSpan w:val="16"/>
          </w:tcPr>
          <w:p>
            <w:pPr>
              <w:spacing w:after="0"/>
              <w:rPr>
                <w:rFonts w:ascii="Arial" w:cs="Arial" w:eastAsia="Arial" w:hAnsi="Arial"/>
                <w:sz w:val="18"/>
                <w:szCs w:val="18"/>
                <w:color w:val="0000FF"/>
                <w:w w:val="92"/>
              </w:rPr>
            </w:pPr>
            <w:hyperlink w:anchor="page74">
              <w:r>
                <w:rPr>
                  <w:rFonts w:ascii="Arial" w:cs="Arial" w:eastAsia="Arial" w:hAnsi="Arial"/>
                  <w:sz w:val="18"/>
                  <w:szCs w:val="18"/>
                  <w:color w:val="0000FF"/>
                  <w:w w:val="92"/>
                </w:rPr>
                <w:t>Rule 13a-14(a)/15d-14(a) Certification of the Principal Executive</w:t>
              </w:r>
            </w:hyperlink>
          </w:p>
        </w:tc>
        <w:tc>
          <w:tcPr>
            <w:tcW w:w="500" w:type="dxa"/>
            <w:vAlign w:val="bottom"/>
            <w:gridSpan w:val="12"/>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bottom w:val="single" w:sz="8" w:color="0000FF"/>
            </w:tcBorders>
            <w:gridSpan w:val="2"/>
          </w:tcPr>
          <w:p>
            <w:pPr>
              <w:spacing w:after="0" w:line="196" w:lineRule="exact"/>
              <w:rPr>
                <w:rFonts w:ascii="Arial" w:cs="Arial" w:eastAsia="Arial" w:hAnsi="Arial"/>
                <w:sz w:val="18"/>
                <w:szCs w:val="18"/>
                <w:color w:val="0000FF"/>
                <w:w w:val="94"/>
              </w:rPr>
            </w:pPr>
            <w:hyperlink w:anchor="page74">
              <w:r>
                <w:rPr>
                  <w:rFonts w:ascii="Arial" w:cs="Arial" w:eastAsia="Arial" w:hAnsi="Arial"/>
                  <w:sz w:val="18"/>
                  <w:szCs w:val="18"/>
                  <w:color w:val="0000FF"/>
                  <w:w w:val="94"/>
                </w:rPr>
                <w:t>Officer</w:t>
              </w:r>
            </w:hyperlink>
          </w:p>
        </w:tc>
        <w:tc>
          <w:tcPr>
            <w:tcW w:w="4700" w:type="dxa"/>
            <w:vAlign w:val="bottom"/>
            <w:gridSpan w:val="26"/>
          </w:tcPr>
          <w:p>
            <w:pPr>
              <w:spacing w:after="0"/>
              <w:rPr>
                <w:sz w:val="17"/>
                <w:szCs w:val="17"/>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20" w:type="dxa"/>
            <w:vAlign w:val="bottom"/>
            <w:gridSpan w:val="28"/>
          </w:tcPr>
          <w:p>
            <w:pPr>
              <w:spacing w:after="0"/>
              <w:rPr>
                <w:rFonts w:ascii="Arial" w:cs="Arial" w:eastAsia="Arial" w:hAnsi="Arial"/>
                <w:sz w:val="18"/>
                <w:szCs w:val="18"/>
                <w:color w:val="0000FF"/>
              </w:rPr>
            </w:pPr>
            <w:hyperlink w:anchor="page75">
              <w:r>
                <w:rPr>
                  <w:rFonts w:ascii="Arial" w:cs="Arial" w:eastAsia="Arial" w:hAnsi="Arial"/>
                  <w:sz w:val="18"/>
                  <w:szCs w:val="18"/>
                  <w:color w:val="0000FF"/>
                </w:rPr>
                <w:t>Rule 13a-14(a)/15d-14(a) Certification of the Principal Financial</w:t>
              </w:r>
            </w:hyperlink>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top w:val="single" w:sz="8" w:color="0000FF"/>
              <w:bottom w:val="single" w:sz="8" w:color="0000FF"/>
            </w:tcBorders>
            <w:gridSpan w:val="2"/>
          </w:tcPr>
          <w:p>
            <w:pPr>
              <w:spacing w:after="0" w:line="196" w:lineRule="exact"/>
              <w:rPr>
                <w:rFonts w:ascii="Arial" w:cs="Arial" w:eastAsia="Arial" w:hAnsi="Arial"/>
                <w:sz w:val="18"/>
                <w:szCs w:val="18"/>
                <w:color w:val="0000FF"/>
                <w:w w:val="94"/>
              </w:rPr>
            </w:pPr>
            <w:hyperlink w:anchor="page75">
              <w:r>
                <w:rPr>
                  <w:rFonts w:ascii="Arial" w:cs="Arial" w:eastAsia="Arial" w:hAnsi="Arial"/>
                  <w:sz w:val="18"/>
                  <w:szCs w:val="18"/>
                  <w:color w:val="0000FF"/>
                  <w:w w:val="94"/>
                </w:rPr>
                <w:t>Officer</w:t>
              </w:r>
            </w:hyperlink>
          </w:p>
        </w:tc>
        <w:tc>
          <w:tcPr>
            <w:tcW w:w="4140" w:type="dxa"/>
            <w:vAlign w:val="bottom"/>
            <w:tcBorders>
              <w:top w:val="single" w:sz="8" w:color="0000FF"/>
            </w:tcBorders>
            <w:gridSpan w:val="11"/>
          </w:tcPr>
          <w:p>
            <w:pPr>
              <w:spacing w:after="0"/>
              <w:rPr>
                <w:sz w:val="17"/>
                <w:szCs w:val="17"/>
                <w:color w:val="auto"/>
              </w:rPr>
            </w:pPr>
          </w:p>
        </w:tc>
        <w:tc>
          <w:tcPr>
            <w:tcW w:w="560" w:type="dxa"/>
            <w:vAlign w:val="bottom"/>
            <w:gridSpan w:val="15"/>
          </w:tcPr>
          <w:p>
            <w:pPr>
              <w:spacing w:after="0"/>
              <w:rPr>
                <w:sz w:val="17"/>
                <w:szCs w:val="17"/>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20" w:type="dxa"/>
            <w:vAlign w:val="bottom"/>
            <w:gridSpan w:val="28"/>
          </w:tcPr>
          <w:p>
            <w:pPr>
              <w:spacing w:after="0"/>
              <w:rPr>
                <w:rFonts w:ascii="Arial" w:cs="Arial" w:eastAsia="Arial" w:hAnsi="Arial"/>
                <w:sz w:val="18"/>
                <w:szCs w:val="18"/>
                <w:color w:val="0000FF"/>
                <w:w w:val="92"/>
              </w:rPr>
            </w:pPr>
            <w:hyperlink w:anchor="page76">
              <w:r>
                <w:rPr>
                  <w:rFonts w:ascii="Arial" w:cs="Arial" w:eastAsia="Arial" w:hAnsi="Arial"/>
                  <w:sz w:val="18"/>
                  <w:szCs w:val="18"/>
                  <w:color w:val="0000FF"/>
                  <w:w w:val="92"/>
                </w:rPr>
                <w:t>Certification Pursuant to 18 U.S.C. Section 1350, as Adopted Pursuant</w:t>
              </w:r>
            </w:hyperlink>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23"/>
          </w:tcPr>
          <w:p>
            <w:pPr>
              <w:spacing w:after="0" w:line="196" w:lineRule="exact"/>
              <w:rPr>
                <w:rFonts w:ascii="Arial" w:cs="Arial" w:eastAsia="Arial" w:hAnsi="Arial"/>
                <w:sz w:val="18"/>
                <w:szCs w:val="18"/>
                <w:color w:val="0000FF"/>
              </w:rPr>
            </w:pPr>
            <w:hyperlink w:anchor="page76">
              <w:r>
                <w:rPr>
                  <w:rFonts w:ascii="Arial" w:cs="Arial" w:eastAsia="Arial" w:hAnsi="Arial"/>
                  <w:sz w:val="18"/>
                  <w:szCs w:val="18"/>
                  <w:color w:val="0000FF"/>
                </w:rPr>
                <w:t>to Section 906 of the Sarbanes-Oxley Act of 2002 for Principal</w:t>
              </w:r>
            </w:hyperlink>
          </w:p>
        </w:tc>
        <w:tc>
          <w:tcPr>
            <w:tcW w:w="140" w:type="dxa"/>
            <w:vAlign w:val="bottom"/>
            <w:gridSpan w:val="5"/>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80" w:type="dxa"/>
            <w:vAlign w:val="bottom"/>
            <w:tcBorders>
              <w:top w:val="single" w:sz="8" w:color="0000FF"/>
              <w:bottom w:val="single" w:sz="8" w:color="0000FF"/>
            </w:tcBorders>
            <w:gridSpan w:val="5"/>
          </w:tcPr>
          <w:p>
            <w:pPr>
              <w:spacing w:after="0" w:line="196" w:lineRule="exact"/>
              <w:rPr>
                <w:rFonts w:ascii="Arial" w:cs="Arial" w:eastAsia="Arial" w:hAnsi="Arial"/>
                <w:sz w:val="18"/>
                <w:szCs w:val="18"/>
                <w:color w:val="0000FF"/>
                <w:w w:val="92"/>
              </w:rPr>
            </w:pPr>
            <w:hyperlink w:anchor="page76">
              <w:r>
                <w:rPr>
                  <w:rFonts w:ascii="Arial" w:cs="Arial" w:eastAsia="Arial" w:hAnsi="Arial"/>
                  <w:sz w:val="18"/>
                  <w:szCs w:val="18"/>
                  <w:color w:val="0000FF"/>
                  <w:w w:val="92"/>
                </w:rPr>
                <w:t>Executive Officer</w:t>
              </w:r>
            </w:hyperlink>
          </w:p>
        </w:tc>
        <w:tc>
          <w:tcPr>
            <w:tcW w:w="3300" w:type="dxa"/>
            <w:vAlign w:val="bottom"/>
            <w:tcBorders>
              <w:top w:val="single" w:sz="8" w:color="0000FF"/>
            </w:tcBorders>
            <w:gridSpan w:val="7"/>
          </w:tcPr>
          <w:p>
            <w:pPr>
              <w:spacing w:after="0"/>
              <w:rPr>
                <w:sz w:val="17"/>
                <w:szCs w:val="17"/>
                <w:color w:val="auto"/>
              </w:rPr>
            </w:pPr>
          </w:p>
        </w:tc>
        <w:tc>
          <w:tcPr>
            <w:tcW w:w="640" w:type="dxa"/>
            <w:vAlign w:val="bottom"/>
            <w:gridSpan w:val="16"/>
          </w:tcPr>
          <w:p>
            <w:pPr>
              <w:spacing w:after="0"/>
              <w:rPr>
                <w:sz w:val="17"/>
                <w:szCs w:val="17"/>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220" w:type="dxa"/>
            <w:vAlign w:val="bottom"/>
            <w:gridSpan w:val="28"/>
          </w:tcPr>
          <w:p>
            <w:pPr>
              <w:spacing w:after="0"/>
              <w:rPr>
                <w:rFonts w:ascii="Arial" w:cs="Arial" w:eastAsia="Arial" w:hAnsi="Arial"/>
                <w:sz w:val="18"/>
                <w:szCs w:val="18"/>
                <w:color w:val="0000FF"/>
                <w:w w:val="92"/>
              </w:rPr>
            </w:pPr>
            <w:hyperlink w:anchor="page77">
              <w:r>
                <w:rPr>
                  <w:rFonts w:ascii="Arial" w:cs="Arial" w:eastAsia="Arial" w:hAnsi="Arial"/>
                  <w:sz w:val="18"/>
                  <w:szCs w:val="18"/>
                  <w:color w:val="0000FF"/>
                  <w:w w:val="92"/>
                </w:rPr>
                <w:t>Certification Pursuant to 18 U.S.C. Section 1350, as Adopted Pursuant</w:t>
              </w:r>
            </w:hyperlink>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23"/>
          </w:tcPr>
          <w:p>
            <w:pPr>
              <w:spacing w:after="0" w:line="196" w:lineRule="exact"/>
              <w:rPr>
                <w:rFonts w:ascii="Arial" w:cs="Arial" w:eastAsia="Arial" w:hAnsi="Arial"/>
                <w:sz w:val="18"/>
                <w:szCs w:val="18"/>
                <w:color w:val="0000FF"/>
              </w:rPr>
            </w:pPr>
            <w:hyperlink w:anchor="page77">
              <w:r>
                <w:rPr>
                  <w:rFonts w:ascii="Arial" w:cs="Arial" w:eastAsia="Arial" w:hAnsi="Arial"/>
                  <w:sz w:val="18"/>
                  <w:szCs w:val="18"/>
                  <w:color w:val="0000FF"/>
                </w:rPr>
                <w:t>to Section 906 of the Sarbanes-Oxley Act of 2002 for Principal</w:t>
              </w:r>
            </w:hyperlink>
          </w:p>
        </w:tc>
        <w:tc>
          <w:tcPr>
            <w:tcW w:w="140" w:type="dxa"/>
            <w:vAlign w:val="bottom"/>
            <w:gridSpan w:val="5"/>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580" w:type="dxa"/>
            <w:vAlign w:val="bottom"/>
            <w:tcBorders>
              <w:top w:val="single" w:sz="8" w:color="0000FF"/>
            </w:tcBorders>
            <w:gridSpan w:val="12"/>
          </w:tcPr>
          <w:p>
            <w:pPr>
              <w:spacing w:after="0" w:line="196" w:lineRule="exact"/>
              <w:rPr>
                <w:rFonts w:ascii="Arial" w:cs="Arial" w:eastAsia="Arial" w:hAnsi="Arial"/>
                <w:sz w:val="18"/>
                <w:szCs w:val="18"/>
                <w:color w:val="0000FF"/>
              </w:rPr>
            </w:pPr>
            <w:hyperlink w:anchor="page77">
              <w:r>
                <w:rPr>
                  <w:rFonts w:ascii="Arial" w:cs="Arial" w:eastAsia="Arial" w:hAnsi="Arial"/>
                  <w:sz w:val="18"/>
                  <w:szCs w:val="18"/>
                  <w:color w:val="0000FF"/>
                </w:rPr>
                <w:t>Financial Officer</w:t>
              </w:r>
            </w:hyperlink>
          </w:p>
        </w:tc>
        <w:tc>
          <w:tcPr>
            <w:tcW w:w="640" w:type="dxa"/>
            <w:vAlign w:val="bottom"/>
            <w:gridSpan w:val="16"/>
          </w:tcPr>
          <w:p>
            <w:pPr>
              <w:spacing w:after="0"/>
              <w:rPr>
                <w:sz w:val="17"/>
                <w:szCs w:val="17"/>
                <w:color w:val="auto"/>
              </w:rPr>
            </w:pPr>
          </w:p>
        </w:tc>
      </w:tr>
      <w:tr>
        <w:trPr>
          <w:trHeight w:val="20"/>
        </w:trPr>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20" w:type="dxa"/>
            <w:vAlign w:val="bottom"/>
            <w:gridSpan w:val="4"/>
            <w:shd w:val="clear" w:color="auto" w:fill="0000FF"/>
          </w:tcPr>
          <w:p>
            <w:pPr>
              <w:spacing w:after="0" w:line="20" w:lineRule="exact"/>
              <w:rPr>
                <w:sz w:val="1"/>
                <w:szCs w:val="1"/>
                <w:color w:val="auto"/>
              </w:rPr>
            </w:pPr>
          </w:p>
        </w:tc>
        <w:tc>
          <w:tcPr>
            <w:tcW w:w="4000" w:type="dxa"/>
            <w:vAlign w:val="bottom"/>
            <w:gridSpan w:val="24"/>
          </w:tcPr>
          <w:p>
            <w:pPr>
              <w:spacing w:after="0" w:line="20" w:lineRule="exact"/>
              <w:rPr>
                <w:sz w:val="1"/>
                <w:szCs w:val="1"/>
                <w:color w:val="auto"/>
              </w:rPr>
            </w:pPr>
          </w:p>
        </w:tc>
      </w:tr>
      <w:tr>
        <w:trPr>
          <w:trHeight w:val="291"/>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101.INS</w:t>
            </w:r>
          </w:p>
        </w:tc>
        <w:tc>
          <w:tcPr>
            <w:tcW w:w="40" w:type="dxa"/>
            <w:vAlign w:val="bottom"/>
          </w:tcPr>
          <w:p>
            <w:pPr>
              <w:spacing w:after="0"/>
              <w:rPr>
                <w:sz w:val="24"/>
                <w:szCs w:val="24"/>
                <w:color w:val="auto"/>
              </w:rPr>
            </w:pPr>
          </w:p>
        </w:tc>
        <w:tc>
          <w:tcPr>
            <w:tcW w:w="5220" w:type="dxa"/>
            <w:vAlign w:val="bottom"/>
            <w:gridSpan w:val="28"/>
          </w:tcPr>
          <w:p>
            <w:pPr>
              <w:spacing w:after="0"/>
              <w:rPr>
                <w:sz w:val="20"/>
                <w:szCs w:val="20"/>
                <w:color w:val="auto"/>
              </w:rPr>
            </w:pPr>
            <w:r>
              <w:rPr>
                <w:rFonts w:ascii="Arial" w:cs="Arial" w:eastAsia="Arial" w:hAnsi="Arial"/>
                <w:sz w:val="18"/>
                <w:szCs w:val="18"/>
                <w:color w:val="auto"/>
              </w:rPr>
              <w:t>XBRL Instance Document</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101.SCH</w:t>
            </w:r>
          </w:p>
        </w:tc>
        <w:tc>
          <w:tcPr>
            <w:tcW w:w="40" w:type="dxa"/>
            <w:vAlign w:val="bottom"/>
          </w:tcPr>
          <w:p>
            <w:pPr>
              <w:spacing w:after="0"/>
              <w:rPr>
                <w:sz w:val="23"/>
                <w:szCs w:val="23"/>
                <w:color w:val="auto"/>
              </w:rPr>
            </w:pPr>
          </w:p>
        </w:tc>
        <w:tc>
          <w:tcPr>
            <w:tcW w:w="5220" w:type="dxa"/>
            <w:vAlign w:val="bottom"/>
            <w:gridSpan w:val="28"/>
          </w:tcPr>
          <w:p>
            <w:pPr>
              <w:spacing w:after="0"/>
              <w:rPr>
                <w:sz w:val="20"/>
                <w:szCs w:val="20"/>
                <w:color w:val="auto"/>
              </w:rPr>
            </w:pPr>
            <w:r>
              <w:rPr>
                <w:rFonts w:ascii="Arial" w:cs="Arial" w:eastAsia="Arial" w:hAnsi="Arial"/>
                <w:sz w:val="18"/>
                <w:szCs w:val="18"/>
                <w:color w:val="auto"/>
              </w:rPr>
              <w:t>XBRL Taxonomy Extension Schema Document</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101.CAL</w:t>
            </w:r>
          </w:p>
        </w:tc>
        <w:tc>
          <w:tcPr>
            <w:tcW w:w="40" w:type="dxa"/>
            <w:vAlign w:val="bottom"/>
          </w:tcPr>
          <w:p>
            <w:pPr>
              <w:spacing w:after="0"/>
              <w:rPr>
                <w:sz w:val="23"/>
                <w:szCs w:val="23"/>
                <w:color w:val="auto"/>
              </w:rPr>
            </w:pPr>
          </w:p>
        </w:tc>
        <w:tc>
          <w:tcPr>
            <w:tcW w:w="5220" w:type="dxa"/>
            <w:vAlign w:val="bottom"/>
            <w:gridSpan w:val="28"/>
          </w:tcPr>
          <w:p>
            <w:pPr>
              <w:spacing w:after="0"/>
              <w:rPr>
                <w:sz w:val="20"/>
                <w:szCs w:val="20"/>
                <w:color w:val="auto"/>
              </w:rPr>
            </w:pPr>
            <w:r>
              <w:rPr>
                <w:rFonts w:ascii="Arial" w:cs="Arial" w:eastAsia="Arial" w:hAnsi="Arial"/>
                <w:sz w:val="18"/>
                <w:szCs w:val="18"/>
                <w:color w:val="auto"/>
              </w:rPr>
              <w:t>XBRL Taxonomy Extension Calculation Linkbase Document</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101.DEF</w:t>
            </w:r>
          </w:p>
        </w:tc>
        <w:tc>
          <w:tcPr>
            <w:tcW w:w="40" w:type="dxa"/>
            <w:vAlign w:val="bottom"/>
          </w:tcPr>
          <w:p>
            <w:pPr>
              <w:spacing w:after="0"/>
              <w:rPr>
                <w:sz w:val="23"/>
                <w:szCs w:val="23"/>
                <w:color w:val="auto"/>
              </w:rPr>
            </w:pPr>
          </w:p>
        </w:tc>
        <w:tc>
          <w:tcPr>
            <w:tcW w:w="5220" w:type="dxa"/>
            <w:vAlign w:val="bottom"/>
            <w:gridSpan w:val="28"/>
          </w:tcPr>
          <w:p>
            <w:pPr>
              <w:spacing w:after="0"/>
              <w:rPr>
                <w:sz w:val="20"/>
                <w:szCs w:val="20"/>
                <w:color w:val="auto"/>
              </w:rPr>
            </w:pPr>
            <w:r>
              <w:rPr>
                <w:rFonts w:ascii="Arial" w:cs="Arial" w:eastAsia="Arial" w:hAnsi="Arial"/>
                <w:sz w:val="18"/>
                <w:szCs w:val="18"/>
                <w:color w:val="auto"/>
              </w:rPr>
              <w:t>XBRL Taxonomy Extension Definition Document</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101.LAB</w:t>
            </w:r>
          </w:p>
        </w:tc>
        <w:tc>
          <w:tcPr>
            <w:tcW w:w="40" w:type="dxa"/>
            <w:vAlign w:val="bottom"/>
          </w:tcPr>
          <w:p>
            <w:pPr>
              <w:spacing w:after="0"/>
              <w:rPr>
                <w:sz w:val="23"/>
                <w:szCs w:val="23"/>
                <w:color w:val="auto"/>
              </w:rPr>
            </w:pPr>
          </w:p>
        </w:tc>
        <w:tc>
          <w:tcPr>
            <w:tcW w:w="5220" w:type="dxa"/>
            <w:vAlign w:val="bottom"/>
            <w:gridSpan w:val="28"/>
          </w:tcPr>
          <w:p>
            <w:pPr>
              <w:spacing w:after="0"/>
              <w:rPr>
                <w:sz w:val="20"/>
                <w:szCs w:val="20"/>
                <w:color w:val="auto"/>
              </w:rPr>
            </w:pPr>
            <w:r>
              <w:rPr>
                <w:rFonts w:ascii="Arial" w:cs="Arial" w:eastAsia="Arial" w:hAnsi="Arial"/>
                <w:sz w:val="18"/>
                <w:szCs w:val="18"/>
                <w:color w:val="auto"/>
              </w:rPr>
              <w:t>XBRL Taxonomy Extension Label Linkbase Document</w:t>
            </w:r>
          </w:p>
        </w:tc>
      </w:tr>
      <w:tr>
        <w:trPr>
          <w:trHeight w:val="486"/>
        </w:trPr>
        <w:tc>
          <w:tcPr>
            <w:tcW w:w="9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20" w:type="dxa"/>
            <w:vAlign w:val="bottom"/>
            <w:gridSpan w:val="18"/>
          </w:tcPr>
          <w:p>
            <w:pPr>
              <w:jc w:val="right"/>
              <w:ind w:right="60"/>
              <w:spacing w:after="0"/>
              <w:rPr>
                <w:sz w:val="20"/>
                <w:szCs w:val="20"/>
                <w:color w:val="auto"/>
              </w:rPr>
            </w:pPr>
            <w:r>
              <w:rPr>
                <w:rFonts w:ascii="Arial" w:cs="Arial" w:eastAsia="Arial" w:hAnsi="Arial"/>
                <w:sz w:val="18"/>
                <w:szCs w:val="18"/>
                <w:color w:val="auto"/>
              </w:rPr>
              <w:t>61</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ind w:left="220"/>
              <w:spacing w:after="0"/>
              <w:rPr>
                <w:sz w:val="20"/>
                <w:szCs w:val="20"/>
                <w:color w:val="auto"/>
              </w:rPr>
            </w:pPr>
            <w:r>
              <w:rPr>
                <w:rFonts w:ascii="Arial" w:cs="Arial" w:eastAsia="Arial" w:hAnsi="Arial"/>
                <w:sz w:val="14"/>
                <w:szCs w:val="14"/>
                <w:color w:val="auto"/>
              </w:rPr>
              <w:t>Incorporated by</w:t>
            </w:r>
          </w:p>
        </w:tc>
        <w:tc>
          <w:tcPr>
            <w:tcW w:w="1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ind w:left="220"/>
              <w:spacing w:after="0" w:line="149" w:lineRule="exact"/>
              <w:rPr>
                <w:sz w:val="20"/>
                <w:szCs w:val="20"/>
                <w:color w:val="auto"/>
              </w:rPr>
            </w:pPr>
            <w:r>
              <w:rPr>
                <w:rFonts w:ascii="Arial" w:cs="Arial" w:eastAsia="Arial" w:hAnsi="Arial"/>
                <w:sz w:val="14"/>
                <w:szCs w:val="14"/>
                <w:color w:val="auto"/>
              </w:rPr>
              <w:t>Reference from</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8"/>
        </w:trPr>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1"/>
              </w:rPr>
              <w:t>Form</w:t>
            </w:r>
          </w:p>
        </w:tc>
        <w:tc>
          <w:tcPr>
            <w:tcW w:w="120" w:type="dxa"/>
            <w:vAlign w:val="bottom"/>
          </w:tcPr>
          <w:p>
            <w:pPr>
              <w:spacing w:after="0"/>
              <w:rPr>
                <w:sz w:val="16"/>
                <w:szCs w:val="16"/>
                <w:color w:val="auto"/>
              </w:rPr>
            </w:pPr>
          </w:p>
        </w:tc>
        <w:tc>
          <w:tcPr>
            <w:tcW w:w="112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4"/>
              </w:rPr>
              <w:t>File Number</w:t>
            </w:r>
          </w:p>
        </w:tc>
        <w:tc>
          <w:tcPr>
            <w:tcW w:w="120" w:type="dxa"/>
            <w:vAlign w:val="bottom"/>
          </w:tcPr>
          <w:p>
            <w:pPr>
              <w:spacing w:after="0"/>
              <w:rPr>
                <w:sz w:val="16"/>
                <w:szCs w:val="16"/>
                <w:color w:val="auto"/>
              </w:rPr>
            </w:pPr>
          </w:p>
        </w:tc>
        <w:tc>
          <w:tcPr>
            <w:tcW w:w="1360" w:type="dxa"/>
            <w:vAlign w:val="bottom"/>
            <w:tcBorders>
              <w:bottom w:val="single" w:sz="8" w:color="auto"/>
            </w:tcBorders>
          </w:tcPr>
          <w:p>
            <w:pPr>
              <w:ind w:left="220"/>
              <w:spacing w:after="0"/>
              <w:rPr>
                <w:sz w:val="20"/>
                <w:szCs w:val="20"/>
                <w:color w:val="auto"/>
              </w:rPr>
            </w:pPr>
            <w:r>
              <w:rPr>
                <w:rFonts w:ascii="Arial" w:cs="Arial" w:eastAsia="Arial" w:hAnsi="Arial"/>
                <w:sz w:val="14"/>
                <w:szCs w:val="14"/>
                <w:color w:val="auto"/>
              </w:rPr>
              <w:t>Exhibit Number</w:t>
            </w:r>
          </w:p>
        </w:tc>
        <w:tc>
          <w:tcPr>
            <w:tcW w:w="100" w:type="dxa"/>
            <w:vAlign w:val="bottom"/>
          </w:tcPr>
          <w:p>
            <w:pPr>
              <w:spacing w:after="0"/>
              <w:rPr>
                <w:sz w:val="16"/>
                <w:szCs w:val="16"/>
                <w:color w:val="auto"/>
              </w:rPr>
            </w:pPr>
          </w:p>
        </w:tc>
        <w:tc>
          <w:tcPr>
            <w:tcW w:w="1480" w:type="dxa"/>
            <w:vAlign w:val="bottom"/>
            <w:tcBorders>
              <w:bottom w:val="single" w:sz="8" w:color="auto"/>
            </w:tcBorders>
          </w:tcPr>
          <w:p>
            <w:pPr>
              <w:ind w:left="300"/>
              <w:spacing w:after="0"/>
              <w:rPr>
                <w:sz w:val="20"/>
                <w:szCs w:val="20"/>
                <w:color w:val="auto"/>
              </w:rPr>
            </w:pPr>
            <w:r>
              <w:rPr>
                <w:rFonts w:ascii="Arial" w:cs="Arial" w:eastAsia="Arial" w:hAnsi="Arial"/>
                <w:sz w:val="14"/>
                <w:szCs w:val="14"/>
                <w:color w:val="auto"/>
              </w:rPr>
              <w:t>Filed with SEC</w:t>
            </w:r>
          </w:p>
        </w:tc>
        <w:tc>
          <w:tcPr>
            <w:tcW w:w="0" w:type="dxa"/>
            <w:vAlign w:val="bottom"/>
          </w:tcPr>
          <w:p>
            <w:pPr>
              <w:spacing w:after="0"/>
              <w:rPr>
                <w:sz w:val="1"/>
                <w:szCs w:val="1"/>
                <w:color w:val="auto"/>
              </w:rPr>
            </w:pPr>
          </w:p>
        </w:tc>
      </w:tr>
      <w:tr>
        <w:trPr>
          <w:trHeight w:val="243"/>
        </w:trPr>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9"/>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2.1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0"/>
              </w:rPr>
              <w:t>11/20/2017</w:t>
            </w:r>
          </w:p>
        </w:tc>
        <w:tc>
          <w:tcPr>
            <w:tcW w:w="0" w:type="dxa"/>
            <w:vAlign w:val="bottom"/>
          </w:tcPr>
          <w:p>
            <w:pPr>
              <w:spacing w:after="0"/>
              <w:rPr>
                <w:sz w:val="1"/>
                <w:szCs w:val="1"/>
                <w:color w:val="auto"/>
              </w:rPr>
            </w:pPr>
          </w:p>
        </w:tc>
      </w:tr>
      <w:tr>
        <w:trPr>
          <w:trHeight w:val="702"/>
        </w:trPr>
        <w:tc>
          <w:tcPr>
            <w:tcW w:w="820" w:type="dxa"/>
            <w:vAlign w:val="bottom"/>
            <w:gridSpan w:val="2"/>
          </w:tcPr>
          <w:p>
            <w:pPr>
              <w:jc w:val="center"/>
              <w:ind w:right="120"/>
              <w:spacing w:after="0"/>
              <w:rPr>
                <w:sz w:val="20"/>
                <w:szCs w:val="20"/>
                <w:color w:val="auto"/>
              </w:rPr>
            </w:pPr>
            <w:r>
              <w:rPr>
                <w:rFonts w:ascii="Arial" w:cs="Arial" w:eastAsia="Arial" w:hAnsi="Arial"/>
                <w:sz w:val="18"/>
                <w:szCs w:val="18"/>
                <w:color w:val="auto"/>
                <w:w w:val="99"/>
              </w:rPr>
              <w:t>10-K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24"/>
                <w:szCs w:val="24"/>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3/29/2018</w:t>
            </w: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20"/>
              <w:spacing w:after="0"/>
              <w:rPr>
                <w:sz w:val="20"/>
                <w:szCs w:val="20"/>
                <w:color w:val="auto"/>
              </w:rPr>
            </w:pPr>
            <w:r>
              <w:rPr>
                <w:rFonts w:ascii="Arial" w:cs="Arial" w:eastAsia="Arial" w:hAnsi="Arial"/>
                <w:sz w:val="18"/>
                <w:szCs w:val="18"/>
                <w:color w:val="auto"/>
                <w:w w:val="94"/>
              </w:rPr>
              <w:t>10-Q</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3.2</w:t>
            </w: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1"/>
              </w:rPr>
              <w:t>6/5/2018</w:t>
            </w: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9"/>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0"/>
              </w:rPr>
              <w:t>11/10/2016</w:t>
            </w:r>
          </w:p>
        </w:tc>
        <w:tc>
          <w:tcPr>
            <w:tcW w:w="0" w:type="dxa"/>
            <w:vAlign w:val="bottom"/>
          </w:tcPr>
          <w:p>
            <w:pPr>
              <w:spacing w:after="0"/>
              <w:rPr>
                <w:sz w:val="1"/>
                <w:szCs w:val="1"/>
                <w:color w:val="auto"/>
              </w:rPr>
            </w:pPr>
          </w:p>
        </w:tc>
      </w:tr>
      <w:tr>
        <w:trPr>
          <w:trHeight w:val="486"/>
        </w:trPr>
        <w:tc>
          <w:tcPr>
            <w:tcW w:w="820" w:type="dxa"/>
            <w:vAlign w:val="bottom"/>
            <w:gridSpan w:val="2"/>
          </w:tcPr>
          <w:p>
            <w:pPr>
              <w:jc w:val="center"/>
              <w:ind w:right="120"/>
              <w:spacing w:after="0"/>
              <w:rPr>
                <w:sz w:val="20"/>
                <w:szCs w:val="20"/>
                <w:color w:val="auto"/>
              </w:rPr>
            </w:pPr>
            <w:r>
              <w:rPr>
                <w:rFonts w:ascii="Arial" w:cs="Arial" w:eastAsia="Arial" w:hAnsi="Arial"/>
                <w:sz w:val="18"/>
                <w:szCs w:val="18"/>
                <w:color w:val="auto"/>
                <w:w w:val="94"/>
              </w:rPr>
              <w:t>10-Q</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3.4</w:t>
            </w:r>
          </w:p>
        </w:tc>
        <w:tc>
          <w:tcPr>
            <w:tcW w:w="100" w:type="dxa"/>
            <w:vAlign w:val="bottom"/>
          </w:tcPr>
          <w:p>
            <w:pPr>
              <w:spacing w:after="0"/>
              <w:rPr>
                <w:sz w:val="24"/>
                <w:szCs w:val="24"/>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1"/>
              </w:rPr>
              <w:t>6/5/2018</w:t>
            </w: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20"/>
              <w:spacing w:after="0"/>
              <w:rPr>
                <w:sz w:val="20"/>
                <w:szCs w:val="20"/>
                <w:color w:val="auto"/>
              </w:rPr>
            </w:pPr>
            <w:r>
              <w:rPr>
                <w:rFonts w:ascii="Arial" w:cs="Arial" w:eastAsia="Arial" w:hAnsi="Arial"/>
                <w:sz w:val="18"/>
                <w:szCs w:val="18"/>
                <w:color w:val="auto"/>
                <w:w w:val="94"/>
              </w:rPr>
              <w:t>10-Q</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1"/>
              </w:rPr>
              <w:t>6/5/2018</w:t>
            </w:r>
          </w:p>
        </w:tc>
        <w:tc>
          <w:tcPr>
            <w:tcW w:w="0" w:type="dxa"/>
            <w:vAlign w:val="bottom"/>
          </w:tcPr>
          <w:p>
            <w:pPr>
              <w:spacing w:after="0"/>
              <w:rPr>
                <w:sz w:val="1"/>
                <w:szCs w:val="1"/>
                <w:color w:val="auto"/>
              </w:rPr>
            </w:pPr>
          </w:p>
        </w:tc>
      </w:tr>
      <w:tr>
        <w:trPr>
          <w:trHeight w:val="432"/>
        </w:trPr>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3.5</w:t>
            </w:r>
          </w:p>
        </w:tc>
        <w:tc>
          <w:tcPr>
            <w:tcW w:w="1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20"/>
              <w:spacing w:after="0"/>
              <w:rPr>
                <w:sz w:val="20"/>
                <w:szCs w:val="20"/>
                <w:color w:val="auto"/>
              </w:rPr>
            </w:pPr>
            <w:r>
              <w:rPr>
                <w:rFonts w:ascii="Arial" w:cs="Arial" w:eastAsia="Arial" w:hAnsi="Arial"/>
                <w:sz w:val="18"/>
                <w:szCs w:val="18"/>
                <w:color w:val="auto"/>
                <w:w w:val="99"/>
              </w:rPr>
              <w:t>10-K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4.1</w:t>
            </w: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3/29/2018</w:t>
            </w: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9"/>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vMerge w:val="restart"/>
          </w:tcPr>
          <w:p>
            <w:pPr>
              <w:jc w:val="center"/>
              <w:spacing w:after="0"/>
              <w:rPr>
                <w:sz w:val="20"/>
                <w:szCs w:val="20"/>
                <w:color w:val="auto"/>
              </w:rPr>
            </w:pPr>
            <w:r>
              <w:rPr>
                <w:rFonts w:ascii="Arial" w:cs="Arial" w:eastAsia="Arial" w:hAnsi="Arial"/>
                <w:sz w:val="18"/>
                <w:szCs w:val="18"/>
                <w:color w:val="auto"/>
                <w:w w:val="95"/>
              </w:rPr>
              <w:t>4.1</w:t>
            </w: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6/22/2018</w:t>
            </w:r>
          </w:p>
        </w:tc>
        <w:tc>
          <w:tcPr>
            <w:tcW w:w="0" w:type="dxa"/>
            <w:vAlign w:val="bottom"/>
          </w:tcPr>
          <w:p>
            <w:pPr>
              <w:spacing w:after="0"/>
              <w:rPr>
                <w:sz w:val="1"/>
                <w:szCs w:val="1"/>
                <w:color w:val="auto"/>
              </w:rPr>
            </w:pPr>
          </w:p>
        </w:tc>
      </w:tr>
      <w:tr>
        <w:trPr>
          <w:trHeight w:val="216"/>
        </w:trPr>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9"/>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6/22/2018</w:t>
            </w:r>
          </w:p>
        </w:tc>
        <w:tc>
          <w:tcPr>
            <w:tcW w:w="0" w:type="dxa"/>
            <w:vAlign w:val="bottom"/>
          </w:tcPr>
          <w:p>
            <w:pPr>
              <w:spacing w:after="0"/>
              <w:rPr>
                <w:sz w:val="1"/>
                <w:szCs w:val="1"/>
                <w:color w:val="auto"/>
              </w:rPr>
            </w:pPr>
          </w:p>
        </w:tc>
      </w:tr>
      <w:tr>
        <w:trPr>
          <w:trHeight w:val="432"/>
        </w:trPr>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4.2</w:t>
            </w:r>
          </w:p>
        </w:tc>
        <w:tc>
          <w:tcPr>
            <w:tcW w:w="1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20"/>
              <w:spacing w:after="0"/>
              <w:rPr>
                <w:sz w:val="20"/>
                <w:szCs w:val="20"/>
                <w:color w:val="auto"/>
              </w:rPr>
            </w:pPr>
            <w:r>
              <w:rPr>
                <w:rFonts w:ascii="Arial" w:cs="Arial" w:eastAsia="Arial" w:hAnsi="Arial"/>
                <w:sz w:val="18"/>
                <w:szCs w:val="18"/>
                <w:color w:val="auto"/>
                <w:w w:val="96"/>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4.3</w:t>
            </w: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6/22/2018</w:t>
            </w: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9"/>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4.4</w:t>
            </w: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6/22/2018</w:t>
            </w: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9"/>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6/13/2018</w:t>
            </w:r>
          </w:p>
        </w:tc>
        <w:tc>
          <w:tcPr>
            <w:tcW w:w="0" w:type="dxa"/>
            <w:vAlign w:val="bottom"/>
          </w:tcPr>
          <w:p>
            <w:pPr>
              <w:spacing w:after="0"/>
              <w:rPr>
                <w:sz w:val="1"/>
                <w:szCs w:val="1"/>
                <w:color w:val="auto"/>
              </w:rPr>
            </w:pPr>
          </w:p>
        </w:tc>
      </w:tr>
      <w:tr>
        <w:trPr>
          <w:trHeight w:val="648"/>
        </w:trPr>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1"/>
              </w:rPr>
              <w:t>10.1</w:t>
            </w:r>
          </w:p>
        </w:tc>
        <w:tc>
          <w:tcPr>
            <w:tcW w:w="1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820" w:type="dxa"/>
            <w:vAlign w:val="bottom"/>
            <w:gridSpan w:val="2"/>
          </w:tcPr>
          <w:p>
            <w:pPr>
              <w:jc w:val="center"/>
              <w:ind w:right="140"/>
              <w:spacing w:after="0"/>
              <w:rPr>
                <w:sz w:val="20"/>
                <w:szCs w:val="20"/>
                <w:color w:val="auto"/>
              </w:rPr>
            </w:pPr>
            <w:r>
              <w:rPr>
                <w:rFonts w:ascii="Arial" w:cs="Arial" w:eastAsia="Arial" w:hAnsi="Arial"/>
                <w:sz w:val="18"/>
                <w:szCs w:val="18"/>
                <w:color w:val="auto"/>
                <w:w w:val="99"/>
              </w:rPr>
              <w:t>8-K</w:t>
            </w:r>
          </w:p>
        </w:tc>
        <w:tc>
          <w:tcPr>
            <w:tcW w:w="1120" w:type="dxa"/>
            <w:vAlign w:val="bottom"/>
          </w:tcPr>
          <w:p>
            <w:pPr>
              <w:jc w:val="center"/>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6/29/2018</w:t>
            </w:r>
          </w:p>
        </w:tc>
        <w:tc>
          <w:tcPr>
            <w:tcW w:w="0" w:type="dxa"/>
            <w:vAlign w:val="bottom"/>
          </w:tcPr>
          <w:p>
            <w:pPr>
              <w:spacing w:after="0"/>
              <w:rPr>
                <w:sz w:val="1"/>
                <w:szCs w:val="1"/>
                <w:color w:val="auto"/>
              </w:rPr>
            </w:pPr>
          </w:p>
        </w:tc>
      </w:tr>
    </w:tbl>
    <w:p>
      <w:pPr>
        <w:ind w:left="2580"/>
        <w:spacing w:after="0"/>
        <w:rPr>
          <w:sz w:val="20"/>
          <w:szCs w:val="20"/>
          <w:color w:val="auto"/>
        </w:rPr>
      </w:pPr>
      <w:r>
        <w:rPr>
          <w:rFonts w:ascii="Arial" w:cs="Arial" w:eastAsia="Arial" w:hAnsi="Arial"/>
          <w:sz w:val="18"/>
          <w:szCs w:val="18"/>
          <w:color w:val="auto"/>
        </w:rPr>
        <w:t>10.1</w:t>
      </w:r>
    </w:p>
    <w:p>
      <w:pPr>
        <w:spacing w:after="0" w:line="49"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63"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279"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279"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200" w:lineRule="exact"/>
        <w:rPr>
          <w:sz w:val="20"/>
          <w:szCs w:val="20"/>
          <w:color w:val="auto"/>
        </w:rPr>
      </w:pPr>
    </w:p>
    <w:p>
      <w:pPr>
        <w:spacing w:after="0" w:line="295"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200" w:lineRule="exact"/>
        <w:rPr>
          <w:sz w:val="20"/>
          <w:szCs w:val="20"/>
          <w:color w:val="auto"/>
        </w:rPr>
      </w:pPr>
    </w:p>
    <w:p>
      <w:pPr>
        <w:spacing w:after="0" w:line="295"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63"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63"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63"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pacing w:after="0" w:line="63"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Filed herewith</w:t>
      </w:r>
    </w:p>
    <w:p>
      <w:pPr>
        <w:sectPr>
          <w:pgSz w:w="11900" w:h="16838" w:orient="portrait"/>
          <w:cols w:equalWidth="0" w:num="2">
            <w:col w:w="6300" w:space="120"/>
            <w:col w:w="5000"/>
          </w:cols>
          <w:pgMar w:left="240" w:top="130" w:right="239" w:bottom="1440" w:gutter="0" w:footer="0" w:header="0"/>
        </w:sectPr>
      </w:pPr>
    </w:p>
    <w:bookmarkStart w:id="63" w:name="page64"/>
    <w:bookmarkEnd w:id="6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p>
      <w:pPr>
        <w:ind w:left="40"/>
        <w:spacing w:after="0"/>
        <w:tabs>
          <w:tab w:leader="none" w:pos="1060" w:val="left"/>
          <w:tab w:leader="none" w:pos="10140" w:val="left"/>
        </w:tabs>
        <w:rPr>
          <w:sz w:val="20"/>
          <w:szCs w:val="20"/>
          <w:color w:val="auto"/>
        </w:rPr>
      </w:pPr>
      <w:r>
        <w:rPr>
          <w:rFonts w:ascii="Arial" w:cs="Arial" w:eastAsia="Arial" w:hAnsi="Arial"/>
          <w:sz w:val="18"/>
          <w:szCs w:val="18"/>
          <w:color w:val="auto"/>
        </w:rPr>
        <w:t>101.PRE</w:t>
      </w:r>
      <w:r>
        <w:rPr>
          <w:sz w:val="20"/>
          <w:szCs w:val="20"/>
          <w:color w:val="auto"/>
        </w:rPr>
        <w:tab/>
      </w:r>
      <w:r>
        <w:rPr>
          <w:rFonts w:ascii="Arial" w:cs="Arial" w:eastAsia="Arial" w:hAnsi="Arial"/>
          <w:sz w:val="18"/>
          <w:szCs w:val="18"/>
          <w:color w:val="auto"/>
        </w:rPr>
        <w:t>XBRL Taxonomy Extension Presentation Linkbase Document</w:t>
      </w:r>
      <w:r>
        <w:rPr>
          <w:sz w:val="20"/>
          <w:szCs w:val="20"/>
          <w:color w:val="auto"/>
        </w:rPr>
        <w:tab/>
      </w:r>
      <w:r>
        <w:rPr>
          <w:rFonts w:ascii="Arial" w:cs="Arial" w:eastAsia="Arial" w:hAnsi="Arial"/>
          <w:sz w:val="16"/>
          <w:szCs w:val="16"/>
          <w:color w:val="auto"/>
        </w:rPr>
        <w:t>Filed herewith</w:t>
      </w:r>
    </w:p>
    <w:p>
      <w:pPr>
        <w:spacing w:after="0" w:line="198" w:lineRule="exact"/>
        <w:rPr>
          <w:sz w:val="20"/>
          <w:szCs w:val="20"/>
          <w:color w:val="auto"/>
        </w:rPr>
      </w:pPr>
    </w:p>
    <w:p>
      <w:pPr>
        <w:ind w:left="720" w:hanging="685"/>
        <w:spacing w:after="0"/>
        <w:tabs>
          <w:tab w:leader="none" w:pos="7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hanging="685"/>
        <w:spacing w:after="0" w:line="264" w:lineRule="auto"/>
        <w:tabs>
          <w:tab w:leader="none" w:pos="72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3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340"/>
          </w:cols>
          <w:pgMar w:left="240" w:top="130" w:right="319" w:bottom="1440" w:gutter="0" w:footer="0" w:header="0"/>
        </w:sectPr>
      </w:pPr>
    </w:p>
    <w:bookmarkStart w:id="64" w:name="page65"/>
    <w:bookmarkEnd w:id="6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ind w:right="-739"/>
        <w:spacing w:after="0"/>
        <w:rPr>
          <w:sz w:val="20"/>
          <w:szCs w:val="20"/>
          <w:color w:val="auto"/>
        </w:rPr>
      </w:pPr>
      <w:r>
        <w:rPr>
          <w:rFonts w:ascii="Arial" w:cs="Arial" w:eastAsia="Arial" w:hAnsi="Arial"/>
          <w:sz w:val="18"/>
          <w:szCs w:val="18"/>
          <w:b w:val="1"/>
          <w:bCs w:val="1"/>
          <w:color w:val="auto"/>
        </w:rPr>
        <w:t>SIGNATURES</w:t>
      </w:r>
    </w:p>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06" w:lineRule="exact"/>
        <w:rPr>
          <w:sz w:val="20"/>
          <w:szCs w:val="20"/>
          <w:color w:val="auto"/>
        </w:rPr>
      </w:pPr>
    </w:p>
    <w:p>
      <w:pPr>
        <w:ind w:left="656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Arial" w:cs="Arial" w:eastAsia="Arial" w:hAnsi="Arial"/>
          <w:sz w:val="18"/>
          <w:szCs w:val="18"/>
          <w:color w:val="auto"/>
        </w:rPr>
        <w:t>Date: September 12,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31750</wp:posOffset>
            </wp:positionV>
            <wp:extent cx="259016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0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9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0700"/>
          </w:cols>
          <w:pgMar w:left="240" w:top="130" w:right="959" w:bottom="1440" w:gutter="0" w:footer="0" w:header="0"/>
        </w:sectPr>
      </w:pPr>
    </w:p>
    <w:bookmarkStart w:id="65" w:name="page66"/>
    <w:bookmarkEnd w:id="65"/>
    <w:p>
      <w:pPr>
        <w:spacing w:after="0"/>
        <w:rPr>
          <w:sz w:val="20"/>
          <w:szCs w:val="20"/>
          <w:color w:val="auto"/>
        </w:rPr>
      </w:pPr>
      <w:r>
        <w:rPr>
          <w:rFonts w:ascii="Arial" w:cs="Arial" w:eastAsia="Arial" w:hAnsi="Arial"/>
          <w:sz w:val="22"/>
          <w:szCs w:val="22"/>
          <w:color w:val="auto"/>
        </w:rPr>
        <w:t>November 17, 2017</w:t>
      </w:r>
    </w:p>
    <w:p>
      <w:pPr>
        <w:spacing w:after="0" w:line="260" w:lineRule="exact"/>
        <w:rPr>
          <w:sz w:val="20"/>
          <w:szCs w:val="20"/>
          <w:color w:val="auto"/>
        </w:rPr>
      </w:pPr>
    </w:p>
    <w:p>
      <w:pPr>
        <w:spacing w:after="0"/>
        <w:rPr>
          <w:sz w:val="20"/>
          <w:szCs w:val="20"/>
          <w:color w:val="auto"/>
        </w:rPr>
      </w:pPr>
      <w:r>
        <w:rPr>
          <w:rFonts w:ascii="Arial" w:cs="Arial" w:eastAsia="Arial" w:hAnsi="Arial"/>
          <w:sz w:val="22"/>
          <w:szCs w:val="22"/>
          <w:color w:val="auto"/>
        </w:rPr>
        <w:t>Raghib Hussain</w:t>
      </w: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spacing w:after="0"/>
        <w:rPr>
          <w:sz w:val="20"/>
          <w:szCs w:val="20"/>
          <w:color w:val="auto"/>
        </w:rPr>
      </w:pPr>
      <w:r>
        <w:rPr>
          <w:rFonts w:ascii="Arial" w:cs="Arial" w:eastAsia="Arial" w:hAnsi="Arial"/>
          <w:sz w:val="22"/>
          <w:szCs w:val="22"/>
          <w:color w:val="auto"/>
        </w:rPr>
        <w:t>Dear Raghib,</w:t>
      </w:r>
    </w:p>
    <w:p>
      <w:pPr>
        <w:spacing w:after="0" w:line="260" w:lineRule="exact"/>
        <w:rPr>
          <w:sz w:val="20"/>
          <w:szCs w:val="20"/>
          <w:color w:val="auto"/>
        </w:rPr>
      </w:pPr>
    </w:p>
    <w:p>
      <w:pPr>
        <w:spacing w:after="0" w:line="292" w:lineRule="auto"/>
        <w:rPr>
          <w:sz w:val="20"/>
          <w:szCs w:val="20"/>
          <w:color w:val="auto"/>
        </w:rPr>
      </w:pPr>
      <w:r>
        <w:rPr>
          <w:rFonts w:ascii="Arial" w:cs="Arial" w:eastAsia="Arial" w:hAnsi="Arial"/>
          <w:sz w:val="19"/>
          <w:szCs w:val="19"/>
          <w:color w:val="auto"/>
        </w:rPr>
        <w:t>We are very pleased to have you join the Marvell executive leadership team following the closing of the transaction between Marvell Technology Group Ltd. (“Marvell”), and Cavium, Inc. (“Cavium”) (the “Transaction”). Contingent on the closing of the Transaction, it is our pleasure to offer you the position of Executive Vice President and Chief Strategy Officer of Marvell Semiconductor, Inc. (the “Company"), a subsidiary of Marvell, reporting to the Chief Executive Officer. Your principal place of employment will be Santa Clara, California, subject to business travel as needed to properly fulfill your duties and responsibilities. Your start date will be the day of the closing of the Transaction. Please note that the position you are being offered would qualify you as a “Section 16 Officer” of Marvell and the requisite documentation will be provided hereafter.</w:t>
      </w:r>
    </w:p>
    <w:p>
      <w:pPr>
        <w:spacing w:after="0" w:line="186"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Base Salary</w:t>
      </w:r>
    </w:p>
    <w:p>
      <w:pPr>
        <w:spacing w:after="0" w:line="118" w:lineRule="exact"/>
        <w:rPr>
          <w:sz w:val="20"/>
          <w:szCs w:val="20"/>
          <w:color w:val="auto"/>
        </w:rPr>
      </w:pPr>
    </w:p>
    <w:p>
      <w:pPr>
        <w:ind w:right="120"/>
        <w:spacing w:after="0" w:line="253" w:lineRule="auto"/>
        <w:rPr>
          <w:sz w:val="20"/>
          <w:szCs w:val="20"/>
          <w:color w:val="auto"/>
        </w:rPr>
      </w:pPr>
      <w:r>
        <w:rPr>
          <w:rFonts w:ascii="Arial" w:cs="Arial" w:eastAsia="Arial" w:hAnsi="Arial"/>
          <w:sz w:val="22"/>
          <w:szCs w:val="22"/>
          <w:color w:val="auto"/>
        </w:rPr>
        <w:t>Your annual base salary will be $450,000.00 US Dollars (USD) per year in accordance with the Company’s standard payroll practices, and subject to all withholdings and deductions as required by law. You will be an exempt employee and not eligible for overtime.</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Annual Incentive Bonus</w:t>
      </w:r>
    </w:p>
    <w:p>
      <w:pPr>
        <w:spacing w:after="0" w:line="118" w:lineRule="exact"/>
        <w:rPr>
          <w:sz w:val="20"/>
          <w:szCs w:val="20"/>
          <w:color w:val="auto"/>
        </w:rPr>
      </w:pPr>
    </w:p>
    <w:p>
      <w:pPr>
        <w:ind w:right="140"/>
        <w:spacing w:after="0" w:line="297" w:lineRule="auto"/>
        <w:rPr>
          <w:sz w:val="20"/>
          <w:szCs w:val="20"/>
          <w:color w:val="auto"/>
        </w:rPr>
      </w:pPr>
      <w:r>
        <w:rPr>
          <w:rFonts w:ascii="Arial" w:cs="Arial" w:eastAsia="Arial" w:hAnsi="Arial"/>
          <w:sz w:val="19"/>
          <w:szCs w:val="19"/>
          <w:color w:val="auto"/>
        </w:rPr>
        <w:t>You will be eligible to participate in the Company’s Annual Incentive Plan (“AIP”) with an annual target incentive bonus opportunity of 75% of your annual base salary. The Executive Compensation Committee (the “ECC”) in its sole discretion shall determine the performance objectives applicable to the bonus and the other terms of the AIP. The ECC shall determine the actual amount of bonus earned, if any, after the conclusion of each applicable fiscal year. For fiscal year 2019, your target bonus will be pro-rated based on the date of the closing of the Transaction and will be deemed to have been achieved at least at target level.</w:t>
      </w:r>
    </w:p>
    <w:p>
      <w:pPr>
        <w:spacing w:after="0" w:line="290"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Equity</w:t>
      </w:r>
    </w:p>
    <w:p>
      <w:pPr>
        <w:spacing w:after="0" w:line="118" w:lineRule="exact"/>
        <w:rPr>
          <w:sz w:val="20"/>
          <w:szCs w:val="20"/>
          <w:color w:val="auto"/>
        </w:rPr>
      </w:pPr>
    </w:p>
    <w:p>
      <w:pPr>
        <w:spacing w:after="0"/>
        <w:rPr>
          <w:sz w:val="20"/>
          <w:szCs w:val="20"/>
          <w:color w:val="auto"/>
        </w:rPr>
      </w:pPr>
      <w:r>
        <w:rPr>
          <w:rFonts w:ascii="Arial" w:cs="Arial" w:eastAsia="Arial" w:hAnsi="Arial"/>
          <w:sz w:val="21"/>
          <w:szCs w:val="21"/>
          <w:color w:val="auto"/>
        </w:rPr>
        <w:t>You will be recommended to the ECC for the following grants aggregating a total value equal to $3,500,000 as follows:</w:t>
      </w:r>
    </w:p>
    <w:p>
      <w:pPr>
        <w:spacing w:after="0" w:line="266" w:lineRule="exact"/>
        <w:rPr>
          <w:sz w:val="20"/>
          <w:szCs w:val="20"/>
          <w:color w:val="auto"/>
        </w:rPr>
      </w:pPr>
    </w:p>
    <w:p>
      <w:pPr>
        <w:ind w:left="660" w:right="320" w:hanging="328"/>
        <w:spacing w:after="0" w:line="350" w:lineRule="auto"/>
        <w:tabs>
          <w:tab w:leader="none" w:pos="660" w:val="left"/>
        </w:tabs>
        <w:numPr>
          <w:ilvl w:val="0"/>
          <w:numId w:val="25"/>
        </w:numPr>
        <w:rPr>
          <w:rFonts w:ascii="Arial" w:cs="Arial" w:eastAsia="Arial" w:hAnsi="Arial"/>
          <w:sz w:val="19"/>
          <w:szCs w:val="19"/>
          <w:color w:val="auto"/>
        </w:rPr>
      </w:pPr>
      <w:r>
        <w:rPr>
          <w:rFonts w:ascii="Arial" w:cs="Arial" w:eastAsia="Arial" w:hAnsi="Arial"/>
          <w:sz w:val="19"/>
          <w:szCs w:val="19"/>
          <w:b w:val="1"/>
          <w:bCs w:val="1"/>
          <w:u w:val="single" w:color="auto"/>
          <w:color w:val="auto"/>
        </w:rPr>
        <w:t>Time Based RSU Award (TBRSU)</w:t>
      </w:r>
      <w:r>
        <w:rPr>
          <w:rFonts w:ascii="Arial" w:cs="Arial" w:eastAsia="Arial" w:hAnsi="Arial"/>
          <w:sz w:val="19"/>
          <w:szCs w:val="19"/>
          <w:b w:val="1"/>
          <w:bCs w:val="1"/>
          <w:color w:val="auto"/>
        </w:rPr>
        <w:t xml:space="preserve"> </w:t>
      </w:r>
      <w:r>
        <w:rPr>
          <w:rFonts w:ascii="Arial" w:cs="Arial" w:eastAsia="Arial" w:hAnsi="Arial"/>
          <w:sz w:val="19"/>
          <w:szCs w:val="19"/>
          <w:color w:val="auto"/>
        </w:rPr>
        <w:t>- a restricted stock unit award of common shares of Marvell equal to: $2,100,000 /</w:t>
      </w:r>
      <w:r>
        <w:rPr>
          <w:rFonts w:ascii="Arial" w:cs="Arial" w:eastAsia="Arial" w:hAnsi="Arial"/>
          <w:sz w:val="19"/>
          <w:szCs w:val="19"/>
          <w:b w:val="1"/>
          <w:bCs w:val="1"/>
          <w:color w:val="auto"/>
        </w:rPr>
        <w:t xml:space="preserve"> </w:t>
      </w:r>
      <w:r>
        <w:rPr>
          <w:rFonts w:ascii="Arial" w:cs="Arial" w:eastAsia="Arial" w:hAnsi="Arial"/>
          <w:sz w:val="19"/>
          <w:szCs w:val="19"/>
          <w:color w:val="auto"/>
        </w:rPr>
        <w:t>Share Price (as defined below) rounded down to the nearest whole share (such amount is the “target” number).</w:t>
      </w:r>
    </w:p>
    <w:p>
      <w:pPr>
        <w:spacing w:after="0" w:line="138" w:lineRule="exact"/>
        <w:rPr>
          <w:rFonts w:ascii="Arial" w:cs="Arial" w:eastAsia="Arial" w:hAnsi="Arial"/>
          <w:sz w:val="19"/>
          <w:szCs w:val="19"/>
          <w:color w:val="auto"/>
        </w:rPr>
      </w:pPr>
    </w:p>
    <w:p>
      <w:pPr>
        <w:ind w:left="660" w:right="140"/>
        <w:spacing w:after="0" w:line="263" w:lineRule="auto"/>
        <w:rPr>
          <w:rFonts w:ascii="Arial" w:cs="Arial" w:eastAsia="Arial" w:hAnsi="Arial"/>
          <w:sz w:val="19"/>
          <w:szCs w:val="19"/>
          <w:color w:val="auto"/>
        </w:rPr>
      </w:pPr>
      <w:r>
        <w:rPr>
          <w:rFonts w:ascii="Arial" w:cs="Arial" w:eastAsia="Arial" w:hAnsi="Arial"/>
          <w:sz w:val="22"/>
          <w:szCs w:val="22"/>
          <w:color w:val="auto"/>
        </w:rPr>
        <w:t>The TBRSU shall vest over three (3) years at the rate of 33% on the first anniversary of the vesting start date, 33% on the second anniversary of the vesting start date and 34% on</w:t>
      </w:r>
    </w:p>
    <w:p>
      <w:pPr>
        <w:sectPr>
          <w:pgSz w:w="11900" w:h="16838" w:orient="portrait"/>
          <w:cols w:equalWidth="0" w:num="1">
            <w:col w:w="11300"/>
          </w:cols>
          <w:pgMar w:left="240" w:top="375" w:right="359" w:bottom="1440" w:gutter="0" w:footer="0" w:header="0"/>
        </w:sectPr>
      </w:pPr>
    </w:p>
    <w:bookmarkStart w:id="66" w:name="page67"/>
    <w:bookmarkEnd w:id="66"/>
    <w:p>
      <w:pPr>
        <w:ind w:left="660" w:right="700"/>
        <w:spacing w:after="0" w:line="263" w:lineRule="auto"/>
        <w:rPr>
          <w:sz w:val="20"/>
          <w:szCs w:val="20"/>
          <w:color w:val="auto"/>
        </w:rPr>
      </w:pPr>
      <w:r>
        <w:rPr>
          <w:rFonts w:ascii="Arial" w:cs="Arial" w:eastAsia="Arial" w:hAnsi="Arial"/>
          <w:sz w:val="22"/>
          <w:szCs w:val="22"/>
          <w:color w:val="auto"/>
        </w:rPr>
        <w:t>the third anniversary of the vesting start date; provided that you continue to serve as a service provider through each applicable vesting date.</w:t>
      </w:r>
    </w:p>
    <w:p>
      <w:pPr>
        <w:spacing w:after="0" w:line="209" w:lineRule="exact"/>
        <w:rPr>
          <w:sz w:val="20"/>
          <w:szCs w:val="20"/>
          <w:color w:val="auto"/>
        </w:rPr>
      </w:pPr>
    </w:p>
    <w:p>
      <w:pPr>
        <w:ind w:left="660" w:right="280" w:hanging="328"/>
        <w:spacing w:after="0" w:line="256" w:lineRule="auto"/>
        <w:tabs>
          <w:tab w:leader="none" w:pos="660" w:val="left"/>
        </w:tabs>
        <w:numPr>
          <w:ilvl w:val="0"/>
          <w:numId w:val="26"/>
        </w:numPr>
        <w:rPr>
          <w:rFonts w:ascii="Arial" w:cs="Arial" w:eastAsia="Arial" w:hAnsi="Arial"/>
          <w:sz w:val="22"/>
          <w:szCs w:val="22"/>
          <w:color w:val="auto"/>
        </w:rPr>
      </w:pPr>
      <w:r>
        <w:rPr>
          <w:rFonts w:ascii="Arial" w:cs="Arial" w:eastAsia="Arial" w:hAnsi="Arial"/>
          <w:sz w:val="22"/>
          <w:szCs w:val="22"/>
          <w:b w:val="1"/>
          <w:bCs w:val="1"/>
          <w:u w:val="single" w:color="auto"/>
          <w:color w:val="auto"/>
        </w:rPr>
        <w:t>Performance Based RSU Award based on Total Shareholder Return (TSR-RSU)</w:t>
      </w:r>
      <w:r>
        <w:rPr>
          <w:rFonts w:ascii="Arial" w:cs="Arial" w:eastAsia="Arial" w:hAnsi="Arial"/>
          <w:sz w:val="22"/>
          <w:szCs w:val="22"/>
          <w:b w:val="1"/>
          <w:bCs w:val="1"/>
          <w:color w:val="auto"/>
        </w:rPr>
        <w:t xml:space="preserve"> </w:t>
      </w:r>
      <w:r>
        <w:rPr>
          <w:rFonts w:ascii="Arial" w:cs="Arial" w:eastAsia="Arial" w:hAnsi="Arial"/>
          <w:sz w:val="22"/>
          <w:szCs w:val="22"/>
          <w:color w:val="auto"/>
        </w:rPr>
        <w:t>– a restricted stock unit award of</w:t>
      </w:r>
      <w:r>
        <w:rPr>
          <w:rFonts w:ascii="Arial" w:cs="Arial" w:eastAsia="Arial" w:hAnsi="Arial"/>
          <w:sz w:val="22"/>
          <w:szCs w:val="22"/>
          <w:b w:val="1"/>
          <w:bCs w:val="1"/>
          <w:color w:val="auto"/>
        </w:rPr>
        <w:t xml:space="preserve"> </w:t>
      </w:r>
      <w:r>
        <w:rPr>
          <w:rFonts w:ascii="Arial" w:cs="Arial" w:eastAsia="Arial" w:hAnsi="Arial"/>
          <w:sz w:val="22"/>
          <w:szCs w:val="22"/>
          <w:color w:val="auto"/>
        </w:rPr>
        <w:t>common shares of Marvell equal to: $700,000 / Share Price (as defined below), rounded down to the nearest whole share (such amount is the “target” number).</w:t>
      </w:r>
    </w:p>
    <w:p>
      <w:pPr>
        <w:spacing w:after="0" w:line="222" w:lineRule="exact"/>
        <w:rPr>
          <w:rFonts w:ascii="Arial" w:cs="Arial" w:eastAsia="Arial" w:hAnsi="Arial"/>
          <w:sz w:val="22"/>
          <w:szCs w:val="22"/>
          <w:color w:val="auto"/>
        </w:rPr>
      </w:pPr>
    </w:p>
    <w:p>
      <w:pPr>
        <w:ind w:left="660" w:right="40"/>
        <w:spacing w:after="0" w:line="290" w:lineRule="auto"/>
        <w:rPr>
          <w:rFonts w:ascii="Arial" w:cs="Arial" w:eastAsia="Arial" w:hAnsi="Arial"/>
          <w:sz w:val="22"/>
          <w:szCs w:val="22"/>
          <w:color w:val="auto"/>
        </w:rPr>
      </w:pPr>
      <w:r>
        <w:rPr>
          <w:rFonts w:ascii="Arial" w:cs="Arial" w:eastAsia="Arial" w:hAnsi="Arial"/>
          <w:sz w:val="19"/>
          <w:szCs w:val="19"/>
          <w:color w:val="auto"/>
        </w:rPr>
        <w:t>The TSR-RSU shares that have been deemed to have been earned (if any) will vest 100% on the third anniversary of the vesting start date based on achievement of performance objectives relating to the relative total shareholder return of Marvell’s stock as compared to the total shareholder return of certain companies of the Philadelphia Semiconductor Sector Index over a fixed performance period as approved by the ECC, provided that you continue to serve as a service provider through the third anniversary of the vesting start date. The performance period and objectives, companies used in the Index, payout formula (under which the number of shares that could vest under the TSR-RSU can range from zero to 150% of the target number) and other terms for the TSR-RSU will be set forth in the award agreement and will be identical to those established for Marvell’s executive officers in early calendar year 2018.</w:t>
      </w:r>
    </w:p>
    <w:p>
      <w:pPr>
        <w:spacing w:after="0" w:line="191" w:lineRule="exact"/>
        <w:rPr>
          <w:rFonts w:ascii="Arial" w:cs="Arial" w:eastAsia="Arial" w:hAnsi="Arial"/>
          <w:sz w:val="22"/>
          <w:szCs w:val="22"/>
          <w:color w:val="auto"/>
        </w:rPr>
      </w:pPr>
    </w:p>
    <w:p>
      <w:pPr>
        <w:ind w:left="660" w:hanging="328"/>
        <w:spacing w:after="0" w:line="256" w:lineRule="auto"/>
        <w:tabs>
          <w:tab w:leader="none" w:pos="660" w:val="left"/>
        </w:tabs>
        <w:numPr>
          <w:ilvl w:val="0"/>
          <w:numId w:val="26"/>
        </w:numPr>
        <w:rPr>
          <w:rFonts w:ascii="Arial" w:cs="Arial" w:eastAsia="Arial" w:hAnsi="Arial"/>
          <w:sz w:val="22"/>
          <w:szCs w:val="22"/>
          <w:color w:val="auto"/>
        </w:rPr>
      </w:pPr>
      <w:r>
        <w:rPr>
          <w:rFonts w:ascii="Arial" w:cs="Arial" w:eastAsia="Arial" w:hAnsi="Arial"/>
          <w:sz w:val="22"/>
          <w:szCs w:val="22"/>
          <w:b w:val="1"/>
          <w:bCs w:val="1"/>
          <w:u w:val="single" w:color="auto"/>
          <w:color w:val="auto"/>
        </w:rPr>
        <w:t>Performance Based RSU Award based on Operating Performance Metrics (OP-RSU)</w:t>
      </w:r>
      <w:r>
        <w:rPr>
          <w:rFonts w:ascii="Arial" w:cs="Arial" w:eastAsia="Arial" w:hAnsi="Arial"/>
          <w:sz w:val="22"/>
          <w:szCs w:val="22"/>
          <w:b w:val="1"/>
          <w:bCs w:val="1"/>
          <w:color w:val="auto"/>
        </w:rPr>
        <w:t xml:space="preserve"> </w:t>
      </w:r>
      <w:r>
        <w:rPr>
          <w:rFonts w:ascii="Arial" w:cs="Arial" w:eastAsia="Arial" w:hAnsi="Arial"/>
          <w:sz w:val="22"/>
          <w:szCs w:val="22"/>
          <w:color w:val="auto"/>
        </w:rPr>
        <w:t>– a restricted stock unit award of</w:t>
      </w:r>
      <w:r>
        <w:rPr>
          <w:rFonts w:ascii="Arial" w:cs="Arial" w:eastAsia="Arial" w:hAnsi="Arial"/>
          <w:sz w:val="22"/>
          <w:szCs w:val="22"/>
          <w:b w:val="1"/>
          <w:bCs w:val="1"/>
          <w:color w:val="auto"/>
        </w:rPr>
        <w:t xml:space="preserve"> </w:t>
      </w:r>
      <w:r>
        <w:rPr>
          <w:rFonts w:ascii="Arial" w:cs="Arial" w:eastAsia="Arial" w:hAnsi="Arial"/>
          <w:sz w:val="22"/>
          <w:szCs w:val="22"/>
          <w:color w:val="auto"/>
        </w:rPr>
        <w:t>common shares of Marvell equal to: $700,000 / Share Price (as defined below), rounded down to the nearest whole share (such amount is the “target” number)</w:t>
      </w:r>
    </w:p>
    <w:p>
      <w:pPr>
        <w:spacing w:after="0" w:line="222" w:lineRule="exact"/>
        <w:rPr>
          <w:rFonts w:ascii="Arial" w:cs="Arial" w:eastAsia="Arial" w:hAnsi="Arial"/>
          <w:sz w:val="22"/>
          <w:szCs w:val="22"/>
          <w:color w:val="auto"/>
        </w:rPr>
      </w:pPr>
    </w:p>
    <w:p>
      <w:pPr>
        <w:ind w:left="660" w:right="80"/>
        <w:spacing w:after="0" w:line="260" w:lineRule="auto"/>
        <w:rPr>
          <w:rFonts w:ascii="Arial" w:cs="Arial" w:eastAsia="Arial" w:hAnsi="Arial"/>
          <w:sz w:val="22"/>
          <w:szCs w:val="22"/>
          <w:color w:val="auto"/>
        </w:rPr>
      </w:pPr>
      <w:r>
        <w:rPr>
          <w:rFonts w:ascii="Arial" w:cs="Arial" w:eastAsia="Arial" w:hAnsi="Arial"/>
          <w:sz w:val="21"/>
          <w:szCs w:val="21"/>
          <w:color w:val="auto"/>
        </w:rPr>
        <w:t>The OP-RSU shall vest based on the achievement of pre-designated operating performance metrics as established for Marvell’s executive team and approved by the ECC in early 2018. The metrics and relative weightings (as well as the maximum number of shares that could vest under this award if performance exceeds the target achievement level up to a maximum of 200% of target) as approved by the ECC will be measured as of the end of the applicable fiscal period. The shares that have been deemed to have been earned (if any) upon the successful achievement of such metrics will vest 100% on the third anniversary of the vesting commencement date, provided that you continue to serve as a service provider through such vesting date.</w:t>
      </w:r>
    </w:p>
    <w:p>
      <w:pPr>
        <w:spacing w:after="0" w:line="222" w:lineRule="exact"/>
        <w:rPr>
          <w:sz w:val="20"/>
          <w:szCs w:val="20"/>
          <w:color w:val="auto"/>
        </w:rPr>
      </w:pPr>
    </w:p>
    <w:p>
      <w:pPr>
        <w:spacing w:after="0" w:line="261" w:lineRule="auto"/>
        <w:rPr>
          <w:sz w:val="20"/>
          <w:szCs w:val="20"/>
          <w:color w:val="auto"/>
        </w:rPr>
      </w:pPr>
      <w:r>
        <w:rPr>
          <w:rFonts w:ascii="Arial" w:cs="Arial" w:eastAsia="Arial" w:hAnsi="Arial"/>
          <w:sz w:val="21"/>
          <w:szCs w:val="21"/>
          <w:color w:val="auto"/>
        </w:rPr>
        <w:t>Your subsequent annual equity refresh grant, the amount of course being at the discretion of the ECC, is currently expected to occur in Q1 fiscal year 2020. For purposes of the equity awards described above, “Share Price” shall mean the closing price of the common shares of Marvell (NASDAQ: MRVL) on the date of grant. For purposes of the above awards, the vesting start date shall be the effective grant date of the Award granted by the ECC (or a subcommittee thereof) which is generally the 15th of the month following the month in which you begin employment with the Company (for example, if your employment commenced on January 13, the awards would typically be granted on February 15).</w:t>
      </w:r>
    </w:p>
    <w:p>
      <w:pPr>
        <w:sectPr>
          <w:pgSz w:w="11900" w:h="16838" w:orient="portrait"/>
          <w:cols w:equalWidth="0" w:num="1">
            <w:col w:w="11400"/>
          </w:cols>
          <w:pgMar w:left="240" w:top="375" w:right="259" w:bottom="1440" w:gutter="0" w:footer="0" w:header="0"/>
        </w:sectPr>
      </w:pPr>
    </w:p>
    <w:bookmarkStart w:id="67" w:name="page68"/>
    <w:bookmarkEnd w:id="67"/>
    <w:p>
      <w:pPr>
        <w:jc w:val="both"/>
        <w:ind w:right="420"/>
        <w:spacing w:after="0" w:line="253" w:lineRule="auto"/>
        <w:rPr>
          <w:sz w:val="20"/>
          <w:szCs w:val="20"/>
          <w:color w:val="auto"/>
        </w:rPr>
      </w:pPr>
      <w:r>
        <w:rPr>
          <w:rFonts w:ascii="Arial" w:cs="Arial" w:eastAsia="Arial" w:hAnsi="Arial"/>
          <w:sz w:val="22"/>
          <w:szCs w:val="22"/>
          <w:color w:val="auto"/>
        </w:rPr>
        <w:t>All Marvell equity awards are subject to final review and approval by the ECC and all applicable securities law restrictions. In addition, all of the proposed equity awards set forth herein will be subject to your return to us of completed, signed Stock Unit Agreements.</w:t>
      </w:r>
    </w:p>
    <w:p>
      <w:pPr>
        <w:spacing w:after="0" w:line="226" w:lineRule="exact"/>
        <w:rPr>
          <w:sz w:val="20"/>
          <w:szCs w:val="20"/>
          <w:color w:val="auto"/>
        </w:rPr>
      </w:pPr>
    </w:p>
    <w:p>
      <w:pPr>
        <w:ind w:right="280"/>
        <w:spacing w:after="0" w:line="260" w:lineRule="auto"/>
        <w:rPr>
          <w:sz w:val="20"/>
          <w:szCs w:val="20"/>
          <w:color w:val="auto"/>
        </w:rPr>
      </w:pPr>
      <w:r>
        <w:rPr>
          <w:rFonts w:ascii="Arial" w:cs="Arial" w:eastAsia="Arial" w:hAnsi="Arial"/>
          <w:sz w:val="21"/>
          <w:szCs w:val="21"/>
          <w:color w:val="auto"/>
        </w:rPr>
        <w:t>Executive compensation, including base salaries, incentive bonuses and equity awards, are reviewed and determined annually by the Executive Compensation Committee. Our expectation is that your overall Total Rewards package will be targeted within a competitive range of at least the market median of Marvell’s peer group.</w:t>
      </w:r>
    </w:p>
    <w:p>
      <w:pPr>
        <w:spacing w:after="0" w:line="3"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Employee Benefits, etc.</w:t>
      </w:r>
    </w:p>
    <w:p>
      <w:pPr>
        <w:spacing w:after="0" w:line="256" w:lineRule="exact"/>
        <w:rPr>
          <w:sz w:val="20"/>
          <w:szCs w:val="20"/>
          <w:color w:val="auto"/>
        </w:rPr>
      </w:pPr>
    </w:p>
    <w:p>
      <w:pPr>
        <w:ind w:right="80"/>
        <w:spacing w:after="0" w:line="248" w:lineRule="auto"/>
        <w:rPr>
          <w:sz w:val="20"/>
          <w:szCs w:val="20"/>
          <w:color w:val="auto"/>
        </w:rPr>
      </w:pPr>
      <w:r>
        <w:rPr>
          <w:rFonts w:ascii="Arial" w:cs="Arial" w:eastAsia="Arial" w:hAnsi="Arial"/>
          <w:sz w:val="22"/>
          <w:szCs w:val="22"/>
          <w:color w:val="auto"/>
        </w:rPr>
        <w:t>You will be eligible to receive Company provided employee benefits and perquisites on at least the same level as the Company’s other senior executive officers in Northern California, in accordance with Company policies and practices. Your previous continuous employment with Cavium (or predecessor employers to the extent Cavium provides past service credit under its benefit plans) will count as part of your period of continuous employment for company benefits to the extent relevant and permitted under such plans.</w:t>
      </w:r>
    </w:p>
    <w:p>
      <w:pPr>
        <w:spacing w:after="0" w:line="335"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Cavium Equity Awards Change in Control</w:t>
      </w:r>
    </w:p>
    <w:p>
      <w:pPr>
        <w:spacing w:after="0" w:line="118" w:lineRule="exact"/>
        <w:rPr>
          <w:sz w:val="20"/>
          <w:szCs w:val="20"/>
          <w:color w:val="auto"/>
        </w:rPr>
      </w:pPr>
    </w:p>
    <w:p>
      <w:pPr>
        <w:ind w:right="80"/>
        <w:spacing w:after="0" w:line="253" w:lineRule="auto"/>
        <w:rPr>
          <w:sz w:val="20"/>
          <w:szCs w:val="20"/>
          <w:color w:val="auto"/>
        </w:rPr>
      </w:pPr>
      <w:r>
        <w:rPr>
          <w:rFonts w:ascii="Arial" w:cs="Arial" w:eastAsia="Arial" w:hAnsi="Arial"/>
          <w:sz w:val="22"/>
          <w:szCs w:val="22"/>
          <w:color w:val="auto"/>
        </w:rPr>
        <w:t>To the extent your stock options, PRSUs or RSUs granted by Cavium ( “Cavium Awards”) contain provisions that would provide for the accelerated vesting of such awards following a Cavium Change in Control if you are terminated without Cause or resign for Good Reason (as such terms are defined in such awards):</w:t>
      </w:r>
    </w:p>
    <w:p>
      <w:pPr>
        <w:spacing w:after="0" w:line="78" w:lineRule="exact"/>
        <w:rPr>
          <w:sz w:val="20"/>
          <w:szCs w:val="20"/>
          <w:color w:val="auto"/>
        </w:rPr>
      </w:pPr>
    </w:p>
    <w:p>
      <w:pPr>
        <w:ind w:left="980" w:right="80" w:hanging="324"/>
        <w:spacing w:after="0" w:line="247" w:lineRule="auto"/>
        <w:tabs>
          <w:tab w:leader="none" w:pos="980" w:val="left"/>
        </w:tabs>
        <w:numPr>
          <w:ilvl w:val="0"/>
          <w:numId w:val="27"/>
        </w:numPr>
        <w:rPr>
          <w:rFonts w:ascii="Arial" w:cs="Arial" w:eastAsia="Arial" w:hAnsi="Arial"/>
          <w:sz w:val="22"/>
          <w:szCs w:val="22"/>
          <w:color w:val="auto"/>
        </w:rPr>
      </w:pPr>
      <w:r>
        <w:rPr>
          <w:rFonts w:ascii="Arial" w:cs="Arial" w:eastAsia="Arial" w:hAnsi="Arial"/>
          <w:sz w:val="22"/>
          <w:szCs w:val="22"/>
          <w:color w:val="auto"/>
        </w:rPr>
        <w:t>The Company agrees that on or any time after the Transaction closing you can elect to cause up to one half of the unvested amount of each such outstanding award at the time of closing to vest without the need for your employment to terminate or for you to resign (such vested awards will be cashed out, less amounts withheld for taxes, at the market price on such date).</w:t>
      </w:r>
    </w:p>
    <w:p>
      <w:pPr>
        <w:spacing w:after="0" w:line="2" w:lineRule="exact"/>
        <w:rPr>
          <w:rFonts w:ascii="Arial" w:cs="Arial" w:eastAsia="Arial" w:hAnsi="Arial"/>
          <w:sz w:val="22"/>
          <w:szCs w:val="22"/>
          <w:color w:val="auto"/>
        </w:rPr>
      </w:pPr>
    </w:p>
    <w:p>
      <w:pPr>
        <w:ind w:left="980" w:right="180" w:hanging="324"/>
        <w:spacing w:after="0" w:line="243" w:lineRule="auto"/>
        <w:tabs>
          <w:tab w:leader="none" w:pos="980" w:val="left"/>
        </w:tabs>
        <w:numPr>
          <w:ilvl w:val="0"/>
          <w:numId w:val="27"/>
        </w:numPr>
        <w:rPr>
          <w:rFonts w:ascii="Arial" w:cs="Arial" w:eastAsia="Arial" w:hAnsi="Arial"/>
          <w:sz w:val="22"/>
          <w:szCs w:val="22"/>
          <w:color w:val="auto"/>
        </w:rPr>
      </w:pPr>
      <w:r>
        <w:rPr>
          <w:rFonts w:ascii="Arial" w:cs="Arial" w:eastAsia="Arial" w:hAnsi="Arial"/>
          <w:sz w:val="22"/>
          <w:szCs w:val="22"/>
          <w:color w:val="auto"/>
        </w:rPr>
        <w:t>You agree that for a period of 18 months commencing with the Transaction closing date, payment of the above compensation or a change to your duties, authority or responsibilities shall not constitute a termination of employment or form the basis for a resignation for “Good Reason” or a similar term under any agreement you have with Cavium or its parents, subsidiaries, or affiliates.</w:t>
      </w:r>
    </w:p>
    <w:p>
      <w:pPr>
        <w:spacing w:after="0" w:line="1" w:lineRule="exact"/>
        <w:rPr>
          <w:rFonts w:ascii="Arial" w:cs="Arial" w:eastAsia="Arial" w:hAnsi="Arial"/>
          <w:sz w:val="22"/>
          <w:szCs w:val="22"/>
          <w:color w:val="auto"/>
        </w:rPr>
      </w:pPr>
    </w:p>
    <w:p>
      <w:pPr>
        <w:ind w:left="980" w:right="860" w:hanging="324"/>
        <w:spacing w:after="0" w:line="243" w:lineRule="auto"/>
        <w:tabs>
          <w:tab w:leader="none" w:pos="980" w:val="left"/>
        </w:tabs>
        <w:numPr>
          <w:ilvl w:val="0"/>
          <w:numId w:val="27"/>
        </w:numPr>
        <w:rPr>
          <w:rFonts w:ascii="Arial" w:cs="Arial" w:eastAsia="Arial" w:hAnsi="Arial"/>
          <w:sz w:val="22"/>
          <w:szCs w:val="22"/>
          <w:color w:val="auto"/>
        </w:rPr>
      </w:pPr>
      <w:r>
        <w:rPr>
          <w:rFonts w:ascii="Arial" w:cs="Arial" w:eastAsia="Arial" w:hAnsi="Arial"/>
          <w:sz w:val="22"/>
          <w:szCs w:val="22"/>
          <w:color w:val="auto"/>
        </w:rPr>
        <w:t>You agree that any transfer from Cavium to the Company or any wholly-owned subsidiary of Marvell does not constitute a termination without cause.</w:t>
      </w:r>
    </w:p>
    <w:p>
      <w:pPr>
        <w:spacing w:after="0" w:line="1" w:lineRule="exact"/>
        <w:rPr>
          <w:sz w:val="20"/>
          <w:szCs w:val="20"/>
          <w:color w:val="auto"/>
        </w:rPr>
      </w:pPr>
    </w:p>
    <w:p>
      <w:pPr>
        <w:spacing w:after="0" w:line="244" w:lineRule="auto"/>
        <w:rPr>
          <w:sz w:val="20"/>
          <w:szCs w:val="20"/>
          <w:color w:val="auto"/>
        </w:rPr>
      </w:pPr>
      <w:r>
        <w:rPr>
          <w:rFonts w:ascii="Arial" w:cs="Arial" w:eastAsia="Arial" w:hAnsi="Arial"/>
          <w:sz w:val="22"/>
          <w:szCs w:val="22"/>
          <w:color w:val="auto"/>
        </w:rPr>
        <w:t>Except as provided above, your Cavium restricted stock units (“RSUs”), performance-based RSUs (“PRSUs”), and stock options, if any, outstanding at the time of the closing of the Transaction will be assumed by Marvell and converted into awards to receive Marvell stock as provided in the Agreement and Plan of Merger and will continue to vest (subject to your continued employment) in accordance with their original vesting schedule.</w:t>
      </w:r>
    </w:p>
    <w:p>
      <w:pPr>
        <w:spacing w:after="0" w:line="82"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Change-in-Control</w:t>
      </w:r>
    </w:p>
    <w:p>
      <w:pPr>
        <w:spacing w:after="0" w:line="118" w:lineRule="exact"/>
        <w:rPr>
          <w:sz w:val="20"/>
          <w:szCs w:val="20"/>
          <w:color w:val="auto"/>
        </w:rPr>
      </w:pPr>
    </w:p>
    <w:p>
      <w:pPr>
        <w:ind w:right="180"/>
        <w:spacing w:after="0" w:line="263" w:lineRule="auto"/>
        <w:rPr>
          <w:sz w:val="20"/>
          <w:szCs w:val="20"/>
          <w:color w:val="auto"/>
        </w:rPr>
      </w:pPr>
      <w:r>
        <w:rPr>
          <w:rFonts w:ascii="Arial" w:cs="Arial" w:eastAsia="Arial" w:hAnsi="Arial"/>
          <w:sz w:val="22"/>
          <w:szCs w:val="22"/>
          <w:color w:val="auto"/>
        </w:rPr>
        <w:t>You will be eligible to participate in the Marvell Change in Control and Severance Plan (“CIC Plan”) at the “Tier 2” level, subject to the terms and conditions of the CIC Plan and the form of</w:t>
      </w:r>
    </w:p>
    <w:p>
      <w:pPr>
        <w:sectPr>
          <w:pgSz w:w="11900" w:h="16838" w:orient="portrait"/>
          <w:cols w:equalWidth="0" w:num="1">
            <w:col w:w="11420"/>
          </w:cols>
          <w:pgMar w:left="240" w:top="375" w:right="239" w:bottom="1440" w:gutter="0" w:footer="0" w:header="0"/>
        </w:sectPr>
      </w:pPr>
    </w:p>
    <w:bookmarkStart w:id="68" w:name="page69"/>
    <w:bookmarkEnd w:id="68"/>
    <w:p>
      <w:pPr>
        <w:spacing w:after="0"/>
        <w:rPr>
          <w:sz w:val="20"/>
          <w:szCs w:val="20"/>
          <w:color w:val="auto"/>
        </w:rPr>
      </w:pPr>
      <w:r>
        <w:rPr>
          <w:rFonts w:ascii="Arial" w:cs="Arial" w:eastAsia="Arial" w:hAnsi="Arial"/>
          <w:sz w:val="22"/>
          <w:szCs w:val="22"/>
          <w:color w:val="auto"/>
        </w:rPr>
        <w:t>Tier 2 agreement attached hereto as Appendix A which would apply to any future change in control of Marvell.</w:t>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Other Terms</w:t>
      </w:r>
    </w:p>
    <w:p>
      <w:pPr>
        <w:spacing w:after="0" w:line="118" w:lineRule="exact"/>
        <w:rPr>
          <w:sz w:val="20"/>
          <w:szCs w:val="20"/>
          <w:color w:val="auto"/>
        </w:rPr>
      </w:pPr>
    </w:p>
    <w:p>
      <w:pPr>
        <w:ind w:right="160"/>
        <w:spacing w:after="0" w:line="250" w:lineRule="auto"/>
        <w:rPr>
          <w:sz w:val="20"/>
          <w:szCs w:val="20"/>
          <w:color w:val="auto"/>
        </w:rPr>
      </w:pPr>
      <w:r>
        <w:rPr>
          <w:rFonts w:ascii="Arial" w:cs="Arial" w:eastAsia="Arial" w:hAnsi="Arial"/>
          <w:sz w:val="22"/>
          <w:szCs w:val="22"/>
          <w:color w:val="auto"/>
        </w:rPr>
        <w:t>Your employment with the Company is at the mutual consent of you, the employee, and the Company, the employer. Your employment with the Company is at will, meaning that either you or the Company may terminate the employment relationship at any time, with or without cause and with or without advance notice. The at-will nature of your employment may only be changed by a written agreement approved by the ECC.</w:t>
      </w:r>
    </w:p>
    <w:p>
      <w:pPr>
        <w:spacing w:after="0" w:line="200" w:lineRule="exact"/>
        <w:rPr>
          <w:sz w:val="20"/>
          <w:szCs w:val="20"/>
          <w:color w:val="auto"/>
        </w:rPr>
      </w:pPr>
    </w:p>
    <w:p>
      <w:pPr>
        <w:spacing w:after="0" w:line="286"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 which you are required to enter into and abide by as a condition of your employment.</w:t>
      </w:r>
    </w:p>
    <w:p>
      <w:pPr>
        <w:spacing w:after="0" w:line="229" w:lineRule="exact"/>
        <w:rPr>
          <w:sz w:val="20"/>
          <w:szCs w:val="20"/>
          <w:color w:val="auto"/>
        </w:rPr>
      </w:pPr>
    </w:p>
    <w:p>
      <w:pPr>
        <w:ind w:right="160"/>
        <w:spacing w:after="0" w:line="253" w:lineRule="auto"/>
        <w:rPr>
          <w:sz w:val="20"/>
          <w:szCs w:val="20"/>
          <w:color w:val="auto"/>
        </w:rPr>
      </w:pPr>
      <w:r>
        <w:rPr>
          <w:rFonts w:ascii="Arial" w:cs="Arial" w:eastAsia="Arial" w:hAnsi="Arial"/>
          <w:sz w:val="22"/>
          <w:szCs w:val="22"/>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spacing w:after="0" w:line="51" w:lineRule="exact"/>
        <w:rPr>
          <w:sz w:val="20"/>
          <w:szCs w:val="20"/>
          <w:color w:val="auto"/>
        </w:rPr>
      </w:pPr>
    </w:p>
    <w:p>
      <w:pPr>
        <w:ind w:left="660" w:hanging="328"/>
        <w:spacing w:after="0"/>
        <w:tabs>
          <w:tab w:leader="none" w:pos="660" w:val="left"/>
        </w:tabs>
        <w:numPr>
          <w:ilvl w:val="0"/>
          <w:numId w:val="28"/>
        </w:numPr>
        <w:rPr>
          <w:rFonts w:ascii="Arial" w:cs="Arial" w:eastAsia="Arial" w:hAnsi="Arial"/>
          <w:sz w:val="22"/>
          <w:szCs w:val="22"/>
          <w:color w:val="auto"/>
        </w:rPr>
      </w:pPr>
      <w:r>
        <w:rPr>
          <w:rFonts w:ascii="Arial" w:cs="Arial" w:eastAsia="Arial" w:hAnsi="Arial"/>
          <w:sz w:val="22"/>
          <w:szCs w:val="22"/>
          <w:color w:val="auto"/>
        </w:rPr>
        <w:t>A valid driver’s license and social security card, or</w:t>
      </w:r>
    </w:p>
    <w:p>
      <w:pPr>
        <w:spacing w:after="0" w:line="165" w:lineRule="exact"/>
        <w:rPr>
          <w:rFonts w:ascii="Arial" w:cs="Arial" w:eastAsia="Arial" w:hAnsi="Arial"/>
          <w:sz w:val="22"/>
          <w:szCs w:val="22"/>
          <w:color w:val="auto"/>
        </w:rPr>
      </w:pPr>
    </w:p>
    <w:p>
      <w:pPr>
        <w:ind w:left="660" w:hanging="328"/>
        <w:spacing w:after="0"/>
        <w:tabs>
          <w:tab w:leader="none" w:pos="660" w:val="left"/>
        </w:tabs>
        <w:numPr>
          <w:ilvl w:val="0"/>
          <w:numId w:val="28"/>
        </w:numPr>
        <w:rPr>
          <w:rFonts w:ascii="Arial" w:cs="Arial" w:eastAsia="Arial" w:hAnsi="Arial"/>
          <w:sz w:val="22"/>
          <w:szCs w:val="22"/>
          <w:color w:val="auto"/>
        </w:rPr>
      </w:pPr>
      <w:r>
        <w:rPr>
          <w:rFonts w:ascii="Arial" w:cs="Arial" w:eastAsia="Arial" w:hAnsi="Arial"/>
          <w:sz w:val="22"/>
          <w:szCs w:val="22"/>
          <w:color w:val="auto"/>
        </w:rPr>
        <w:t>A current passport</w:t>
      </w:r>
    </w:p>
    <w:p>
      <w:pPr>
        <w:spacing w:after="0" w:line="85" w:lineRule="exact"/>
        <w:rPr>
          <w:sz w:val="20"/>
          <w:szCs w:val="20"/>
          <w:color w:val="auto"/>
        </w:rPr>
      </w:pPr>
    </w:p>
    <w:p>
      <w:pPr>
        <w:spacing w:after="0"/>
        <w:rPr>
          <w:sz w:val="20"/>
          <w:szCs w:val="20"/>
          <w:color w:val="auto"/>
        </w:rPr>
      </w:pPr>
      <w:r>
        <w:rPr>
          <w:rFonts w:ascii="Arial" w:cs="Arial" w:eastAsia="Arial" w:hAnsi="Arial"/>
          <w:sz w:val="22"/>
          <w:szCs w:val="22"/>
          <w:color w:val="auto"/>
        </w:rPr>
        <w:t>Please note your offer is contingent upon:</w:t>
      </w:r>
    </w:p>
    <w:p>
      <w:pPr>
        <w:spacing w:after="0" w:line="85" w:lineRule="exact"/>
        <w:rPr>
          <w:sz w:val="20"/>
          <w:szCs w:val="20"/>
          <w:color w:val="auto"/>
        </w:rPr>
      </w:pPr>
    </w:p>
    <w:p>
      <w:pPr>
        <w:ind w:left="660" w:hanging="328"/>
        <w:spacing w:after="0"/>
        <w:tabs>
          <w:tab w:leader="none" w:pos="660" w:val="left"/>
        </w:tabs>
        <w:numPr>
          <w:ilvl w:val="0"/>
          <w:numId w:val="29"/>
        </w:numPr>
        <w:rPr>
          <w:rFonts w:ascii="Arial" w:cs="Arial" w:eastAsia="Arial" w:hAnsi="Arial"/>
          <w:sz w:val="22"/>
          <w:szCs w:val="22"/>
          <w:color w:val="auto"/>
        </w:rPr>
      </w:pPr>
      <w:r>
        <w:rPr>
          <w:rFonts w:ascii="Arial" w:cs="Arial" w:eastAsia="Arial" w:hAnsi="Arial"/>
          <w:sz w:val="22"/>
          <w:szCs w:val="22"/>
          <w:color w:val="auto"/>
        </w:rPr>
        <w:t>Closing of the Transaction;</w:t>
      </w:r>
    </w:p>
    <w:p>
      <w:pPr>
        <w:spacing w:after="0" w:line="165" w:lineRule="exact"/>
        <w:rPr>
          <w:rFonts w:ascii="Arial" w:cs="Arial" w:eastAsia="Arial" w:hAnsi="Arial"/>
          <w:sz w:val="22"/>
          <w:szCs w:val="22"/>
          <w:color w:val="auto"/>
        </w:rPr>
      </w:pPr>
    </w:p>
    <w:p>
      <w:pPr>
        <w:ind w:left="660" w:hanging="328"/>
        <w:spacing w:after="0"/>
        <w:tabs>
          <w:tab w:leader="none" w:pos="660" w:val="left"/>
        </w:tabs>
        <w:numPr>
          <w:ilvl w:val="0"/>
          <w:numId w:val="29"/>
        </w:numPr>
        <w:rPr>
          <w:rFonts w:ascii="Arial" w:cs="Arial" w:eastAsia="Arial" w:hAnsi="Arial"/>
          <w:sz w:val="22"/>
          <w:szCs w:val="22"/>
          <w:color w:val="auto"/>
        </w:rPr>
      </w:pPr>
      <w:r>
        <w:rPr>
          <w:rFonts w:ascii="Arial" w:cs="Arial" w:eastAsia="Arial" w:hAnsi="Arial"/>
          <w:sz w:val="22"/>
          <w:szCs w:val="22"/>
          <w:color w:val="auto"/>
        </w:rPr>
        <w:t>Successful completion of a routine background investigation;</w:t>
      </w:r>
    </w:p>
    <w:p>
      <w:pPr>
        <w:spacing w:after="0" w:line="165" w:lineRule="exact"/>
        <w:rPr>
          <w:rFonts w:ascii="Arial" w:cs="Arial" w:eastAsia="Arial" w:hAnsi="Arial"/>
          <w:sz w:val="22"/>
          <w:szCs w:val="22"/>
          <w:color w:val="auto"/>
        </w:rPr>
      </w:pPr>
    </w:p>
    <w:p>
      <w:pPr>
        <w:ind w:left="660" w:right="100" w:hanging="328"/>
        <w:spacing w:after="0" w:line="263" w:lineRule="auto"/>
        <w:tabs>
          <w:tab w:leader="none" w:pos="660" w:val="left"/>
        </w:tabs>
        <w:numPr>
          <w:ilvl w:val="0"/>
          <w:numId w:val="29"/>
        </w:numPr>
        <w:rPr>
          <w:rFonts w:ascii="Arial" w:cs="Arial" w:eastAsia="Arial" w:hAnsi="Arial"/>
          <w:sz w:val="22"/>
          <w:szCs w:val="22"/>
          <w:color w:val="auto"/>
        </w:rPr>
      </w:pPr>
      <w:r>
        <w:rPr>
          <w:rFonts w:ascii="Arial" w:cs="Arial" w:eastAsia="Arial" w:hAnsi="Arial"/>
          <w:sz w:val="22"/>
          <w:szCs w:val="22"/>
          <w:color w:val="auto"/>
        </w:rPr>
        <w:t>The Company’s receipt from you of a signed New Hire Employee Agreement, which contains the Company's Confidential Information and Invention Assignment Agreement and Arbitration Agreement; and</w:t>
      </w:r>
    </w:p>
    <w:p>
      <w:pPr>
        <w:spacing w:after="0" w:line="120" w:lineRule="exact"/>
        <w:rPr>
          <w:rFonts w:ascii="Arial" w:cs="Arial" w:eastAsia="Arial" w:hAnsi="Arial"/>
          <w:sz w:val="22"/>
          <w:szCs w:val="22"/>
          <w:color w:val="auto"/>
        </w:rPr>
      </w:pPr>
    </w:p>
    <w:p>
      <w:pPr>
        <w:ind w:left="660" w:hanging="328"/>
        <w:spacing w:after="0"/>
        <w:tabs>
          <w:tab w:leader="none" w:pos="660" w:val="left"/>
        </w:tabs>
        <w:numPr>
          <w:ilvl w:val="0"/>
          <w:numId w:val="29"/>
        </w:numPr>
        <w:rPr>
          <w:rFonts w:ascii="Arial" w:cs="Arial" w:eastAsia="Arial" w:hAnsi="Arial"/>
          <w:sz w:val="21"/>
          <w:szCs w:val="21"/>
          <w:color w:val="auto"/>
        </w:rPr>
      </w:pPr>
      <w:r>
        <w:rPr>
          <w:rFonts w:ascii="Arial" w:cs="Arial" w:eastAsia="Arial" w:hAnsi="Arial"/>
          <w:sz w:val="21"/>
          <w:szCs w:val="21"/>
          <w:color w:val="auto"/>
        </w:rPr>
        <w:t>Completion of visa, license requirements, and government restricted party screening requirements, if applicable.</w:t>
      </w:r>
    </w:p>
    <w:p>
      <w:pPr>
        <w:spacing w:after="0" w:line="96" w:lineRule="exact"/>
        <w:rPr>
          <w:sz w:val="20"/>
          <w:szCs w:val="20"/>
          <w:color w:val="auto"/>
        </w:rPr>
      </w:pPr>
    </w:p>
    <w:p>
      <w:pPr>
        <w:ind w:right="60"/>
        <w:spacing w:after="0" w:line="292" w:lineRule="auto"/>
        <w:rPr>
          <w:sz w:val="20"/>
          <w:szCs w:val="20"/>
          <w:color w:val="auto"/>
        </w:rPr>
      </w:pPr>
      <w:r>
        <w:rPr>
          <w:rFonts w:ascii="Arial" w:cs="Arial" w:eastAsia="Arial" w:hAnsi="Arial"/>
          <w:sz w:val="19"/>
          <w:szCs w:val="19"/>
          <w:color w:val="auto"/>
        </w:rPr>
        <w:t>This letter (if accepted) and the New Hire Employee Agreement, which contains the Company's Arbitration Agreement and Confidential Information and Invention Assignment Agreement, along with any documents referred to in this letter, including the Company’s employment policies, constitute the entire agreement between you and the Company, and between you and Cavium regarding the terms of your employment, and supersede any prior representations or agreements, whether written or oral, concerning the terms of your employment. This letter may not be modified or amended except by a signed written agreement from the Company. This letter does not supersede any restrictive covenants that you have entered into with the Company or with Cavium, however, this letter does supersede any prior employment agreements or terms</w:t>
      </w:r>
    </w:p>
    <w:p>
      <w:pPr>
        <w:sectPr>
          <w:pgSz w:w="11900" w:h="16838" w:orient="portrait"/>
          <w:cols w:equalWidth="0" w:num="1">
            <w:col w:w="11360"/>
          </w:cols>
          <w:pgMar w:left="240" w:top="375" w:right="299" w:bottom="1440" w:gutter="0" w:footer="0" w:header="0"/>
        </w:sectPr>
      </w:pPr>
    </w:p>
    <w:bookmarkStart w:id="69" w:name="page70"/>
    <w:bookmarkEnd w:id="69"/>
    <w:p>
      <w:pPr>
        <w:spacing w:after="0"/>
        <w:rPr>
          <w:sz w:val="20"/>
          <w:szCs w:val="20"/>
          <w:color w:val="auto"/>
        </w:rPr>
      </w:pPr>
      <w:r>
        <w:rPr>
          <w:rFonts w:ascii="Arial" w:cs="Arial" w:eastAsia="Arial" w:hAnsi="Arial"/>
          <w:sz w:val="22"/>
          <w:szCs w:val="22"/>
          <w:color w:val="auto"/>
        </w:rPr>
        <w:t>(other than restrictive covenants) you have with the Company or with Cavium, which are of no further force or effect.</w:t>
      </w:r>
    </w:p>
    <w:p>
      <w:pPr>
        <w:spacing w:after="0" w:line="260" w:lineRule="exact"/>
        <w:rPr>
          <w:sz w:val="20"/>
          <w:szCs w:val="20"/>
          <w:color w:val="auto"/>
        </w:rPr>
      </w:pPr>
    </w:p>
    <w:p>
      <w:pPr>
        <w:spacing w:after="0"/>
        <w:rPr>
          <w:sz w:val="20"/>
          <w:szCs w:val="20"/>
          <w:color w:val="auto"/>
        </w:rPr>
      </w:pPr>
      <w:r>
        <w:rPr>
          <w:rFonts w:ascii="Arial" w:cs="Arial" w:eastAsia="Arial" w:hAnsi="Arial"/>
          <w:sz w:val="22"/>
          <w:szCs w:val="22"/>
          <w:color w:val="auto"/>
        </w:rPr>
        <w:t>This letter will be governed by the laws of California, without regard to conflict of law principles.</w:t>
      </w:r>
    </w:p>
    <w:p>
      <w:pPr>
        <w:spacing w:after="0" w:line="260" w:lineRule="exact"/>
        <w:rPr>
          <w:sz w:val="20"/>
          <w:szCs w:val="20"/>
          <w:color w:val="auto"/>
        </w:rPr>
      </w:pPr>
    </w:p>
    <w:p>
      <w:pPr>
        <w:spacing w:after="0" w:line="248" w:lineRule="auto"/>
        <w:rPr>
          <w:sz w:val="20"/>
          <w:szCs w:val="20"/>
          <w:color w:val="auto"/>
        </w:rPr>
      </w:pPr>
      <w:r>
        <w:rPr>
          <w:rFonts w:ascii="Arial" w:cs="Arial" w:eastAsia="Arial" w:hAnsi="Arial"/>
          <w:sz w:val="22"/>
          <w:szCs w:val="22"/>
          <w:color w:val="auto"/>
        </w:rPr>
        <w:t>By accepting this offer, you represent that you are able to accept this job and carry out the work that it would involve without breaching any legal restrictions on your activities, such as non-competition, non-solicitation or other work-related restrictions imposed by a current or former employer. You also represent that you will inform the Company about any such restrictions and provide the Company with as much information about them as possible, including any agreements between you and your current or former employer describing such restrictions on your activities.</w:t>
      </w:r>
    </w:p>
    <w:p>
      <w:pPr>
        <w:spacing w:after="0" w:line="233" w:lineRule="exact"/>
        <w:rPr>
          <w:sz w:val="20"/>
          <w:szCs w:val="20"/>
          <w:color w:val="auto"/>
        </w:rPr>
      </w:pPr>
    </w:p>
    <w:p>
      <w:pPr>
        <w:ind w:right="60"/>
        <w:spacing w:after="0" w:line="250" w:lineRule="auto"/>
        <w:rPr>
          <w:sz w:val="20"/>
          <w:szCs w:val="20"/>
          <w:color w:val="auto"/>
        </w:rPr>
      </w:pPr>
      <w:r>
        <w:rPr>
          <w:rFonts w:ascii="Arial" w:cs="Arial" w:eastAsia="Arial" w:hAnsi="Arial"/>
          <w:sz w:val="22"/>
          <w:szCs w:val="22"/>
          <w:color w:val="auto"/>
        </w:rPr>
        <w:t>The Company is an exciting company whose mission is to develop and deliver semiconductor solutions that move, store and process the world’s data faster and more reliably than anyone else. We look forward to your acceptance as we believe you will be an important addition to our team in achieving our near and long term objectives. To accept this offer, please sign below and return the letter to me.</w:t>
      </w:r>
    </w:p>
    <w:p>
      <w:pPr>
        <w:spacing w:after="0" w:line="229" w:lineRule="exact"/>
        <w:rPr>
          <w:sz w:val="20"/>
          <w:szCs w:val="20"/>
          <w:color w:val="auto"/>
        </w:rPr>
      </w:pPr>
    </w:p>
    <w:p>
      <w:pPr>
        <w:spacing w:after="0"/>
        <w:rPr>
          <w:sz w:val="20"/>
          <w:szCs w:val="20"/>
          <w:color w:val="auto"/>
        </w:rPr>
      </w:pPr>
      <w:r>
        <w:rPr>
          <w:rFonts w:ascii="Arial" w:cs="Arial" w:eastAsia="Arial" w:hAnsi="Arial"/>
          <w:sz w:val="19"/>
          <w:szCs w:val="19"/>
          <w:color w:val="auto"/>
        </w:rPr>
        <w:t>This offer expires on November 18, 2017. Before submitting your response please print a copy of this letter for your records.</w:t>
      </w:r>
    </w:p>
    <w:p>
      <w:pPr>
        <w:spacing w:after="0" w:line="295" w:lineRule="exact"/>
        <w:rPr>
          <w:sz w:val="20"/>
          <w:szCs w:val="20"/>
          <w:color w:val="auto"/>
        </w:rPr>
      </w:pPr>
    </w:p>
    <w:p>
      <w:pPr>
        <w:spacing w:after="0"/>
        <w:rPr>
          <w:sz w:val="20"/>
          <w:szCs w:val="20"/>
          <w:color w:val="auto"/>
        </w:rPr>
      </w:pPr>
      <w:r>
        <w:rPr>
          <w:rFonts w:ascii="Arial" w:cs="Arial" w:eastAsia="Arial" w:hAnsi="Arial"/>
          <w:sz w:val="22"/>
          <w:szCs w:val="22"/>
          <w:color w:val="auto"/>
        </w:rPr>
        <w:t>Sincerely,</w:t>
      </w:r>
    </w:p>
    <w:p>
      <w:pPr>
        <w:spacing w:after="0" w:line="260" w:lineRule="exact"/>
        <w:rPr>
          <w:sz w:val="20"/>
          <w:szCs w:val="20"/>
          <w:color w:val="auto"/>
        </w:rPr>
      </w:pPr>
    </w:p>
    <w:p>
      <w:pPr>
        <w:spacing w:after="0"/>
        <w:rPr>
          <w:sz w:val="20"/>
          <w:szCs w:val="20"/>
          <w:color w:val="auto"/>
        </w:rPr>
      </w:pPr>
      <w:r>
        <w:rPr>
          <w:rFonts w:ascii="Arial" w:cs="Arial" w:eastAsia="Arial" w:hAnsi="Arial"/>
          <w:sz w:val="22"/>
          <w:szCs w:val="22"/>
          <w:color w:val="auto"/>
        </w:rPr>
        <w:t>/s/ Mitchell Gaynor</w:t>
      </w:r>
    </w:p>
    <w:p>
      <w:pPr>
        <w:spacing w:after="0" w:line="260" w:lineRule="exact"/>
        <w:rPr>
          <w:sz w:val="20"/>
          <w:szCs w:val="20"/>
          <w:color w:val="auto"/>
        </w:rPr>
      </w:pPr>
    </w:p>
    <w:p>
      <w:pPr>
        <w:spacing w:after="0"/>
        <w:rPr>
          <w:sz w:val="20"/>
          <w:szCs w:val="20"/>
          <w:color w:val="auto"/>
        </w:rPr>
      </w:pPr>
      <w:r>
        <w:rPr>
          <w:rFonts w:ascii="Arial" w:cs="Arial" w:eastAsia="Arial" w:hAnsi="Arial"/>
          <w:sz w:val="22"/>
          <w:szCs w:val="22"/>
          <w:color w:val="auto"/>
        </w:rPr>
        <w:t>Mitchell Gaynor</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Chief Administration and Legal Officer</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spacing w:after="0"/>
        <w:rPr>
          <w:sz w:val="20"/>
          <w:szCs w:val="20"/>
          <w:color w:val="auto"/>
        </w:rPr>
      </w:pPr>
      <w:r>
        <w:rPr>
          <w:rFonts w:ascii="Arial" w:cs="Arial" w:eastAsia="Arial" w:hAnsi="Arial"/>
          <w:sz w:val="22"/>
          <w:szCs w:val="22"/>
          <w:color w:val="auto"/>
        </w:rPr>
        <w:t>Accepted By:</w:t>
      </w:r>
    </w:p>
    <w:p>
      <w:pPr>
        <w:spacing w:after="0" w:line="200" w:lineRule="exact"/>
        <w:rPr>
          <w:sz w:val="20"/>
          <w:szCs w:val="20"/>
          <w:color w:val="auto"/>
        </w:rPr>
      </w:pPr>
    </w:p>
    <w:p>
      <w:pPr>
        <w:spacing w:after="0" w:line="317" w:lineRule="exact"/>
        <w:rPr>
          <w:sz w:val="20"/>
          <w:szCs w:val="20"/>
          <w:color w:val="auto"/>
        </w:rPr>
      </w:pPr>
    </w:p>
    <w:p>
      <w:pPr>
        <w:ind w:left="120"/>
        <w:spacing w:after="0"/>
        <w:rPr>
          <w:sz w:val="20"/>
          <w:szCs w:val="20"/>
          <w:color w:val="auto"/>
        </w:rPr>
      </w:pPr>
      <w:r>
        <w:rPr>
          <w:rFonts w:ascii="Arial" w:cs="Arial" w:eastAsia="Arial" w:hAnsi="Arial"/>
          <w:sz w:val="22"/>
          <w:szCs w:val="22"/>
          <w:color w:val="auto"/>
        </w:rPr>
        <w:t>/s/ Raghib Hussain 11/17/2017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153035</wp:posOffset>
            </wp:positionV>
            <wp:extent cx="26758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extLst>
                    </a:blip>
                    <a:srcRect/>
                    <a:stretch>
                      <a:fillRect/>
                    </a:stretch>
                  </pic:blipFill>
                  <pic:spPr bwMode="auto">
                    <a:xfrm>
                      <a:off x="0" y="0"/>
                      <a:ext cx="2675890" cy="8890"/>
                    </a:xfrm>
                    <a:prstGeom prst="rect">
                      <a:avLst/>
                    </a:prstGeom>
                    <a:noFill/>
                  </pic:spPr>
                </pic:pic>
              </a:graphicData>
            </a:graphic>
          </wp:anchor>
        </w:drawing>
      </w:r>
    </w:p>
    <w:p>
      <w:pPr>
        <w:spacing w:after="0" w:line="267" w:lineRule="exact"/>
        <w:rPr>
          <w:sz w:val="20"/>
          <w:szCs w:val="20"/>
          <w:color w:val="auto"/>
        </w:rPr>
      </w:pPr>
    </w:p>
    <w:p>
      <w:pPr>
        <w:ind w:left="60"/>
        <w:spacing w:after="0"/>
        <w:rPr>
          <w:sz w:val="20"/>
          <w:szCs w:val="20"/>
          <w:color w:val="auto"/>
        </w:rPr>
      </w:pPr>
      <w:r>
        <w:rPr>
          <w:rFonts w:ascii="Arial" w:cs="Arial" w:eastAsia="Arial" w:hAnsi="Arial"/>
          <w:sz w:val="22"/>
          <w:szCs w:val="22"/>
          <w:color w:val="auto"/>
        </w:rPr>
        <w:t>Raghib Hussain Date Signed</w:t>
      </w:r>
    </w:p>
    <w:p>
      <w:pPr>
        <w:sectPr>
          <w:pgSz w:w="11900" w:h="16838" w:orient="portrait"/>
          <w:cols w:equalWidth="0" w:num="1">
            <w:col w:w="11380"/>
          </w:cols>
          <w:pgMar w:left="240" w:top="375" w:right="279" w:bottom="1440" w:gutter="0" w:footer="0" w:header="0"/>
        </w:sectPr>
      </w:pPr>
    </w:p>
    <w:bookmarkStart w:id="70" w:name="page71"/>
    <w:bookmarkEnd w:id="70"/>
    <w:p>
      <w:pPr>
        <w:jc w:val="right"/>
        <w:spacing w:after="0"/>
        <w:rPr>
          <w:sz w:val="20"/>
          <w:szCs w:val="20"/>
          <w:color w:val="auto"/>
        </w:rPr>
      </w:pPr>
      <w:r>
        <w:rPr>
          <w:rFonts w:ascii="Arial" w:cs="Arial" w:eastAsia="Arial" w:hAnsi="Arial"/>
          <w:sz w:val="22"/>
          <w:szCs w:val="22"/>
          <w:b w:val="1"/>
          <w:bCs w:val="1"/>
          <w:color w:val="auto"/>
        </w:rPr>
        <w:t>TIER 2</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Appendix A</w:t>
      </w:r>
    </w:p>
    <w:p>
      <w:pPr>
        <w:spacing w:after="0" w:line="200" w:lineRule="exact"/>
        <w:rPr>
          <w:sz w:val="20"/>
          <w:szCs w:val="20"/>
          <w:color w:val="auto"/>
        </w:rPr>
      </w:pPr>
    </w:p>
    <w:p>
      <w:pPr>
        <w:spacing w:after="0" w:line="222" w:lineRule="exact"/>
        <w:rPr>
          <w:sz w:val="20"/>
          <w:szCs w:val="20"/>
          <w:color w:val="auto"/>
        </w:rPr>
      </w:pPr>
    </w:p>
    <w:p>
      <w:pPr>
        <w:jc w:val="center"/>
        <w:ind w:right="40"/>
        <w:spacing w:after="0"/>
        <w:rPr>
          <w:sz w:val="20"/>
          <w:szCs w:val="20"/>
          <w:color w:val="auto"/>
        </w:rPr>
      </w:pPr>
      <w:r>
        <w:rPr>
          <w:rFonts w:ascii="Arial" w:cs="Arial" w:eastAsia="Arial" w:hAnsi="Arial"/>
          <w:sz w:val="22"/>
          <w:szCs w:val="22"/>
          <w:b w:val="1"/>
          <w:bCs w:val="1"/>
          <w:color w:val="auto"/>
        </w:rPr>
        <w:t>Marvell Technology Group Ltd. Change in Control Severance Plan</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7"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Group Ltd.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w:t>
      </w:r>
    </w:p>
    <w:p>
      <w:pPr>
        <w:spacing w:after="0" w:line="68" w:lineRule="exact"/>
        <w:rPr>
          <w:sz w:val="20"/>
          <w:szCs w:val="20"/>
          <w:color w:val="auto"/>
        </w:rPr>
      </w:pPr>
    </w:p>
    <w:p>
      <w:pPr>
        <w:spacing w:after="0"/>
        <w:rPr>
          <w:sz w:val="20"/>
          <w:szCs w:val="20"/>
          <w:color w:val="auto"/>
        </w:rPr>
      </w:pPr>
      <w:r>
        <w:rPr>
          <w:rFonts w:ascii="Arial" w:cs="Arial" w:eastAsia="Arial" w:hAnsi="Arial"/>
          <w:sz w:val="22"/>
          <w:szCs w:val="22"/>
          <w:color w:val="auto"/>
        </w:rPr>
        <w:t>selected 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226" w:lineRule="exact"/>
        <w:rPr>
          <w:sz w:val="20"/>
          <w:szCs w:val="20"/>
          <w:color w:val="auto"/>
        </w:rPr>
      </w:pPr>
    </w:p>
    <w:p>
      <w:pPr>
        <w:ind w:right="180"/>
        <w:spacing w:after="0" w:line="292"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44" w:lineRule="exact"/>
        <w:rPr>
          <w:sz w:val="20"/>
          <w:szCs w:val="20"/>
          <w:color w:val="auto"/>
        </w:rPr>
      </w:pPr>
    </w:p>
    <w:p>
      <w:pPr>
        <w:ind w:right="520"/>
        <w:spacing w:after="0" w:line="30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33" w:lineRule="exact"/>
        <w:rPr>
          <w:sz w:val="20"/>
          <w:szCs w:val="20"/>
          <w:color w:val="auto"/>
        </w:rPr>
      </w:pPr>
    </w:p>
    <w:p>
      <w:pPr>
        <w:ind w:right="60"/>
        <w:spacing w:after="0" w:line="292"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44" w:lineRule="exact"/>
        <w:rPr>
          <w:sz w:val="20"/>
          <w:szCs w:val="20"/>
          <w:color w:val="auto"/>
        </w:rPr>
      </w:pPr>
    </w:p>
    <w:p>
      <w:pPr>
        <w:ind w:right="80"/>
        <w:spacing w:after="0" w:line="357"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288" w:lineRule="exact"/>
        <w:rPr>
          <w:sz w:val="20"/>
          <w:szCs w:val="20"/>
          <w:color w:val="auto"/>
        </w:rPr>
      </w:pPr>
    </w:p>
    <w:p>
      <w:pPr>
        <w:ind w:left="1000" w:hanging="344"/>
        <w:spacing w:after="0"/>
        <w:tabs>
          <w:tab w:leader="none" w:pos="1000" w:val="left"/>
        </w:tabs>
        <w:numPr>
          <w:ilvl w:val="0"/>
          <w:numId w:val="30"/>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239" w:lineRule="exact"/>
        <w:rPr>
          <w:rFonts w:ascii="Arial" w:cs="Arial" w:eastAsia="Arial" w:hAnsi="Arial"/>
          <w:sz w:val="22"/>
          <w:szCs w:val="22"/>
          <w:color w:val="auto"/>
        </w:rPr>
      </w:pPr>
    </w:p>
    <w:p>
      <w:pPr>
        <w:jc w:val="both"/>
        <w:ind w:firstLine="1305"/>
        <w:spacing w:after="0" w:line="270" w:lineRule="auto"/>
        <w:tabs>
          <w:tab w:leader="none" w:pos="1667" w:val="left"/>
        </w:tabs>
        <w:numPr>
          <w:ilvl w:val="1"/>
          <w:numId w:val="30"/>
        </w:numPr>
        <w:rPr>
          <w:rFonts w:ascii="Arial" w:cs="Arial" w:eastAsia="Arial" w:hAnsi="Arial"/>
          <w:sz w:val="21"/>
          <w:szCs w:val="21"/>
          <w:color w:val="auto"/>
        </w:rPr>
      </w:pPr>
      <w:r>
        <w:rPr>
          <w:rFonts w:ascii="Arial" w:cs="Arial" w:eastAsia="Arial" w:hAnsi="Arial"/>
          <w:sz w:val="21"/>
          <w:szCs w:val="21"/>
          <w:i w:val="1"/>
          <w:iCs w:val="1"/>
          <w:color w:val="auto"/>
        </w:rPr>
        <w:t>Base Salary</w:t>
      </w:r>
      <w:r>
        <w:rPr>
          <w:rFonts w:ascii="Arial" w:cs="Arial" w:eastAsia="Arial" w:hAnsi="Arial"/>
          <w:sz w:val="21"/>
          <w:szCs w:val="21"/>
          <w:color w:val="auto"/>
        </w:rPr>
        <w:t>. A lump-sum payment (less applicable withholding taxes) equal to 18 months of your annual base</w:t>
      </w:r>
      <w:r>
        <w:rPr>
          <w:rFonts w:ascii="Arial" w:cs="Arial" w:eastAsia="Arial" w:hAnsi="Arial"/>
          <w:sz w:val="21"/>
          <w:szCs w:val="21"/>
          <w:i w:val="1"/>
          <w:iCs w:val="1"/>
          <w:color w:val="auto"/>
        </w:rPr>
        <w:t xml:space="preserve"> </w:t>
      </w:r>
      <w:r>
        <w:rPr>
          <w:rFonts w:ascii="Arial" w:cs="Arial" w:eastAsia="Arial" w:hAnsi="Arial"/>
          <w:sz w:val="21"/>
          <w:szCs w:val="21"/>
          <w:color w:val="auto"/>
        </w:rPr>
        <w:t>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69" w:lineRule="exact"/>
        <w:rPr>
          <w:rFonts w:ascii="Arial" w:cs="Arial" w:eastAsia="Arial" w:hAnsi="Arial"/>
          <w:sz w:val="21"/>
          <w:szCs w:val="21"/>
          <w:color w:val="auto"/>
        </w:rPr>
      </w:pPr>
    </w:p>
    <w:p>
      <w:pPr>
        <w:ind w:right="20" w:firstLine="1305"/>
        <w:spacing w:after="0" w:line="358" w:lineRule="auto"/>
        <w:tabs>
          <w:tab w:leader="none" w:pos="1760" w:val="left"/>
        </w:tabs>
        <w:numPr>
          <w:ilvl w:val="1"/>
          <w:numId w:val="30"/>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150%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90" w:lineRule="exact"/>
        <w:rPr>
          <w:rFonts w:ascii="Arial" w:cs="Arial" w:eastAsia="Arial" w:hAnsi="Arial"/>
          <w:sz w:val="19"/>
          <w:szCs w:val="19"/>
          <w:color w:val="auto"/>
        </w:rPr>
      </w:pPr>
    </w:p>
    <w:p>
      <w:pPr>
        <w:ind w:firstLine="1305"/>
        <w:spacing w:after="0" w:line="276" w:lineRule="auto"/>
        <w:tabs>
          <w:tab w:leader="none" w:pos="1748" w:val="left"/>
        </w:tabs>
        <w:numPr>
          <w:ilvl w:val="1"/>
          <w:numId w:val="30"/>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ectPr>
          <w:pgSz w:w="11900" w:h="16838" w:orient="portrait"/>
          <w:cols w:equalWidth="0" w:num="1">
            <w:col w:w="11420"/>
          </w:cols>
          <w:pgMar w:left="240" w:top="855" w:right="239" w:bottom="1440" w:gutter="0" w:footer="0" w:header="0"/>
        </w:sectPr>
      </w:pPr>
    </w:p>
    <w:bookmarkStart w:id="71" w:name="page72"/>
    <w:bookmarkEnd w:id="71"/>
    <w:p>
      <w:pPr>
        <w:jc w:val="both"/>
        <w:ind w:firstLine="656"/>
        <w:spacing w:after="0" w:line="289" w:lineRule="auto"/>
        <w:tabs>
          <w:tab w:leader="none" w:pos="1017" w:val="left"/>
        </w:tabs>
        <w:numPr>
          <w:ilvl w:val="0"/>
          <w:numId w:val="31"/>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 vested</w:t>
      </w:r>
      <w:r>
        <w:rPr>
          <w:rFonts w:ascii="Arial" w:cs="Arial" w:eastAsia="Arial" w:hAnsi="Arial"/>
          <w:sz w:val="19"/>
          <w:szCs w:val="19"/>
          <w:b w:val="1"/>
          <w:bCs w:val="1"/>
          <w:color w:val="auto"/>
        </w:rPr>
        <w:t xml:space="preserve"> </w:t>
      </w:r>
      <w:r>
        <w:rPr>
          <w:rFonts w:ascii="Arial" w:cs="Arial" w:eastAsia="Arial" w:hAnsi="Arial"/>
          <w:sz w:val="19"/>
          <w:szCs w:val="19"/>
          <w:color w:val="auto"/>
        </w:rPr>
        <w:t>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51" w:lineRule="exact"/>
        <w:rPr>
          <w:rFonts w:ascii="Arial" w:cs="Arial" w:eastAsia="Arial" w:hAnsi="Arial"/>
          <w:sz w:val="19"/>
          <w:szCs w:val="19"/>
          <w:color w:val="auto"/>
        </w:rPr>
      </w:pPr>
    </w:p>
    <w:p>
      <w:pPr>
        <w:jc w:val="both"/>
        <w:ind w:firstLine="656"/>
        <w:spacing w:after="0" w:line="292" w:lineRule="auto"/>
        <w:tabs>
          <w:tab w:leader="none" w:pos="1071" w:val="left"/>
        </w:tabs>
        <w:numPr>
          <w:ilvl w:val="0"/>
          <w:numId w:val="31"/>
        </w:numPr>
        <w:rPr>
          <w:rFonts w:ascii="Arial" w:cs="Arial" w:eastAsia="Arial" w:hAnsi="Arial"/>
          <w:sz w:val="19"/>
          <w:szCs w:val="19"/>
          <w:color w:val="auto"/>
        </w:rPr>
      </w:pPr>
      <w:r>
        <w:rPr>
          <w:rFonts w:ascii="Arial" w:cs="Arial" w:eastAsia="Arial" w:hAnsi="Arial"/>
          <w:sz w:val="19"/>
          <w:szCs w:val="19"/>
          <w:b w:val="1"/>
          <w:bCs w:val="1"/>
          <w:color w:val="auto"/>
        </w:rPr>
        <w:t>Continued Medical Benefits</w:t>
      </w:r>
      <w:r>
        <w:rPr>
          <w:rFonts w:ascii="Arial" w:cs="Arial" w:eastAsia="Arial" w:hAnsi="Arial"/>
          <w:sz w:val="19"/>
          <w:szCs w:val="19"/>
          <w:color w:val="auto"/>
        </w:rPr>
        <w:t>. Your reimbursement of continued health coverage under COBRA or taxable monthly</w:t>
      </w:r>
      <w:r>
        <w:rPr>
          <w:rFonts w:ascii="Arial" w:cs="Arial" w:eastAsia="Arial" w:hAnsi="Arial"/>
          <w:sz w:val="19"/>
          <w:szCs w:val="19"/>
          <w:b w:val="1"/>
          <w:bCs w:val="1"/>
          <w:color w:val="auto"/>
        </w:rPr>
        <w:t xml:space="preserve"> </w:t>
      </w:r>
      <w:r>
        <w:rPr>
          <w:rFonts w:ascii="Arial" w:cs="Arial" w:eastAsia="Arial" w:hAnsi="Arial"/>
          <w:sz w:val="19"/>
          <w:szCs w:val="19"/>
          <w:color w:val="auto"/>
        </w:rPr>
        <w:t>payment in 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ind w:right="240" w:firstLine="1297"/>
        <w:spacing w:after="0" w:line="383" w:lineRule="auto"/>
        <w:rPr>
          <w:rFonts w:ascii="Arial" w:cs="Arial" w:eastAsia="Arial" w:hAnsi="Arial"/>
          <w:sz w:val="19"/>
          <w:szCs w:val="19"/>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68" w:lineRule="exact"/>
        <w:rPr>
          <w:sz w:val="20"/>
          <w:szCs w:val="20"/>
          <w:color w:val="auto"/>
        </w:rPr>
      </w:pPr>
    </w:p>
    <w:p>
      <w:pPr>
        <w:ind w:right="200" w:firstLine="1297"/>
        <w:spacing w:after="0" w:line="303"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and (3) decisions and determinations by the Administrator under the Plan will be final and binding on you and your successors.</w:t>
      </w:r>
    </w:p>
    <w:p>
      <w:pPr>
        <w:sectPr>
          <w:pgSz w:w="11900" w:h="16838" w:orient="portrait"/>
          <w:cols w:equalWidth="0" w:num="1">
            <w:col w:w="11420"/>
          </w:cols>
          <w:pgMar w:left="240" w:top="585" w:right="239" w:bottom="1440" w:gutter="0" w:footer="0" w:header="0"/>
        </w:sectPr>
      </w:pPr>
    </w:p>
    <w:bookmarkStart w:id="72" w:name="page73"/>
    <w:bookmarkEnd w:id="72"/>
    <w:p>
      <w:pPr>
        <w:spacing w:after="0"/>
        <w:tabs>
          <w:tab w:leader="none" w:pos="4520" w:val="left"/>
        </w:tabs>
        <w:rPr>
          <w:sz w:val="20"/>
          <w:szCs w:val="20"/>
          <w:color w:val="auto"/>
        </w:rPr>
      </w:pPr>
      <w:r>
        <w:rPr>
          <w:rFonts w:ascii="Arial" w:cs="Arial" w:eastAsia="Arial" w:hAnsi="Arial"/>
          <w:sz w:val="22"/>
          <w:szCs w:val="22"/>
          <w:b w:val="1"/>
          <w:bCs w:val="1"/>
          <w:color w:val="auto"/>
        </w:rPr>
        <w:t>MARVELL TECHNOLOGY GROUP LTD.</w:t>
      </w:r>
      <w:r>
        <w:rPr>
          <w:sz w:val="20"/>
          <w:szCs w:val="20"/>
          <w:color w:val="auto"/>
        </w:rPr>
        <w:tab/>
      </w:r>
      <w:r>
        <w:rPr>
          <w:rFonts w:ascii="Arial" w:cs="Arial" w:eastAsia="Arial" w:hAnsi="Arial"/>
          <w:sz w:val="21"/>
          <w:szCs w:val="21"/>
          <w:b w:val="1"/>
          <w:bCs w:val="1"/>
          <w:color w:val="auto"/>
        </w:rPr>
        <w:t>PARTICIPANT</w:t>
      </w:r>
    </w:p>
    <w:p>
      <w:pPr>
        <w:spacing w:after="0" w:line="226" w:lineRule="exact"/>
        <w:rPr>
          <w:sz w:val="20"/>
          <w:szCs w:val="20"/>
          <w:color w:val="auto"/>
        </w:rPr>
      </w:pPr>
    </w:p>
    <w:p>
      <w:pPr>
        <w:ind w:left="4540"/>
        <w:spacing w:after="0"/>
        <w:rPr>
          <w:sz w:val="20"/>
          <w:szCs w:val="20"/>
          <w:color w:val="auto"/>
        </w:rPr>
      </w:pPr>
      <w:r>
        <w:rPr>
          <w:rFonts w:ascii="Arial" w:cs="Arial" w:eastAsia="Arial" w:hAnsi="Arial"/>
          <w:sz w:val="22"/>
          <w:szCs w:val="22"/>
          <w:color w:val="auto"/>
        </w:rPr>
        <w:t>___________________________</w:t>
      </w:r>
    </w:p>
    <w:p>
      <w:pPr>
        <w:spacing w:after="0" w:line="22" w:lineRule="exact"/>
        <w:rPr>
          <w:sz w:val="20"/>
          <w:szCs w:val="20"/>
          <w:color w:val="auto"/>
        </w:rPr>
      </w:pPr>
    </w:p>
    <w:p>
      <w:pPr>
        <w:spacing w:after="0"/>
        <w:tabs>
          <w:tab w:leader="none" w:pos="146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Signature</w:t>
      </w:r>
    </w:p>
    <w:p>
      <w:pPr>
        <w:spacing w:after="0" w:line="202" w:lineRule="exact"/>
        <w:rPr>
          <w:sz w:val="20"/>
          <w:szCs w:val="20"/>
          <w:color w:val="auto"/>
        </w:rPr>
      </w:pPr>
    </w:p>
    <w:p>
      <w:pPr>
        <w:ind w:left="4540"/>
        <w:spacing w:after="0"/>
        <w:rPr>
          <w:sz w:val="20"/>
          <w:szCs w:val="20"/>
          <w:color w:val="auto"/>
        </w:rPr>
      </w:pPr>
      <w:r>
        <w:rPr>
          <w:rFonts w:ascii="Arial" w:cs="Arial" w:eastAsia="Arial" w:hAnsi="Arial"/>
          <w:sz w:val="22"/>
          <w:szCs w:val="22"/>
          <w:color w:val="auto"/>
        </w:rPr>
        <w:t>___________________________</w:t>
      </w:r>
    </w:p>
    <w:p>
      <w:pPr>
        <w:spacing w:after="0" w:line="22" w:lineRule="exact"/>
        <w:rPr>
          <w:sz w:val="20"/>
          <w:szCs w:val="20"/>
          <w:color w:val="auto"/>
        </w:rPr>
      </w:pPr>
    </w:p>
    <w:p>
      <w:pPr>
        <w:spacing w:after="0"/>
        <w:tabs>
          <w:tab w:leader="none" w:pos="116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22"/>
          <w:szCs w:val="22"/>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2475230</wp:posOffset>
            </wp:positionH>
            <wp:positionV relativeFrom="paragraph">
              <wp:posOffset>270510</wp:posOffset>
            </wp:positionV>
            <wp:extent cx="2743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0" w:lineRule="exact"/>
        <w:rPr>
          <w:sz w:val="20"/>
          <w:szCs w:val="20"/>
          <w:color w:val="auto"/>
        </w:rPr>
      </w:pPr>
    </w:p>
    <w:p>
      <w:pPr>
        <w:spacing w:after="0" w:line="290"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Group Ltd. Change in Control Severance Plan and Summary Plan Description</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left="360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219"/>
          </w:cols>
          <w:pgMar w:left="240" w:top="585" w:right="1440" w:bottom="1440" w:gutter="0" w:footer="0" w:header="0"/>
        </w:sectPr>
      </w:pPr>
    </w:p>
    <w:bookmarkStart w:id="73" w:name="page74"/>
    <w:bookmarkEnd w:id="73"/>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32"/>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3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12,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74" w:name="page75"/>
    <w:bookmarkEnd w:id="74"/>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33"/>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33"/>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3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3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3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12,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80" w:right="239" w:bottom="1440" w:gutter="0" w:footer="0" w:header="0"/>
        </w:sectPr>
      </w:pPr>
    </w:p>
    <w:bookmarkStart w:id="75" w:name="page76"/>
    <w:bookmarkEnd w:id="75"/>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00" w:hanging="316"/>
        <w:spacing w:after="0" w:line="277" w:lineRule="auto"/>
        <w:tabs>
          <w:tab w:leader="none" w:pos="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4, 2018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34"/>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12,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76" w:name="page77"/>
    <w:bookmarkEnd w:id="76"/>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00" w:hanging="316"/>
        <w:spacing w:after="0" w:line="277" w:lineRule="auto"/>
        <w:tabs>
          <w:tab w:leader="none" w:pos="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4, 2018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35"/>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12,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31BD7B7"/>
    <w:multiLevelType w:val="hybridMultilevel"/>
    <w:lvl w:ilvl="0">
      <w:lvlJc w:val="left"/>
      <w:lvlText w:val="☒"/>
      <w:numFmt w:val="bullet"/>
      <w:start w:val="1"/>
    </w:lvl>
  </w:abstractNum>
  <w:abstractNum w:abstractNumId="1">
    <w:nsid w:val="3F2DBA31"/>
    <w:multiLevelType w:val="hybridMultilevel"/>
    <w:lvl w:ilvl="0">
      <w:lvlJc w:val="left"/>
      <w:lvlText w:val="☐"/>
      <w:numFmt w:val="bullet"/>
      <w:start w:val="1"/>
    </w:lvl>
  </w:abstractNum>
  <w:abstractNum w:abstractNumId="2">
    <w:nsid w:val="7C83E458"/>
    <w:multiLevelType w:val="hybridMultilevel"/>
    <w:lvl w:ilvl="0">
      <w:lvlJc w:val="left"/>
      <w:lvlText w:val="(%1)"/>
      <w:numFmt w:val="lowerRoman"/>
      <w:start w:val="4"/>
    </w:lvl>
  </w:abstractNum>
  <w:abstractNum w:abstractNumId="3">
    <w:nsid w:val="257130A3"/>
    <w:multiLevelType w:val="hybridMultilevel"/>
    <w:lvl w:ilvl="0">
      <w:lvlJc w:val="left"/>
      <w:lvlText w:val="%1)"/>
      <w:numFmt w:val="decimal"/>
      <w:start w:val="1"/>
    </w:lvl>
  </w:abstractNum>
  <w:abstractNum w:abstractNumId="4">
    <w:nsid w:val="62BBD95A"/>
    <w:multiLevelType w:val="hybridMultilevel"/>
    <w:lvl w:ilvl="0">
      <w:lvlJc w:val="left"/>
      <w:lvlText w:val="(%1)"/>
      <w:numFmt w:val="decimal"/>
      <w:start w:val="1"/>
    </w:lvl>
  </w:abstractNum>
  <w:abstractNum w:abstractNumId="5">
    <w:nsid w:val="436C6125"/>
    <w:multiLevelType w:val="hybridMultilevel"/>
    <w:lvl w:ilvl="0">
      <w:lvlJc w:val="left"/>
      <w:lvlText w:val="(%1)"/>
      <w:numFmt w:val="decimal"/>
      <w:start w:val="1"/>
    </w:lvl>
  </w:abstractNum>
  <w:abstractNum w:abstractNumId="6">
    <w:nsid w:val="628C895D"/>
    <w:multiLevelType w:val="hybridMultilevel"/>
    <w:lvl w:ilvl="0">
      <w:lvlJc w:val="left"/>
      <w:lvlText w:val="•"/>
      <w:numFmt w:val="bullet"/>
      <w:start w:val="1"/>
    </w:lvl>
  </w:abstractNum>
  <w:abstractNum w:abstractNumId="7">
    <w:nsid w:val="333AB105"/>
    <w:multiLevelType w:val="hybridMultilevel"/>
    <w:lvl w:ilvl="0">
      <w:lvlJc w:val="left"/>
      <w:lvlText w:val="•"/>
      <w:numFmt w:val="bullet"/>
      <w:start w:val="1"/>
    </w:lvl>
  </w:abstractNum>
  <w:abstractNum w:abstractNumId="8">
    <w:nsid w:val="721DA317"/>
    <w:multiLevelType w:val="hybridMultilevel"/>
    <w:lvl w:ilvl="0">
      <w:lvlJc w:val="left"/>
      <w:lvlText w:val="*"/>
      <w:numFmt w:val="bullet"/>
      <w:start w:val="1"/>
    </w:lvl>
  </w:abstractNum>
  <w:abstractNum w:abstractNumId="9">
    <w:nsid w:val="2443A858"/>
    <w:multiLevelType w:val="hybridMultilevel"/>
    <w:lvl w:ilvl="0">
      <w:lvlJc w:val="left"/>
      <w:lvlText w:val="(%1)"/>
      <w:numFmt w:val="decimal"/>
      <w:start w:val="1"/>
    </w:lvl>
  </w:abstractNum>
  <w:abstractNum w:abstractNumId="10">
    <w:nsid w:val="2D1D5AE9"/>
    <w:multiLevelType w:val="hybridMultilevel"/>
    <w:lvl w:ilvl="0">
      <w:lvlJc w:val="left"/>
      <w:lvlText w:val="•"/>
      <w:numFmt w:val="bullet"/>
      <w:start w:val="1"/>
    </w:lvl>
  </w:abstractNum>
  <w:abstractNum w:abstractNumId="11">
    <w:nsid w:val="6763845E"/>
    <w:multiLevelType w:val="hybridMultilevel"/>
    <w:lvl w:ilvl="0">
      <w:lvlJc w:val="left"/>
      <w:lvlText w:val="•"/>
      <w:numFmt w:val="bullet"/>
      <w:start w:val="1"/>
    </w:lvl>
  </w:abstractNum>
  <w:abstractNum w:abstractNumId="12">
    <w:nsid w:val="75A2A8D4"/>
    <w:multiLevelType w:val="hybridMultilevel"/>
    <w:lvl w:ilvl="0">
      <w:lvlJc w:val="left"/>
      <w:lvlText w:val="•"/>
      <w:numFmt w:val="bullet"/>
      <w:start w:val="1"/>
    </w:lvl>
  </w:abstractNum>
  <w:abstractNum w:abstractNumId="13">
    <w:nsid w:val="8EDBDAB"/>
    <w:multiLevelType w:val="hybridMultilevel"/>
    <w:lvl w:ilvl="0">
      <w:lvlJc w:val="left"/>
      <w:lvlText w:val="•"/>
      <w:numFmt w:val="bullet"/>
      <w:start w:val="1"/>
    </w:lvl>
  </w:abstractNum>
  <w:abstractNum w:abstractNumId="14">
    <w:nsid w:val="79838CB2"/>
    <w:multiLevelType w:val="hybridMultilevel"/>
    <w:lvl w:ilvl="0">
      <w:lvlJc w:val="left"/>
      <w:lvlText w:val="•"/>
      <w:numFmt w:val="bullet"/>
      <w:start w:val="1"/>
    </w:lvl>
  </w:abstractNum>
  <w:abstractNum w:abstractNumId="15">
    <w:nsid w:val="4353D0CD"/>
    <w:multiLevelType w:val="hybridMultilevel"/>
    <w:lvl w:ilvl="0">
      <w:lvlJc w:val="left"/>
      <w:lvlText w:val="•"/>
      <w:numFmt w:val="bullet"/>
      <w:start w:val="1"/>
    </w:lvl>
  </w:abstractNum>
  <w:abstractNum w:abstractNumId="16">
    <w:nsid w:val="B03E0C6"/>
    <w:multiLevelType w:val="hybridMultilevel"/>
    <w:lvl w:ilvl="0">
      <w:lvlJc w:val="left"/>
      <w:lvlText w:val="•"/>
      <w:numFmt w:val="bullet"/>
      <w:start w:val="1"/>
    </w:lvl>
  </w:abstractNum>
  <w:abstractNum w:abstractNumId="17">
    <w:nsid w:val="189A769B"/>
    <w:multiLevelType w:val="hybridMultilevel"/>
    <w:lvl w:ilvl="0">
      <w:lvlJc w:val="left"/>
      <w:lvlText w:val="•"/>
      <w:numFmt w:val="bullet"/>
      <w:start w:val="1"/>
    </w:lvl>
  </w:abstractNum>
  <w:abstractNum w:abstractNumId="18">
    <w:nsid w:val="54E49EB4"/>
    <w:multiLevelType w:val="hybridMultilevel"/>
    <w:lvl w:ilvl="0">
      <w:lvlJc w:val="left"/>
      <w:lvlText w:val="•"/>
      <w:numFmt w:val="bullet"/>
      <w:start w:val="1"/>
    </w:lvl>
  </w:abstractNum>
  <w:abstractNum w:abstractNumId="19">
    <w:nsid w:val="71F32454"/>
    <w:multiLevelType w:val="hybridMultilevel"/>
    <w:lvl w:ilvl="0">
      <w:lvlJc w:val="left"/>
      <w:lvlText w:val="•"/>
      <w:numFmt w:val="bullet"/>
      <w:start w:val="1"/>
    </w:lvl>
  </w:abstractNum>
  <w:abstractNum w:abstractNumId="20">
    <w:nsid w:val="2CA88611"/>
    <w:multiLevelType w:val="hybridMultilevel"/>
    <w:lvl w:ilvl="0">
      <w:lvlJc w:val="left"/>
      <w:lvlText w:val="•"/>
      <w:numFmt w:val="bullet"/>
      <w:start w:val="1"/>
    </w:lvl>
  </w:abstractNum>
  <w:abstractNum w:abstractNumId="21">
    <w:nsid w:val="836C40E"/>
    <w:multiLevelType w:val="hybridMultilevel"/>
    <w:lvl w:ilvl="0">
      <w:lvlJc w:val="left"/>
      <w:lvlText w:val="•"/>
      <w:numFmt w:val="bullet"/>
      <w:start w:val="1"/>
    </w:lvl>
  </w:abstractNum>
  <w:abstractNum w:abstractNumId="22">
    <w:nsid w:val="2901D82"/>
    <w:multiLevelType w:val="hybridMultilevel"/>
    <w:lvl w:ilvl="0">
      <w:lvlJc w:val="left"/>
      <w:lvlText w:val="#"/>
      <w:numFmt w:val="bullet"/>
      <w:start w:val="1"/>
    </w:lvl>
  </w:abstractNum>
  <w:abstractNum w:abstractNumId="23">
    <w:nsid w:val="3A95F874"/>
    <w:multiLevelType w:val="hybridMultilevel"/>
    <w:lvl w:ilvl="0">
      <w:lvlJc w:val="left"/>
      <w:lvlText w:val="*"/>
      <w:numFmt w:val="bullet"/>
      <w:start w:val="1"/>
    </w:lvl>
  </w:abstractNum>
  <w:abstractNum w:abstractNumId="24">
    <w:nsid w:val="8138641"/>
    <w:multiLevelType w:val="hybridMultilevel"/>
    <w:lvl w:ilvl="0">
      <w:lvlJc w:val="left"/>
      <w:lvlText w:val="•"/>
      <w:numFmt w:val="bullet"/>
      <w:start w:val="1"/>
    </w:lvl>
  </w:abstractNum>
  <w:abstractNum w:abstractNumId="25">
    <w:nsid w:val="1E7FF521"/>
    <w:multiLevelType w:val="hybridMultilevel"/>
    <w:lvl w:ilvl="0">
      <w:lvlJc w:val="left"/>
      <w:lvlText w:val="•"/>
      <w:numFmt w:val="bullet"/>
      <w:start w:val="1"/>
    </w:lvl>
  </w:abstractNum>
  <w:abstractNum w:abstractNumId="26">
    <w:nsid w:val="7C3DBD3D"/>
    <w:multiLevelType w:val="hybridMultilevel"/>
    <w:lvl w:ilvl="0">
      <w:lvlJc w:val="left"/>
      <w:lvlText w:val="(%1)"/>
      <w:numFmt w:val="decimal"/>
      <w:start w:val="1"/>
    </w:lvl>
  </w:abstractNum>
  <w:abstractNum w:abstractNumId="27">
    <w:nsid w:val="737B8DDC"/>
    <w:multiLevelType w:val="hybridMultilevel"/>
    <w:lvl w:ilvl="0">
      <w:lvlJc w:val="left"/>
      <w:lvlText w:val="•"/>
      <w:numFmt w:val="bullet"/>
      <w:start w:val="1"/>
    </w:lvl>
  </w:abstractNum>
  <w:abstractNum w:abstractNumId="28">
    <w:nsid w:val="6CEAF087"/>
    <w:multiLevelType w:val="hybridMultilevel"/>
    <w:lvl w:ilvl="0">
      <w:lvlJc w:val="left"/>
      <w:lvlText w:val="•"/>
      <w:numFmt w:val="bullet"/>
      <w:start w:val="1"/>
    </w:lvl>
  </w:abstractNum>
  <w:abstractNum w:abstractNumId="29">
    <w:nsid w:val="22221A70"/>
    <w:multiLevelType w:val="hybridMultilevel"/>
    <w:lvl w:ilvl="0">
      <w:lvlJc w:val="left"/>
      <w:lvlText w:val="%1."/>
      <w:numFmt w:val="decimal"/>
      <w:start w:val="1"/>
    </w:lvl>
    <w:lvl w:ilvl="1">
      <w:lvlJc w:val="left"/>
      <w:lvlText w:val="%2."/>
      <w:numFmt w:val="lowerLetter"/>
      <w:start w:val="1"/>
    </w:lvl>
  </w:abstractNum>
  <w:abstractNum w:abstractNumId="30">
    <w:nsid w:val="4516DDE9"/>
    <w:multiLevelType w:val="hybridMultilevel"/>
    <w:lvl w:ilvl="0">
      <w:lvlJc w:val="left"/>
      <w:lvlText w:val="%1."/>
      <w:numFmt w:val="decimal"/>
      <w:start w:val="2"/>
    </w:lvl>
  </w:abstractNum>
  <w:abstractNum w:abstractNumId="31">
    <w:nsid w:val="3006C83E"/>
    <w:multiLevelType w:val="hybridMultilevel"/>
    <w:lvl w:ilvl="0">
      <w:lvlJc w:val="left"/>
      <w:lvlText w:val="%1."/>
      <w:numFmt w:val="decimal"/>
      <w:start w:val="1"/>
    </w:lvl>
    <w:lvl w:ilvl="1">
      <w:lvlJc w:val="left"/>
      <w:lvlText w:val="%2)"/>
      <w:numFmt w:val="lowerLetter"/>
      <w:start w:val="1"/>
    </w:lvl>
  </w:abstractNum>
  <w:abstractNum w:abstractNumId="32">
    <w:nsid w:val="614FD4A1"/>
    <w:multiLevelType w:val="hybridMultilevel"/>
    <w:lvl w:ilvl="0">
      <w:lvlJc w:val="left"/>
      <w:lvlText w:val="%1."/>
      <w:numFmt w:val="decimal"/>
      <w:start w:val="1"/>
    </w:lvl>
    <w:lvl w:ilvl="1">
      <w:lvlJc w:val="left"/>
      <w:lvlText w:val="%2)"/>
      <w:numFmt w:val="lowerLetter"/>
      <w:start w:val="1"/>
    </w:lvl>
  </w:abstractNum>
  <w:abstractNum w:abstractNumId="33">
    <w:nsid w:val="419AC241"/>
    <w:multiLevelType w:val="hybridMultilevel"/>
    <w:lvl w:ilvl="0">
      <w:lvlJc w:val="left"/>
      <w:lvlText w:val="(%1)"/>
      <w:numFmt w:val="lowerRoman"/>
      <w:start w:val="1"/>
    </w:lvl>
  </w:abstractNum>
  <w:abstractNum w:abstractNumId="34">
    <w:nsid w:val="5577F8E1"/>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28" Type="http://schemas.openxmlformats.org/officeDocument/2006/relationships/image" Target="media/image10.png"/><Relationship Id="rId29" Type="http://schemas.openxmlformats.org/officeDocument/2006/relationships/image" Target="media/image11.png"/><Relationship Id="rId30" Type="http://schemas.openxmlformats.org/officeDocument/2006/relationships/image" Target="media/image12.png"/><Relationship Id="rId31" Type="http://schemas.openxmlformats.org/officeDocument/2006/relationships/image" Target="media/image13.png"/><Relationship Id="rId32" Type="http://schemas.openxmlformats.org/officeDocument/2006/relationships/image" Target="media/image14.png"/><Relationship Id="rId33" Type="http://schemas.openxmlformats.org/officeDocument/2006/relationships/image" Target="media/image15.png"/><Relationship Id="rId34" Type="http://schemas.openxmlformats.org/officeDocument/2006/relationships/image" Target="media/image16.png"/><Relationship Id="rId17" Type="http://schemas.openxmlformats.org/officeDocument/2006/relationships/hyperlink" Target="http://www.sec.gov/Archives/edgar/data/1058057/000119312517348220/d454219dex21.htm" TargetMode="External"/><Relationship Id="rId18" Type="http://schemas.openxmlformats.org/officeDocument/2006/relationships/hyperlink" Target="http://www.sec.gov/Archives/edgar/data/1058057/000105805718000009/mrvl203201810kexhibit31.htm" TargetMode="External"/><Relationship Id="rId19" Type="http://schemas.openxmlformats.org/officeDocument/2006/relationships/hyperlink" Target="http://www.sec.gov/Archives/edgar/data/1058057/000105805718000015/q11910q05052018exhibit32.htm" TargetMode="External"/><Relationship Id="rId20" Type="http://schemas.openxmlformats.org/officeDocument/2006/relationships/hyperlink" Target="http://www.sec.gov/Archives/edgar/data/1058057/000119312516765958/d278571dex31.htm" TargetMode="External"/><Relationship Id="rId21" Type="http://schemas.openxmlformats.org/officeDocument/2006/relationships/hyperlink" Target="http://www.sec.gov/Archives/edgar/data/1058057/000105805718000015/q11910q05052018exhibit34.htm" TargetMode="External"/><Relationship Id="rId22" Type="http://schemas.openxmlformats.org/officeDocument/2006/relationships/hyperlink" Target="http://www.sec.gov/Archives/edgar/data/1058057/000105805718000015/q11910q05052018exhibit35.htm" TargetMode="External"/><Relationship Id="rId23" Type="http://schemas.openxmlformats.org/officeDocument/2006/relationships/hyperlink" Target="http://www.sec.gov/Archives/edgar/data/1058057/000105805718000009/mrvl20320810kexhibit41.htm" TargetMode="External"/><Relationship Id="rId24" Type="http://schemas.openxmlformats.org/officeDocument/2006/relationships/hyperlink" Target="http://www.sec.gov/Archives/edgar/data/1058057/000119312518201053/d583855dex41.htm" TargetMode="External"/><Relationship Id="rId25" Type="http://schemas.openxmlformats.org/officeDocument/2006/relationships/hyperlink" Target="http://www.sec.gov/Archives/edgar/data/1058057/000119312518201053/d583855dex42.htm" TargetMode="External"/><Relationship Id="rId26" Type="http://schemas.openxmlformats.org/officeDocument/2006/relationships/hyperlink" Target="http://www.sec.gov/Archives/edgar/data/1058057/000119312518191035/d604139dex101.htm" TargetMode="External"/><Relationship Id="rId27" Type="http://schemas.openxmlformats.org/officeDocument/2006/relationships/hyperlink" Target="http://www.sec.gov/Archives/edgar/data/1058057/000119312518209685/d845997dex10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2019-12-28T19:37:54Z</dcterms:created>
  <dcterms:modified xsi:type="dcterms:W3CDTF">2019-12-28T19:37:54Z</dcterms:modified>
</cp:coreProperties>
</file>