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7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201930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169545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98"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Pursuant to Section 13 or 15(d) of</w:t>
      </w:r>
    </w:p>
    <w:p>
      <w:pPr>
        <w:jc w:val="center"/>
        <w:ind w:right="-17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82"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Date of Report (Date of earliest event reported): September 14,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217170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08" w:lineRule="exact"/>
        <w:rPr>
          <w:sz w:val="24"/>
          <w:szCs w:val="24"/>
          <w:color w:val="auto"/>
        </w:rPr>
      </w:pPr>
    </w:p>
    <w:p>
      <w:pPr>
        <w:jc w:val="center"/>
        <w:ind w:right="-17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85" w:lineRule="exact"/>
        <w:rPr>
          <w:sz w:val="24"/>
          <w:szCs w:val="24"/>
          <w:color w:val="auto"/>
        </w:rPr>
      </w:pPr>
    </w:p>
    <w:tbl>
      <w:tblPr>
        <w:tblLayout w:type="fixed"/>
        <w:tblInd w:w="1060" w:type="dxa"/>
        <w:tblCellMar>
          <w:top w:w="0" w:type="dxa"/>
          <w:left w:w="0" w:type="dxa"/>
          <w:bottom w:w="0" w:type="dxa"/>
          <w:right w:w="0" w:type="dxa"/>
        </w:tblCellMar>
      </w:tblPr>
      <w:tr>
        <w:trPr>
          <w:trHeight w:val="212"/>
        </w:trPr>
        <w:tc>
          <w:tcPr>
            <w:tcW w:w="2080" w:type="dxa"/>
            <w:vAlign w:val="bottom"/>
          </w:tcPr>
          <w:p>
            <w:pPr>
              <w:jc w:val="center"/>
              <w:ind w:right="362"/>
              <w:spacing w:after="0"/>
              <w:rPr>
                <w:sz w:val="20"/>
                <w:szCs w:val="20"/>
                <w:color w:val="auto"/>
              </w:rPr>
            </w:pPr>
            <w:r>
              <w:rPr>
                <w:rFonts w:ascii="Arial" w:cs="Arial" w:eastAsia="Arial" w:hAnsi="Arial"/>
                <w:sz w:val="18"/>
                <w:szCs w:val="18"/>
                <w:b w:val="1"/>
                <w:bCs w:val="1"/>
                <w:color w:val="auto"/>
                <w:w w:val="92"/>
              </w:rPr>
              <w:t>Bermuda</w:t>
            </w:r>
          </w:p>
        </w:tc>
        <w:tc>
          <w:tcPr>
            <w:tcW w:w="3540" w:type="dxa"/>
            <w:vAlign w:val="bottom"/>
            <w:gridSpan w:val="2"/>
          </w:tcPr>
          <w:p>
            <w:pPr>
              <w:ind w:left="2100"/>
              <w:spacing w:after="0"/>
              <w:rPr>
                <w:sz w:val="20"/>
                <w:szCs w:val="20"/>
                <w:color w:val="auto"/>
              </w:rPr>
            </w:pPr>
            <w:r>
              <w:rPr>
                <w:rFonts w:ascii="Arial" w:cs="Arial" w:eastAsia="Arial" w:hAnsi="Arial"/>
                <w:sz w:val="18"/>
                <w:szCs w:val="18"/>
                <w:b w:val="1"/>
                <w:bCs w:val="1"/>
                <w:color w:val="auto"/>
              </w:rPr>
              <w:t>000-30877</w:t>
            </w:r>
          </w:p>
        </w:tc>
        <w:tc>
          <w:tcPr>
            <w:tcW w:w="1380" w:type="dxa"/>
            <w:vAlign w:val="bottom"/>
          </w:tcPr>
          <w:p>
            <w:pPr>
              <w:spacing w:after="0"/>
              <w:rPr>
                <w:sz w:val="18"/>
                <w:szCs w:val="18"/>
                <w:color w:val="auto"/>
              </w:rPr>
            </w:pPr>
          </w:p>
        </w:tc>
        <w:tc>
          <w:tcPr>
            <w:tcW w:w="1760" w:type="dxa"/>
            <w:vAlign w:val="bottom"/>
          </w:tcPr>
          <w:p>
            <w:pPr>
              <w:jc w:val="center"/>
              <w:ind w:left="56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2080" w:type="dxa"/>
            <w:vAlign w:val="bottom"/>
          </w:tcPr>
          <w:p>
            <w:pPr>
              <w:jc w:val="center"/>
              <w:ind w:right="36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1220" w:type="dxa"/>
            <w:vAlign w:val="bottom"/>
          </w:tcPr>
          <w:p>
            <w:pPr>
              <w:spacing w:after="0"/>
              <w:rPr>
                <w:sz w:val="12"/>
                <w:szCs w:val="12"/>
                <w:color w:val="auto"/>
              </w:rPr>
            </w:pPr>
          </w:p>
        </w:tc>
        <w:tc>
          <w:tcPr>
            <w:tcW w:w="3700" w:type="dxa"/>
            <w:vAlign w:val="bottom"/>
            <w:gridSpan w:val="2"/>
          </w:tcPr>
          <w:p>
            <w:pPr>
              <w:ind w:left="860"/>
              <w:spacing w:after="0" w:line="149" w:lineRule="exact"/>
              <w:rPr>
                <w:sz w:val="20"/>
                <w:szCs w:val="20"/>
                <w:color w:val="auto"/>
              </w:rPr>
            </w:pPr>
            <w:r>
              <w:rPr>
                <w:rFonts w:ascii="Arial" w:cs="Arial" w:eastAsia="Arial" w:hAnsi="Arial"/>
                <w:sz w:val="14"/>
                <w:szCs w:val="14"/>
                <w:b w:val="1"/>
                <w:bCs w:val="1"/>
                <w:color w:val="auto"/>
              </w:rPr>
              <w:t>(Commission</w:t>
            </w:r>
          </w:p>
        </w:tc>
        <w:tc>
          <w:tcPr>
            <w:tcW w:w="1760" w:type="dxa"/>
            <w:vAlign w:val="bottom"/>
          </w:tcPr>
          <w:p>
            <w:pPr>
              <w:jc w:val="center"/>
              <w:ind w:left="56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2080" w:type="dxa"/>
            <w:vAlign w:val="bottom"/>
          </w:tcPr>
          <w:p>
            <w:pPr>
              <w:jc w:val="center"/>
              <w:ind w:right="382"/>
              <w:spacing w:after="0"/>
              <w:rPr>
                <w:sz w:val="20"/>
                <w:szCs w:val="20"/>
                <w:color w:val="auto"/>
              </w:rPr>
            </w:pPr>
            <w:r>
              <w:rPr>
                <w:rFonts w:ascii="Arial" w:cs="Arial" w:eastAsia="Arial" w:hAnsi="Arial"/>
                <w:sz w:val="14"/>
                <w:szCs w:val="14"/>
                <w:b w:val="1"/>
                <w:bCs w:val="1"/>
                <w:color w:val="auto"/>
                <w:w w:val="94"/>
              </w:rPr>
              <w:t>of incorporation)</w:t>
            </w:r>
          </w:p>
        </w:tc>
        <w:tc>
          <w:tcPr>
            <w:tcW w:w="1220" w:type="dxa"/>
            <w:vAlign w:val="bottom"/>
          </w:tcPr>
          <w:p>
            <w:pPr>
              <w:spacing w:after="0"/>
              <w:rPr>
                <w:sz w:val="16"/>
                <w:szCs w:val="16"/>
                <w:color w:val="auto"/>
              </w:rPr>
            </w:pPr>
          </w:p>
        </w:tc>
        <w:tc>
          <w:tcPr>
            <w:tcW w:w="3700" w:type="dxa"/>
            <w:vAlign w:val="bottom"/>
            <w:gridSpan w:val="2"/>
          </w:tcPr>
          <w:p>
            <w:pPr>
              <w:ind w:left="860"/>
              <w:spacing w:after="0"/>
              <w:rPr>
                <w:sz w:val="20"/>
                <w:szCs w:val="20"/>
                <w:color w:val="auto"/>
              </w:rPr>
            </w:pPr>
            <w:r>
              <w:rPr>
                <w:rFonts w:ascii="Arial" w:cs="Arial" w:eastAsia="Arial" w:hAnsi="Arial"/>
                <w:sz w:val="14"/>
                <w:szCs w:val="14"/>
                <w:b w:val="1"/>
                <w:bCs w:val="1"/>
                <w:color w:val="auto"/>
              </w:rPr>
              <w:t>File Number)</w:t>
            </w:r>
          </w:p>
        </w:tc>
        <w:tc>
          <w:tcPr>
            <w:tcW w:w="1760" w:type="dxa"/>
            <w:vAlign w:val="bottom"/>
          </w:tcPr>
          <w:p>
            <w:pPr>
              <w:jc w:val="center"/>
              <w:ind w:left="562"/>
              <w:spacing w:after="0"/>
              <w:rPr>
                <w:sz w:val="20"/>
                <w:szCs w:val="20"/>
                <w:color w:val="auto"/>
              </w:rPr>
            </w:pPr>
            <w:r>
              <w:rPr>
                <w:rFonts w:ascii="Arial" w:cs="Arial" w:eastAsia="Arial" w:hAnsi="Arial"/>
                <w:sz w:val="14"/>
                <w:szCs w:val="14"/>
                <w:b w:val="1"/>
                <w:bCs w:val="1"/>
                <w:color w:val="auto"/>
                <w:w w:val="94"/>
              </w:rPr>
              <w:t>Identification No.)</w:t>
            </w:r>
          </w:p>
        </w:tc>
      </w:tr>
      <w:tr>
        <w:trPr>
          <w:trHeight w:val="412"/>
        </w:trPr>
        <w:tc>
          <w:tcPr>
            <w:tcW w:w="20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3700" w:type="dxa"/>
            <w:vAlign w:val="bottom"/>
            <w:gridSpan w:val="2"/>
          </w:tcPr>
          <w:p>
            <w:pPr>
              <w:jc w:val="center"/>
              <w:ind w:right="1400"/>
              <w:spacing w:after="0"/>
              <w:rPr>
                <w:sz w:val="20"/>
                <w:szCs w:val="20"/>
                <w:color w:val="auto"/>
              </w:rPr>
            </w:pPr>
            <w:r>
              <w:rPr>
                <w:rFonts w:ascii="Arial" w:cs="Arial" w:eastAsia="Arial" w:hAnsi="Arial"/>
                <w:sz w:val="18"/>
                <w:szCs w:val="18"/>
                <w:b w:val="1"/>
                <w:bCs w:val="1"/>
                <w:color w:val="auto"/>
                <w:w w:val="91"/>
              </w:rPr>
              <w:t>Canon’s Court</w:t>
            </w:r>
          </w:p>
        </w:tc>
        <w:tc>
          <w:tcPr>
            <w:tcW w:w="1760" w:type="dxa"/>
            <w:vAlign w:val="bottom"/>
          </w:tcPr>
          <w:p>
            <w:pPr>
              <w:spacing w:after="0"/>
              <w:rPr>
                <w:sz w:val="24"/>
                <w:szCs w:val="24"/>
                <w:color w:val="auto"/>
              </w:rPr>
            </w:pPr>
          </w:p>
        </w:tc>
      </w:tr>
      <w:tr>
        <w:trPr>
          <w:trHeight w:val="216"/>
        </w:trPr>
        <w:tc>
          <w:tcPr>
            <w:tcW w:w="20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3700" w:type="dxa"/>
            <w:vAlign w:val="bottom"/>
            <w:gridSpan w:val="2"/>
          </w:tcPr>
          <w:p>
            <w:pPr>
              <w:jc w:val="center"/>
              <w:ind w:right="1400"/>
              <w:spacing w:after="0"/>
              <w:rPr>
                <w:sz w:val="20"/>
                <w:szCs w:val="20"/>
                <w:color w:val="auto"/>
              </w:rPr>
            </w:pPr>
            <w:r>
              <w:rPr>
                <w:rFonts w:ascii="Arial" w:cs="Arial" w:eastAsia="Arial" w:hAnsi="Arial"/>
                <w:sz w:val="18"/>
                <w:szCs w:val="18"/>
                <w:b w:val="1"/>
                <w:bCs w:val="1"/>
                <w:color w:val="auto"/>
                <w:w w:val="91"/>
              </w:rPr>
              <w:t>22 Victoria Street</w:t>
            </w:r>
          </w:p>
        </w:tc>
        <w:tc>
          <w:tcPr>
            <w:tcW w:w="1760" w:type="dxa"/>
            <w:vAlign w:val="bottom"/>
          </w:tcPr>
          <w:p>
            <w:pPr>
              <w:spacing w:after="0"/>
              <w:rPr>
                <w:sz w:val="18"/>
                <w:szCs w:val="18"/>
                <w:color w:val="auto"/>
              </w:rPr>
            </w:pPr>
          </w:p>
        </w:tc>
      </w:tr>
      <w:tr>
        <w:trPr>
          <w:trHeight w:val="216"/>
        </w:trPr>
        <w:tc>
          <w:tcPr>
            <w:tcW w:w="20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3700" w:type="dxa"/>
            <w:vAlign w:val="bottom"/>
            <w:gridSpan w:val="2"/>
          </w:tcPr>
          <w:p>
            <w:pPr>
              <w:jc w:val="center"/>
              <w:ind w:right="1400"/>
              <w:spacing w:after="0"/>
              <w:rPr>
                <w:sz w:val="20"/>
                <w:szCs w:val="20"/>
                <w:color w:val="auto"/>
              </w:rPr>
            </w:pPr>
            <w:r>
              <w:rPr>
                <w:rFonts w:ascii="Arial" w:cs="Arial" w:eastAsia="Arial" w:hAnsi="Arial"/>
                <w:sz w:val="18"/>
                <w:szCs w:val="18"/>
                <w:b w:val="1"/>
                <w:bCs w:val="1"/>
                <w:color w:val="auto"/>
                <w:w w:val="96"/>
              </w:rPr>
              <w:t>Hamilton HM 12</w:t>
            </w:r>
          </w:p>
        </w:tc>
        <w:tc>
          <w:tcPr>
            <w:tcW w:w="1760" w:type="dxa"/>
            <w:vAlign w:val="bottom"/>
          </w:tcPr>
          <w:p>
            <w:pPr>
              <w:spacing w:after="0"/>
              <w:rPr>
                <w:sz w:val="18"/>
                <w:szCs w:val="18"/>
                <w:color w:val="auto"/>
              </w:rPr>
            </w:pPr>
          </w:p>
        </w:tc>
      </w:tr>
      <w:tr>
        <w:trPr>
          <w:trHeight w:val="212"/>
        </w:trPr>
        <w:tc>
          <w:tcPr>
            <w:tcW w:w="20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3700" w:type="dxa"/>
            <w:vAlign w:val="bottom"/>
            <w:gridSpan w:val="2"/>
          </w:tcPr>
          <w:p>
            <w:pPr>
              <w:jc w:val="center"/>
              <w:ind w:right="1380"/>
              <w:spacing w:after="0"/>
              <w:rPr>
                <w:sz w:val="20"/>
                <w:szCs w:val="20"/>
                <w:color w:val="auto"/>
              </w:rPr>
            </w:pPr>
            <w:r>
              <w:rPr>
                <w:rFonts w:ascii="Arial" w:cs="Arial" w:eastAsia="Arial" w:hAnsi="Arial"/>
                <w:sz w:val="18"/>
                <w:szCs w:val="18"/>
                <w:b w:val="1"/>
                <w:bCs w:val="1"/>
                <w:color w:val="auto"/>
                <w:w w:val="92"/>
              </w:rPr>
              <w:t>Bermuda</w:t>
            </w:r>
          </w:p>
        </w:tc>
        <w:tc>
          <w:tcPr>
            <w:tcW w:w="1760" w:type="dxa"/>
            <w:vAlign w:val="bottom"/>
          </w:tcPr>
          <w:p>
            <w:pPr>
              <w:spacing w:after="0"/>
              <w:rPr>
                <w:sz w:val="18"/>
                <w:szCs w:val="18"/>
                <w:color w:val="auto"/>
              </w:rPr>
            </w:pPr>
          </w:p>
        </w:tc>
      </w:tr>
      <w:tr>
        <w:trPr>
          <w:trHeight w:val="186"/>
        </w:trPr>
        <w:tc>
          <w:tcPr>
            <w:tcW w:w="2080" w:type="dxa"/>
            <w:vAlign w:val="bottom"/>
          </w:tcPr>
          <w:p>
            <w:pPr>
              <w:spacing w:after="0"/>
              <w:rPr>
                <w:sz w:val="16"/>
                <w:szCs w:val="16"/>
                <w:color w:val="auto"/>
              </w:rPr>
            </w:pPr>
          </w:p>
        </w:tc>
        <w:tc>
          <w:tcPr>
            <w:tcW w:w="492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760" w:type="dxa"/>
            <w:vAlign w:val="bottom"/>
          </w:tcPr>
          <w:p>
            <w:pPr>
              <w:spacing w:after="0"/>
              <w:rPr>
                <w:sz w:val="16"/>
                <w:szCs w:val="16"/>
                <w:color w:val="auto"/>
              </w:rPr>
            </w:pPr>
          </w:p>
        </w:tc>
      </w:tr>
      <w:tr>
        <w:trPr>
          <w:trHeight w:val="394"/>
        </w:trPr>
        <w:tc>
          <w:tcPr>
            <w:tcW w:w="2080" w:type="dxa"/>
            <w:vAlign w:val="bottom"/>
          </w:tcPr>
          <w:p>
            <w:pPr>
              <w:spacing w:after="0"/>
              <w:rPr>
                <w:sz w:val="24"/>
                <w:szCs w:val="24"/>
                <w:color w:val="auto"/>
              </w:rPr>
            </w:pPr>
          </w:p>
        </w:tc>
        <w:tc>
          <w:tcPr>
            <w:tcW w:w="3540" w:type="dxa"/>
            <w:vAlign w:val="bottom"/>
            <w:gridSpan w:val="2"/>
          </w:tcPr>
          <w:p>
            <w:pPr>
              <w:jc w:val="center"/>
              <w:ind w:left="1141"/>
              <w:spacing w:after="0"/>
              <w:rPr>
                <w:sz w:val="20"/>
                <w:szCs w:val="20"/>
                <w:color w:val="auto"/>
              </w:rPr>
            </w:pPr>
            <w:r>
              <w:rPr>
                <w:rFonts w:ascii="Arial" w:cs="Arial" w:eastAsia="Arial" w:hAnsi="Arial"/>
                <w:sz w:val="18"/>
                <w:szCs w:val="18"/>
                <w:b w:val="1"/>
                <w:bCs w:val="1"/>
                <w:color w:val="auto"/>
                <w:w w:val="90"/>
              </w:rPr>
              <w:t>(441) 296-6395</w:t>
            </w:r>
          </w:p>
        </w:tc>
        <w:tc>
          <w:tcPr>
            <w:tcW w:w="1380" w:type="dxa"/>
            <w:vAlign w:val="bottom"/>
          </w:tcPr>
          <w:p>
            <w:pPr>
              <w:spacing w:after="0"/>
              <w:rPr>
                <w:sz w:val="24"/>
                <w:szCs w:val="24"/>
                <w:color w:val="auto"/>
              </w:rPr>
            </w:pPr>
          </w:p>
        </w:tc>
        <w:tc>
          <w:tcPr>
            <w:tcW w:w="1760" w:type="dxa"/>
            <w:vAlign w:val="bottom"/>
          </w:tcPr>
          <w:p>
            <w:pPr>
              <w:spacing w:after="0"/>
              <w:rPr>
                <w:sz w:val="24"/>
                <w:szCs w:val="24"/>
                <w:color w:val="auto"/>
              </w:rPr>
            </w:pPr>
          </w:p>
        </w:tc>
      </w:tr>
      <w:tr>
        <w:trPr>
          <w:trHeight w:val="186"/>
        </w:trPr>
        <w:tc>
          <w:tcPr>
            <w:tcW w:w="2080" w:type="dxa"/>
            <w:vAlign w:val="bottom"/>
          </w:tcPr>
          <w:p>
            <w:pPr>
              <w:spacing w:after="0"/>
              <w:rPr>
                <w:sz w:val="16"/>
                <w:szCs w:val="16"/>
                <w:color w:val="auto"/>
              </w:rPr>
            </w:pPr>
          </w:p>
        </w:tc>
        <w:tc>
          <w:tcPr>
            <w:tcW w:w="492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760" w:type="dxa"/>
            <w:vAlign w:val="bottom"/>
          </w:tcPr>
          <w:p>
            <w:pPr>
              <w:spacing w:after="0"/>
              <w:rPr>
                <w:sz w:val="16"/>
                <w:szCs w:val="16"/>
                <w:color w:val="auto"/>
              </w:rPr>
            </w:pPr>
          </w:p>
        </w:tc>
      </w:tr>
      <w:tr>
        <w:trPr>
          <w:trHeight w:val="394"/>
        </w:trPr>
        <w:tc>
          <w:tcPr>
            <w:tcW w:w="20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3700" w:type="dxa"/>
            <w:vAlign w:val="bottom"/>
            <w:gridSpan w:val="2"/>
          </w:tcPr>
          <w:p>
            <w:pPr>
              <w:jc w:val="center"/>
              <w:ind w:right="1400"/>
              <w:spacing w:after="0"/>
              <w:rPr>
                <w:sz w:val="20"/>
                <w:szCs w:val="20"/>
                <w:color w:val="auto"/>
              </w:rPr>
            </w:pPr>
            <w:r>
              <w:rPr>
                <w:rFonts w:ascii="Arial" w:cs="Arial" w:eastAsia="Arial" w:hAnsi="Arial"/>
                <w:sz w:val="18"/>
                <w:szCs w:val="18"/>
                <w:b w:val="1"/>
                <w:bCs w:val="1"/>
                <w:color w:val="auto"/>
                <w:w w:val="96"/>
              </w:rPr>
              <w:t>N/A</w:t>
            </w:r>
          </w:p>
        </w:tc>
        <w:tc>
          <w:tcPr>
            <w:tcW w:w="1760" w:type="dxa"/>
            <w:vAlign w:val="bottom"/>
          </w:tcPr>
          <w:p>
            <w:pPr>
              <w:spacing w:after="0"/>
              <w:rPr>
                <w:sz w:val="24"/>
                <w:szCs w:val="24"/>
                <w:color w:val="auto"/>
              </w:rPr>
            </w:pPr>
          </w:p>
        </w:tc>
      </w:tr>
      <w:tr>
        <w:trPr>
          <w:trHeight w:val="186"/>
        </w:trPr>
        <w:tc>
          <w:tcPr>
            <w:tcW w:w="2080" w:type="dxa"/>
            <w:vAlign w:val="bottom"/>
          </w:tcPr>
          <w:p>
            <w:pPr>
              <w:spacing w:after="0"/>
              <w:rPr>
                <w:sz w:val="16"/>
                <w:szCs w:val="16"/>
                <w:color w:val="auto"/>
              </w:rPr>
            </w:pPr>
          </w:p>
        </w:tc>
        <w:tc>
          <w:tcPr>
            <w:tcW w:w="49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2"/>
              </w:rPr>
              <w:t>(Former name or former address, if changed since last report.)</w:t>
            </w:r>
          </w:p>
        </w:tc>
        <w:tc>
          <w:tcPr>
            <w:tcW w:w="1760" w:type="dxa"/>
            <w:vAlign w:val="bottom"/>
          </w:tcPr>
          <w:p>
            <w:pPr>
              <w:spacing w:after="0"/>
              <w:rPr>
                <w:sz w:val="16"/>
                <w:szCs w:val="16"/>
                <w:color w:val="auto"/>
              </w:rPr>
            </w:pPr>
          </w:p>
        </w:tc>
      </w:tr>
      <w:tr>
        <w:trPr>
          <w:trHeight w:val="309"/>
        </w:trPr>
        <w:tc>
          <w:tcPr>
            <w:tcW w:w="20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320" w:type="dxa"/>
            <w:vAlign w:val="bottom"/>
            <w:tcBorders>
              <w:bottom w:val="single" w:sz="8" w:color="auto"/>
            </w:tcBorders>
          </w:tcPr>
          <w:p>
            <w:pPr>
              <w:spacing w:after="0"/>
              <w:rPr>
                <w:sz w:val="24"/>
                <w:szCs w:val="24"/>
                <w:color w:val="auto"/>
              </w:rPr>
            </w:pPr>
          </w:p>
        </w:tc>
        <w:tc>
          <w:tcPr>
            <w:tcW w:w="1380" w:type="dxa"/>
            <w:vAlign w:val="bottom"/>
          </w:tcPr>
          <w:p>
            <w:pPr>
              <w:spacing w:after="0"/>
              <w:rPr>
                <w:sz w:val="24"/>
                <w:szCs w:val="24"/>
                <w:color w:val="auto"/>
              </w:rPr>
            </w:pPr>
          </w:p>
        </w:tc>
        <w:tc>
          <w:tcPr>
            <w:tcW w:w="1760" w:type="dxa"/>
            <w:vAlign w:val="bottom"/>
          </w:tcPr>
          <w:p>
            <w:pPr>
              <w:spacing w:after="0"/>
              <w:rPr>
                <w:sz w:val="24"/>
                <w:szCs w:val="24"/>
                <w:color w:val="auto"/>
              </w:rPr>
            </w:pPr>
          </w:p>
        </w:tc>
      </w:tr>
    </w:tbl>
    <w:p>
      <w:pPr>
        <w:spacing w:after="0" w:line="350" w:lineRule="exact"/>
        <w:rPr>
          <w:sz w:val="24"/>
          <w:szCs w:val="24"/>
          <w:color w:val="auto"/>
        </w:rPr>
      </w:pPr>
    </w:p>
    <w:p>
      <w:pPr>
        <w:ind w:right="2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1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30" w:lineRule="exact"/>
        <w:rPr>
          <w:sz w:val="24"/>
          <w:szCs w:val="24"/>
          <w:color w:val="auto"/>
        </w:rPr>
      </w:pPr>
    </w:p>
    <w:p>
      <w:pPr>
        <w:ind w:left="862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right="1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116205</wp:posOffset>
            </wp:positionV>
            <wp:extent cx="6997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159385</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840"/>
          </w:cols>
          <w:pgMar w:left="440" w:top="449" w:right="619" w:bottom="1440" w:gutter="0" w:footer="0" w:header="0"/>
        </w:sectPr>
      </w:pPr>
    </w:p>
    <w:bookmarkStart w:id="1" w:name="page2"/>
    <w:bookmarkEnd w:id="1"/>
    <w:p>
      <w:pPr>
        <w:spacing w:after="0"/>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40"/>
        <w:spacing w:after="0" w:line="257" w:lineRule="auto"/>
        <w:rPr>
          <w:sz w:val="20"/>
          <w:szCs w:val="20"/>
          <w:color w:val="auto"/>
        </w:rPr>
      </w:pPr>
      <w:r>
        <w:rPr>
          <w:rFonts w:ascii="Arial" w:cs="Arial" w:eastAsia="Arial" w:hAnsi="Arial"/>
          <w:sz w:val="18"/>
          <w:szCs w:val="18"/>
          <w:color w:val="auto"/>
        </w:rPr>
        <w:t>On September 14, 2018, Marvell Technology Group Ltd. (the “Company”) announced that its Board of Directors had declared the payment of its quarterly dividend of $0.06 per share to be paid on October 23, 2018.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33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860" w:hanging="424"/>
        <w:spacing w:after="0"/>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September 14, 2018, titled “Marvell Technology Group Ltd. Declares Quarterly Dividend Payment</w:t>
        </w:r>
      </w:hyperlink>
    </w:p>
    <w:p>
      <w:pPr>
        <w:spacing w:after="0" w:line="15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right="340"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September 14, 2018</w:t>
      </w:r>
    </w:p>
    <w:p>
      <w:pPr>
        <w:spacing w:after="0" w:line="37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33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/s/ 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i w:val="1"/>
          <w:iCs w:val="1"/>
          <w:color w:val="auto"/>
        </w:rPr>
        <w:t>Chief Financial Officer</w:t>
      </w:r>
    </w:p>
    <w:p>
      <w:pPr>
        <w:spacing w:after="0" w:line="200" w:lineRule="exact"/>
        <w:rPr>
          <w:sz w:val="20"/>
          <w:szCs w:val="20"/>
          <w:color w:val="auto"/>
        </w:rPr>
      </w:pPr>
    </w:p>
    <w:p>
      <w:pPr>
        <w:spacing w:after="0" w:line="30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0"/>
          </w:cols>
          <w:pgMar w:left="440" w:top="270" w:right="4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248920</wp:posOffset>
            </wp:positionV>
            <wp:extent cx="1800860" cy="171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0086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Declares Quarterly Dividend Payment</w:t>
      </w:r>
    </w:p>
    <w:p>
      <w:pPr>
        <w:spacing w:after="0" w:line="215" w:lineRule="exact"/>
        <w:rPr>
          <w:sz w:val="20"/>
          <w:szCs w:val="20"/>
          <w:color w:val="auto"/>
        </w:rPr>
      </w:pPr>
    </w:p>
    <w:p>
      <w:pPr>
        <w:ind w:right="40"/>
        <w:spacing w:after="0" w:line="347" w:lineRule="auto"/>
        <w:rPr>
          <w:sz w:val="20"/>
          <w:szCs w:val="20"/>
          <w:color w:val="auto"/>
        </w:rPr>
      </w:pPr>
      <w:r>
        <w:rPr>
          <w:rFonts w:ascii="Arial" w:cs="Arial" w:eastAsia="Arial" w:hAnsi="Arial"/>
          <w:sz w:val="16"/>
          <w:szCs w:val="16"/>
          <w:b w:val="1"/>
          <w:bCs w:val="1"/>
          <w:color w:val="auto"/>
        </w:rPr>
        <w:t xml:space="preserve">Santa Clara, Calif. (September 14, 2018) </w:t>
      </w:r>
      <w:r>
        <w:rPr>
          <w:rFonts w:ascii="Arial" w:cs="Arial" w:eastAsia="Arial" w:hAnsi="Arial"/>
          <w:sz w:val="16"/>
          <w:szCs w:val="16"/>
          <w:color w:val="auto"/>
        </w:rPr>
        <w:t>— Marvell Technology Group Ltd. (NASDAQ: MRVL), a leader in infrastructure semiconductor solutions,</w:t>
      </w:r>
      <w:r>
        <w:rPr>
          <w:rFonts w:ascii="Arial" w:cs="Arial" w:eastAsia="Arial" w:hAnsi="Arial"/>
          <w:sz w:val="16"/>
          <w:szCs w:val="16"/>
          <w:b w:val="1"/>
          <w:bCs w:val="1"/>
          <w:color w:val="auto"/>
        </w:rPr>
        <w:t xml:space="preserve"> </w:t>
      </w:r>
      <w:r>
        <w:rPr>
          <w:rFonts w:ascii="Arial" w:cs="Arial" w:eastAsia="Arial" w:hAnsi="Arial"/>
          <w:sz w:val="16"/>
          <w:szCs w:val="16"/>
          <w:color w:val="auto"/>
        </w:rPr>
        <w:t>today announced a quarterly dividend of $0.06 per share of common stock payable on October 23, 2018 to shareholders of record as of October 2, 2018.</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2019-12-28T19:31:15Z</dcterms:created>
  <dcterms:modified xsi:type="dcterms:W3CDTF">2019-12-28T19:31:15Z</dcterms:modified>
</cp:coreProperties>
</file>