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Date of Report (Date of earliest event reported): March 3, 2011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139700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 Results of Operations and Financial Condition.</w:t>
      </w:r>
    </w:p>
    <w:p>
      <w:pPr>
        <w:spacing w:after="0" w:line="96" w:lineRule="exact"/>
        <w:rPr>
          <w:sz w:val="20"/>
          <w:szCs w:val="20"/>
          <w:color w:val="auto"/>
        </w:rPr>
      </w:pPr>
    </w:p>
    <w:p>
      <w:pPr>
        <w:ind w:right="100" w:firstLine="913"/>
        <w:spacing w:after="0" w:line="298" w:lineRule="auto"/>
        <w:rPr>
          <w:sz w:val="20"/>
          <w:szCs w:val="20"/>
          <w:color w:val="auto"/>
        </w:rPr>
      </w:pPr>
      <w:r>
        <w:rPr>
          <w:rFonts w:ascii="Arial" w:cs="Arial" w:eastAsia="Arial" w:hAnsi="Arial"/>
          <w:sz w:val="16"/>
          <w:szCs w:val="16"/>
          <w:color w:val="auto"/>
        </w:rPr>
        <w:t>The information in Item 2.02 of this Current Report, including the accompanying exhibit,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140" w:firstLine="913"/>
        <w:spacing w:after="0" w:line="332" w:lineRule="auto"/>
        <w:rPr>
          <w:sz w:val="20"/>
          <w:szCs w:val="20"/>
          <w:color w:val="auto"/>
        </w:rPr>
      </w:pPr>
      <w:r>
        <w:rPr>
          <w:rFonts w:ascii="Arial" w:cs="Arial" w:eastAsia="Arial" w:hAnsi="Arial"/>
          <w:sz w:val="16"/>
          <w:szCs w:val="16"/>
          <w:color w:val="auto"/>
        </w:rPr>
        <w:t>On March 3, 2011, Marvell Technology Group Ltd. (“Marvell”) issued a press release regarding its financial results for its fourth fiscal quarter and fiscal year ended January 29, 2011.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and write-offs of acquired intangible assets, restructuring costs and certain other expenses and benefits.</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56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1480" w:right="100" w:hanging="446"/>
        <w:spacing w:after="0" w:line="268" w:lineRule="auto"/>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utilized to measure the achievement of stock-based awards (adjustments may vary from award to award) for certain Marvell executive officers;</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1480" w:right="20" w:hanging="446"/>
        <w:spacing w:after="0" w:line="256" w:lineRule="auto"/>
        <w:tabs>
          <w:tab w:leader="none" w:pos="148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 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62" w:lineRule="exact"/>
        <w:rPr>
          <w:rFonts w:ascii="Arial" w:cs="Arial" w:eastAsia="Arial" w:hAnsi="Arial"/>
          <w:sz w:val="18"/>
          <w:szCs w:val="18"/>
          <w:color w:val="auto"/>
        </w:rPr>
      </w:pPr>
    </w:p>
    <w:p>
      <w:pPr>
        <w:ind w:left="1480" w:right="240" w:hanging="446"/>
        <w:spacing w:after="0" w:line="259" w:lineRule="auto"/>
        <w:tabs>
          <w:tab w:leader="none" w:pos="148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Amortization and write-off of acquired intangible assets</w:t>
      </w:r>
      <w:r>
        <w:rPr>
          <w:rFonts w:ascii="Arial" w:cs="Arial" w:eastAsia="Arial" w:hAnsi="Arial"/>
          <w:sz w:val="18"/>
          <w:szCs w:val="18"/>
          <w:color w:val="auto"/>
        </w:rPr>
        <w:t>. Purchased intangible assets relate primarily to existing and core technology, and</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 relationships of acquired businesses. Management considers these charges non-cash in nature and unrelated to Marvell’s core operating performance.</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2" w:name="page3"/>
    <w:bookmarkEnd w:id="2"/>
    <w:p>
      <w:pPr>
        <w:ind w:left="1480" w:right="160" w:hanging="446"/>
        <w:spacing w:after="0" w:line="323" w:lineRule="auto"/>
        <w:tabs>
          <w:tab w:leader="none" w:pos="1480" w:val="left"/>
        </w:tabs>
        <w:numPr>
          <w:ilvl w:val="0"/>
          <w:numId w:val="4"/>
        </w:numPr>
        <w:rPr>
          <w:rFonts w:ascii="Arial" w:cs="Arial" w:eastAsia="Arial" w:hAnsi="Arial"/>
          <w:sz w:val="15"/>
          <w:szCs w:val="15"/>
          <w:color w:val="auto"/>
        </w:rPr>
      </w:pPr>
      <w:r>
        <w:rPr>
          <w:rFonts w:ascii="Arial" w:cs="Arial" w:eastAsia="Arial" w:hAnsi="Arial"/>
          <w:sz w:val="15"/>
          <w:szCs w:val="15"/>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Restructuring</w:t>
      </w:r>
      <w:r>
        <w:rPr>
          <w:rFonts w:ascii="Arial" w:cs="Arial" w:eastAsia="Arial" w:hAnsi="Arial"/>
          <w:sz w:val="15"/>
          <w:szCs w:val="15"/>
          <w:color w:val="auto"/>
        </w:rPr>
        <w:t>. Restructuring represents charges that are not directly related to Marvell’s ongoing or core business results. Management</w:t>
      </w:r>
      <w:r>
        <w:rPr>
          <w:rFonts w:ascii="Arial" w:cs="Arial" w:eastAsia="Arial" w:hAnsi="Arial"/>
          <w:sz w:val="15"/>
          <w:szCs w:val="15"/>
          <w:i w:val="1"/>
          <w:iCs w:val="1"/>
          <w:color w:val="auto"/>
        </w:rPr>
        <w:t xml:space="preserve"> </w:t>
      </w:r>
      <w:r>
        <w:rPr>
          <w:rFonts w:ascii="Arial" w:cs="Arial" w:eastAsia="Arial" w:hAnsi="Arial"/>
          <w:sz w:val="15"/>
          <w:szCs w:val="15"/>
          <w:color w:val="auto"/>
        </w:rPr>
        <w:t>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16" w:lineRule="exact"/>
        <w:rPr>
          <w:rFonts w:ascii="Arial" w:cs="Arial" w:eastAsia="Arial" w:hAnsi="Arial"/>
          <w:sz w:val="15"/>
          <w:szCs w:val="15"/>
          <w:color w:val="auto"/>
        </w:rPr>
      </w:pPr>
    </w:p>
    <w:p>
      <w:pPr>
        <w:ind w:left="1480" w:hanging="446"/>
        <w:spacing w:after="0" w:line="255"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Other</w:t>
      </w:r>
      <w:r>
        <w:rPr>
          <w:rFonts w:ascii="Arial" w:cs="Arial" w:eastAsia="Arial" w:hAnsi="Arial"/>
          <w:sz w:val="18"/>
          <w:szCs w:val="18"/>
          <w:color w:val="auto"/>
        </w:rPr>
        <w:t>. From time to time, Marvell has other costs/benefits that are not directly related to Marvell’s ongoing or core business results. For</w:t>
      </w:r>
      <w:r>
        <w:rPr>
          <w:rFonts w:ascii="Arial" w:cs="Arial" w:eastAsia="Arial" w:hAnsi="Arial"/>
          <w:sz w:val="18"/>
          <w:szCs w:val="18"/>
          <w:i w:val="1"/>
          <w:iCs w:val="1"/>
          <w:color w:val="auto"/>
        </w:rPr>
        <w:t xml:space="preserve"> </w:t>
      </w:r>
      <w:r>
        <w:rPr>
          <w:rFonts w:ascii="Arial" w:cs="Arial" w:eastAsia="Arial" w:hAnsi="Arial"/>
          <w:sz w:val="18"/>
          <w:szCs w:val="18"/>
          <w:color w:val="auto"/>
        </w:rPr>
        <w:t>example, during fiscal 2010, Marvell recorded a $72 million charge in connection with the settlement of a class action lawsuit related to its historical stock option granting practices. Based on the size and nature of the settlement, management considers these charges to be unrelated to Marvell’s core operating performance. Excluding this data provides investors with a basis to compare Marvell’s performance against the performance of other companies without this variability.</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1480" w:right="40" w:hanging="446"/>
        <w:spacing w:after="0" w:line="291" w:lineRule="auto"/>
        <w:tabs>
          <w:tab w:leader="none" w:pos="148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costs expected to be incurred in future periods but not yet recognized in the financial statements. The expected compensation costs are treated as proceeds assumed to be used to repurchase shares under the GAAP treasury stock method. Since Marvell’s non-GAAP net income does not reflect the effects of these compensation costs, management believes these amounts should not be applied to the repurchase of shares in calculating non-GAAP net income per share.</w:t>
      </w:r>
    </w:p>
    <w:p>
      <w:pPr>
        <w:spacing w:after="0" w:line="120" w:lineRule="exact"/>
        <w:rPr>
          <w:sz w:val="20"/>
          <w:szCs w:val="20"/>
          <w:color w:val="auto"/>
        </w:rPr>
      </w:pPr>
    </w:p>
    <w:p>
      <w:pPr>
        <w:jc w:val="both"/>
        <w:ind w:right="340" w:firstLine="913"/>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5"/>
          <w:szCs w:val="15"/>
          <w:b w:val="1"/>
          <w:bCs w:val="1"/>
          <w:color w:val="auto"/>
        </w:rPr>
        <w:t>Other Events.</w:t>
      </w:r>
    </w:p>
    <w:p>
      <w:pPr>
        <w:spacing w:after="0" w:line="96" w:lineRule="exact"/>
        <w:rPr>
          <w:sz w:val="20"/>
          <w:szCs w:val="20"/>
          <w:color w:val="auto"/>
        </w:rPr>
      </w:pPr>
    </w:p>
    <w:p>
      <w:pPr>
        <w:jc w:val="both"/>
        <w:ind w:right="360" w:firstLine="913"/>
        <w:spacing w:after="0" w:line="268" w:lineRule="auto"/>
        <w:rPr>
          <w:sz w:val="20"/>
          <w:szCs w:val="20"/>
          <w:color w:val="auto"/>
        </w:rPr>
      </w:pPr>
      <w:r>
        <w:rPr>
          <w:rFonts w:ascii="Arial" w:cs="Arial" w:eastAsia="Arial" w:hAnsi="Arial"/>
          <w:sz w:val="18"/>
          <w:szCs w:val="18"/>
          <w:color w:val="auto"/>
        </w:rPr>
        <w:t>Marvell also announced today that its Board of Directors has authorized Marvell to repurchase up to an additional $500 million, for a total of $1 billion, of its outstanding common shares.</w:t>
      </w:r>
    </w:p>
    <w:p>
      <w:pPr>
        <w:spacing w:after="0" w:line="132" w:lineRule="exact"/>
        <w:rPr>
          <w:sz w:val="20"/>
          <w:szCs w:val="20"/>
          <w:color w:val="auto"/>
        </w:rPr>
      </w:pPr>
    </w:p>
    <w:p>
      <w:pPr>
        <w:ind w:firstLine="913"/>
        <w:spacing w:after="0" w:line="254" w:lineRule="auto"/>
        <w:rPr>
          <w:sz w:val="20"/>
          <w:szCs w:val="20"/>
          <w:color w:val="auto"/>
        </w:rPr>
      </w:pPr>
      <w:r>
        <w:rPr>
          <w:rFonts w:ascii="Arial" w:cs="Arial" w:eastAsia="Arial" w:hAnsi="Arial"/>
          <w:sz w:val="18"/>
          <w:szCs w:val="18"/>
          <w:color w:val="auto"/>
        </w:rPr>
        <w:t>Marvell intends to effect the repurchase program in accordance with the conditions of Rule 10b-18 under the Exchange Act. The repurchase program will be subject to market conditions and other factors and does not obligate Marvell to repurchase any dollar amount or number of its common shares. The program may be extended, modified, suspended or discontinued at any time. The repurchases, which are expected to be funded from Marvell’s current cash and short-term investments position of over $2.9 billion, may occur in open market, privately negotiated or block transactions. As of February 28, 2011, Marvell has purchased approximately $150 million under the existing repurchase authorization bringing the total available under the repurchase program up to approximately $850 million.</w:t>
      </w:r>
    </w:p>
    <w:p>
      <w:pPr>
        <w:spacing w:after="0" w:line="260"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11"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March 3, 2011</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80" w:right="259" w:bottom="1440" w:gutter="0" w:footer="0" w:header="0"/>
        </w:sectPr>
      </w:pPr>
    </w:p>
    <w:bookmarkStart w:id="3" w:name="page4"/>
    <w:bookmarkEnd w:id="3"/>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913"/>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Dated: March 3, 2011</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 and Secretary</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74" w:right="27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199"/>
          </w:cols>
          <w:pgMar w:left="260" w:top="274" w:right="1440" w:bottom="1440" w:gutter="0" w:footer="0" w:header="0"/>
        </w:sectPr>
      </w:pPr>
    </w:p>
    <w:p>
      <w:pPr>
        <w:spacing w:after="0" w:line="215" w:lineRule="exact"/>
        <w:rPr>
          <w:sz w:val="20"/>
          <w:szCs w:val="20"/>
          <w:color w:val="auto"/>
        </w:rPr>
      </w:pPr>
    </w:p>
    <w:p>
      <w:pPr>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620" w:space="540"/>
            <w:col w:w="9039"/>
          </w:cols>
          <w:pgMar w:left="260" w:top="274" w:right="1440" w:bottom="1440" w:gutter="0" w:footer="0" w:header="0"/>
          <w:type w:val="continuous"/>
        </w:sectPr>
      </w:pPr>
    </w:p>
    <w:p>
      <w:pPr>
        <w:ind w:left="160"/>
        <w:spacing w:after="0"/>
        <w:tabs>
          <w:tab w:leader="none" w:pos="11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3, 2011</w:t>
      </w:r>
    </w:p>
    <w:p>
      <w:pPr>
        <w:sectPr>
          <w:pgSz w:w="11900" w:h="16838" w:orient="portrait"/>
          <w:cols w:equalWidth="0" w:num="1">
            <w:col w:w="10199"/>
          </w:cols>
          <w:pgMar w:left="260" w:top="274" w:right="1440" w:bottom="1440" w:gutter="0" w:footer="0" w:header="0"/>
          <w:type w:val="continuous"/>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5296535</wp:posOffset>
            </wp:positionH>
            <wp:positionV relativeFrom="paragraph">
              <wp:posOffset>118110</wp:posOffset>
            </wp:positionV>
            <wp:extent cx="1955165" cy="23177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955165" cy="23177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8120" w:type="dxa"/>
            <w:vAlign w:val="bottom"/>
            <w:gridSpan w:val="2"/>
          </w:tcPr>
          <w:p>
            <w:pPr>
              <w:spacing w:after="0"/>
              <w:rPr>
                <w:sz w:val="20"/>
                <w:szCs w:val="20"/>
                <w:color w:val="auto"/>
              </w:rPr>
            </w:pPr>
            <w:r>
              <w:rPr>
                <w:rFonts w:ascii="Arial" w:cs="Arial" w:eastAsia="Arial" w:hAnsi="Arial"/>
                <w:sz w:val="18"/>
                <w:szCs w:val="18"/>
                <w:color w:val="auto"/>
              </w:rPr>
              <w:t>For further information, contact:</w:t>
            </w:r>
          </w:p>
        </w:tc>
        <w:tc>
          <w:tcPr>
            <w:tcW w:w="1300" w:type="dxa"/>
            <w:vAlign w:val="bottom"/>
          </w:tcPr>
          <w:p>
            <w:pPr>
              <w:spacing w:after="0"/>
              <w:rPr>
                <w:sz w:val="18"/>
                <w:szCs w:val="18"/>
                <w:color w:val="auto"/>
              </w:rPr>
            </w:pPr>
          </w:p>
        </w:tc>
        <w:tc>
          <w:tcPr>
            <w:tcW w:w="640" w:type="dxa"/>
            <w:vAlign w:val="bottom"/>
          </w:tcPr>
          <w:p>
            <w:pPr>
              <w:spacing w:after="0"/>
              <w:rPr>
                <w:sz w:val="18"/>
                <w:szCs w:val="18"/>
                <w:color w:val="auto"/>
              </w:rPr>
            </w:pPr>
          </w:p>
        </w:tc>
      </w:tr>
      <w:tr>
        <w:trPr>
          <w:trHeight w:val="216"/>
        </w:trPr>
        <w:tc>
          <w:tcPr>
            <w:tcW w:w="8120" w:type="dxa"/>
            <w:vAlign w:val="bottom"/>
            <w:gridSpan w:val="2"/>
          </w:tcPr>
          <w:p>
            <w:pPr>
              <w:spacing w:after="0"/>
              <w:rPr>
                <w:sz w:val="20"/>
                <w:szCs w:val="20"/>
                <w:color w:val="auto"/>
              </w:rPr>
            </w:pPr>
            <w:r>
              <w:rPr>
                <w:rFonts w:ascii="Arial" w:cs="Arial" w:eastAsia="Arial" w:hAnsi="Arial"/>
                <w:sz w:val="18"/>
                <w:szCs w:val="18"/>
                <w:color w:val="auto"/>
              </w:rPr>
              <w:t>Gina DeBoutez</w:t>
            </w:r>
          </w:p>
        </w:tc>
        <w:tc>
          <w:tcPr>
            <w:tcW w:w="1940" w:type="dxa"/>
            <w:vAlign w:val="bottom"/>
            <w:gridSpan w:val="2"/>
          </w:tcPr>
          <w:p>
            <w:pPr>
              <w:spacing w:after="0"/>
              <w:rPr>
                <w:sz w:val="20"/>
                <w:szCs w:val="20"/>
                <w:color w:val="auto"/>
              </w:rPr>
            </w:pPr>
            <w:r>
              <w:rPr>
                <w:rFonts w:ascii="Arial" w:cs="Arial" w:eastAsia="Arial" w:hAnsi="Arial"/>
                <w:sz w:val="18"/>
                <w:szCs w:val="18"/>
                <w:color w:val="auto"/>
              </w:rPr>
              <w:t>Tom Hayes</w:t>
            </w:r>
          </w:p>
        </w:tc>
      </w:tr>
      <w:tr>
        <w:trPr>
          <w:trHeight w:val="216"/>
        </w:trPr>
        <w:tc>
          <w:tcPr>
            <w:tcW w:w="812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940" w:type="dxa"/>
            <w:vAlign w:val="bottom"/>
            <w:gridSpan w:val="2"/>
          </w:tcPr>
          <w:p>
            <w:pPr>
              <w:spacing w:after="0"/>
              <w:rPr>
                <w:sz w:val="20"/>
                <w:szCs w:val="20"/>
                <w:color w:val="auto"/>
              </w:rPr>
            </w:pPr>
            <w:r>
              <w:rPr>
                <w:rFonts w:ascii="Arial" w:cs="Arial" w:eastAsia="Arial" w:hAnsi="Arial"/>
                <w:sz w:val="18"/>
                <w:szCs w:val="18"/>
                <w:color w:val="auto"/>
                <w:w w:val="87"/>
              </w:rPr>
              <w:t>Corporate Communications</w:t>
            </w:r>
          </w:p>
        </w:tc>
      </w:tr>
      <w:tr>
        <w:trPr>
          <w:trHeight w:val="216"/>
        </w:trPr>
        <w:tc>
          <w:tcPr>
            <w:tcW w:w="1160" w:type="dxa"/>
            <w:vAlign w:val="bottom"/>
          </w:tcPr>
          <w:p>
            <w:pPr>
              <w:spacing w:after="0"/>
              <w:rPr>
                <w:sz w:val="20"/>
                <w:szCs w:val="20"/>
                <w:color w:val="auto"/>
              </w:rPr>
            </w:pPr>
            <w:r>
              <w:rPr>
                <w:rFonts w:ascii="Arial" w:cs="Arial" w:eastAsia="Arial" w:hAnsi="Arial"/>
                <w:sz w:val="18"/>
                <w:szCs w:val="18"/>
                <w:color w:val="auto"/>
              </w:rPr>
              <w:t>408-222-8373</w:t>
            </w:r>
          </w:p>
        </w:tc>
        <w:tc>
          <w:tcPr>
            <w:tcW w:w="696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8"/>
                <w:szCs w:val="18"/>
                <w:color w:val="auto"/>
              </w:rPr>
              <w:t>408-222-2815</w:t>
            </w:r>
          </w:p>
        </w:tc>
        <w:tc>
          <w:tcPr>
            <w:tcW w:w="640" w:type="dxa"/>
            <w:vAlign w:val="bottom"/>
          </w:tcPr>
          <w:p>
            <w:pPr>
              <w:spacing w:after="0"/>
              <w:rPr>
                <w:sz w:val="18"/>
                <w:szCs w:val="18"/>
                <w:color w:val="auto"/>
              </w:rPr>
            </w:pPr>
          </w:p>
        </w:tc>
      </w:tr>
      <w:tr>
        <w:trPr>
          <w:trHeight w:val="184"/>
        </w:trPr>
        <w:tc>
          <w:tcPr>
            <w:tcW w:w="1160" w:type="dxa"/>
            <w:vAlign w:val="bottom"/>
          </w:tcPr>
          <w:p>
            <w:pPr>
              <w:spacing w:after="0" w:line="184" w:lineRule="exact"/>
              <w:rPr>
                <w:sz w:val="20"/>
                <w:szCs w:val="20"/>
                <w:color w:val="auto"/>
              </w:rPr>
            </w:pPr>
            <w:r>
              <w:rPr>
                <w:rFonts w:ascii="Arial" w:cs="Arial" w:eastAsia="Arial" w:hAnsi="Arial"/>
                <w:sz w:val="18"/>
                <w:szCs w:val="18"/>
                <w:color w:val="auto"/>
                <w:w w:val="90"/>
              </w:rPr>
              <w:t>ir@marvell.com</w:t>
            </w:r>
          </w:p>
        </w:tc>
        <w:tc>
          <w:tcPr>
            <w:tcW w:w="6960" w:type="dxa"/>
            <w:vAlign w:val="bottom"/>
          </w:tcPr>
          <w:p>
            <w:pPr>
              <w:spacing w:after="0"/>
              <w:rPr>
                <w:sz w:val="15"/>
                <w:szCs w:val="15"/>
                <w:color w:val="auto"/>
              </w:rPr>
            </w:pPr>
          </w:p>
        </w:tc>
        <w:tc>
          <w:tcPr>
            <w:tcW w:w="1940" w:type="dxa"/>
            <w:vAlign w:val="bottom"/>
            <w:gridSpan w:val="2"/>
          </w:tcPr>
          <w:p>
            <w:pPr>
              <w:spacing w:after="0" w:line="184" w:lineRule="exact"/>
              <w:rPr>
                <w:sz w:val="20"/>
                <w:szCs w:val="20"/>
                <w:color w:val="auto"/>
              </w:rPr>
            </w:pPr>
            <w:r>
              <w:rPr>
                <w:rFonts w:ascii="Arial" w:cs="Arial" w:eastAsia="Arial" w:hAnsi="Arial"/>
                <w:sz w:val="18"/>
                <w:szCs w:val="18"/>
                <w:color w:val="auto"/>
              </w:rPr>
              <w:t>tom@marvell.com</w:t>
            </w:r>
          </w:p>
        </w:tc>
      </w:tr>
      <w:tr>
        <w:trPr>
          <w:trHeight w:val="20"/>
        </w:trPr>
        <w:tc>
          <w:tcPr>
            <w:tcW w:w="1160" w:type="dxa"/>
            <w:vAlign w:val="bottom"/>
            <w:shd w:val="clear" w:color="auto" w:fill="000000"/>
          </w:tcPr>
          <w:p>
            <w:pPr>
              <w:spacing w:after="0" w:line="20" w:lineRule="exact"/>
              <w:rPr>
                <w:sz w:val="1"/>
                <w:szCs w:val="1"/>
                <w:color w:val="auto"/>
              </w:rPr>
            </w:pPr>
          </w:p>
        </w:tc>
        <w:tc>
          <w:tcPr>
            <w:tcW w:w="696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r>
    </w:tbl>
    <w:p>
      <w:pPr>
        <w:spacing w:after="0" w:line="337" w:lineRule="exact"/>
        <w:rPr>
          <w:sz w:val="20"/>
          <w:szCs w:val="20"/>
          <w:color w:val="auto"/>
        </w:rPr>
      </w:pPr>
    </w:p>
    <w:p>
      <w:pPr>
        <w:ind w:left="2340"/>
        <w:spacing w:after="0"/>
        <w:rPr>
          <w:sz w:val="20"/>
          <w:szCs w:val="20"/>
          <w:color w:val="auto"/>
        </w:rPr>
      </w:pPr>
      <w:r>
        <w:rPr>
          <w:rFonts w:ascii="Arial" w:cs="Arial" w:eastAsia="Arial" w:hAnsi="Arial"/>
          <w:sz w:val="18"/>
          <w:szCs w:val="18"/>
          <w:b w:val="1"/>
          <w:bCs w:val="1"/>
          <w:color w:val="auto"/>
        </w:rPr>
        <w:t>Marvell Technology Reports Fourth Fiscal Quarter and Fiscal Year 2011 Financial Results</w:t>
      </w:r>
    </w:p>
    <w:p>
      <w:pPr>
        <w:spacing w:after="0" w:line="177" w:lineRule="exact"/>
        <w:rPr>
          <w:sz w:val="20"/>
          <w:szCs w:val="20"/>
          <w:color w:val="auto"/>
        </w:rPr>
      </w:pPr>
    </w:p>
    <w:p>
      <w:pPr>
        <w:ind w:left="3740"/>
        <w:spacing w:after="0"/>
        <w:rPr>
          <w:sz w:val="20"/>
          <w:szCs w:val="20"/>
          <w:color w:val="auto"/>
        </w:rPr>
      </w:pPr>
      <w:r>
        <w:rPr>
          <w:rFonts w:ascii="Arial" w:cs="Arial" w:eastAsia="Arial" w:hAnsi="Arial"/>
          <w:sz w:val="18"/>
          <w:szCs w:val="18"/>
          <w:b w:val="1"/>
          <w:bCs w:val="1"/>
          <w:i w:val="1"/>
          <w:iCs w:val="1"/>
          <w:color w:val="auto"/>
        </w:rPr>
        <w:t>Revenue: FQ411, $901 Million; FY2011, $3.61 Billion</w:t>
      </w:r>
    </w:p>
    <w:p>
      <w:pPr>
        <w:spacing w:after="0" w:line="15" w:lineRule="exact"/>
        <w:rPr>
          <w:sz w:val="20"/>
          <w:szCs w:val="20"/>
          <w:color w:val="auto"/>
        </w:rPr>
      </w:pPr>
    </w:p>
    <w:p>
      <w:pPr>
        <w:jc w:val="center"/>
        <w:spacing w:after="0" w:line="255" w:lineRule="auto"/>
        <w:rPr>
          <w:sz w:val="20"/>
          <w:szCs w:val="20"/>
          <w:color w:val="auto"/>
        </w:rPr>
      </w:pPr>
      <w:r>
        <w:rPr>
          <w:rFonts w:ascii="Arial" w:cs="Arial" w:eastAsia="Arial" w:hAnsi="Arial"/>
          <w:sz w:val="18"/>
          <w:szCs w:val="18"/>
          <w:b w:val="1"/>
          <w:bCs w:val="1"/>
          <w:i w:val="1"/>
          <w:iCs w:val="1"/>
          <w:color w:val="auto"/>
        </w:rPr>
        <w:t>GAAP Net Income: FQ411, $223 Million; FY2011, $904 Million Free Cash Flow: FQ411, $213 Million; FY2011, $1.08 Billion Increases the Authorized Share Repurchase Program from $500 Million to $1 Billion</w:t>
      </w:r>
    </w:p>
    <w:p>
      <w:pPr>
        <w:spacing w:after="0" w:line="138" w:lineRule="exact"/>
        <w:rPr>
          <w:sz w:val="20"/>
          <w:szCs w:val="20"/>
          <w:color w:val="auto"/>
        </w:rPr>
      </w:pPr>
    </w:p>
    <w:p>
      <w:pPr>
        <w:ind w:right="440"/>
        <w:spacing w:after="0" w:line="275" w:lineRule="auto"/>
        <w:rPr>
          <w:sz w:val="20"/>
          <w:szCs w:val="20"/>
          <w:color w:val="auto"/>
        </w:rPr>
      </w:pPr>
      <w:r>
        <w:rPr>
          <w:rFonts w:ascii="Arial" w:cs="Arial" w:eastAsia="Arial" w:hAnsi="Arial"/>
          <w:sz w:val="18"/>
          <w:szCs w:val="18"/>
          <w:b w:val="1"/>
          <w:bCs w:val="1"/>
          <w:color w:val="auto"/>
        </w:rPr>
        <w:t xml:space="preserve">Santa Clara, Calif. (March 3, 2011)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fourth fiscal quarter and fiscal year 2011, ended January 29, 2011.</w:t>
      </w:r>
    </w:p>
    <w:p>
      <w:pPr>
        <w:spacing w:after="0" w:line="126" w:lineRule="exact"/>
        <w:rPr>
          <w:sz w:val="20"/>
          <w:szCs w:val="20"/>
          <w:color w:val="auto"/>
        </w:rPr>
      </w:pPr>
    </w:p>
    <w:p>
      <w:pPr>
        <w:ind w:right="380"/>
        <w:spacing w:after="0" w:line="332" w:lineRule="auto"/>
        <w:rPr>
          <w:sz w:val="20"/>
          <w:szCs w:val="20"/>
          <w:color w:val="auto"/>
        </w:rPr>
      </w:pPr>
      <w:r>
        <w:rPr>
          <w:rFonts w:ascii="Arial" w:cs="Arial" w:eastAsia="Arial" w:hAnsi="Arial"/>
          <w:sz w:val="16"/>
          <w:szCs w:val="16"/>
          <w:color w:val="auto"/>
        </w:rPr>
        <w:t>Revenue for the fourth quarter of fiscal 2011 was $901 million, a 7 percent increase from $843 million in the fourth quarter of fiscal 2010, ended January 30, 2010, and a 6 percent sequential decrease from $959 million in the third quarter of fiscal 2011, ended October 30, 2010.</w:t>
      </w:r>
    </w:p>
    <w:p>
      <w:pPr>
        <w:spacing w:after="0" w:line="85"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For the fiscal year ended January 29, 2011, revenue was $3.61 billion, an increase of 29 percent over revenue of $2.81 billion for the fiscal year ended January 30, 2010.</w:t>
      </w:r>
    </w:p>
    <w:p>
      <w:pPr>
        <w:spacing w:after="0" w:line="132"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color w:val="auto"/>
        </w:rPr>
        <w:t>GAAP net income for the fourth quarter of fiscal 2011 was $223 million, or $0.33 per share (diluted), compared with GAAP net income of $205 million, or $0.31 per share (diluted) for the fourth quarter of fiscal 2010. GAAP net income in the third quarter of fiscal 2011 was $256 million, or $0.38 per share (diluted).</w:t>
      </w:r>
    </w:p>
    <w:p>
      <w:pPr>
        <w:spacing w:after="0" w:line="85"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color w:val="auto"/>
        </w:rPr>
        <w:t>For the year ended January 29, 2011, GAAP net income was $904 million, or $1.34 per share (diluted), compared with GAAP net income of $353 million, or $0.54 per share (diluted), for the year ended January 30, 2010.</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5" w:right="239" w:bottom="1440" w:gutter="0" w:footer="0" w:header="0"/>
        </w:sectPr>
      </w:pPr>
    </w:p>
    <w:bookmarkStart w:id="6" w:name="page7"/>
    <w:bookmarkEnd w:id="6"/>
    <w:p>
      <w:pPr>
        <w:ind w:right="2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Non-GAAP net income for the fourth quarter of fiscal 2011 increased to $273 million, or $0.40 per share (diluted), as compared with non-GAAP net income of $266 million, or $0.40 per share (diluted) for the fourth quarter of fiscal 2010. Non-GAAP net income for the third quarter of fiscal 2011 was $307 million, or $0.45 per share (diluted).</w:t>
      </w:r>
    </w:p>
    <w:p>
      <w:pPr>
        <w:spacing w:after="0" w:line="140"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color w:val="auto"/>
        </w:rPr>
        <w:t>For the fiscal year ended January 29, 2011, non-GAAP net income was $1.11 billion, or $1.64 per share (diluted), as compared with non-GAAP net income of $648 million, or $0.99 per share (diluted) for the fiscal year ended January 30, 2010.</w:t>
      </w:r>
    </w:p>
    <w:p>
      <w:pPr>
        <w:spacing w:after="0" w:line="132" w:lineRule="exact"/>
        <w:rPr>
          <w:sz w:val="20"/>
          <w:szCs w:val="20"/>
          <w:color w:val="auto"/>
        </w:rPr>
      </w:pPr>
    </w:p>
    <w:p>
      <w:pPr>
        <w:ind w:right="60"/>
        <w:spacing w:after="0" w:line="256" w:lineRule="auto"/>
        <w:rPr>
          <w:sz w:val="20"/>
          <w:szCs w:val="20"/>
          <w:color w:val="auto"/>
        </w:rPr>
      </w:pPr>
      <w:r>
        <w:rPr>
          <w:rFonts w:ascii="Arial" w:cs="Arial" w:eastAsia="Arial" w:hAnsi="Arial"/>
          <w:sz w:val="18"/>
          <w:szCs w:val="18"/>
          <w:color w:val="auto"/>
        </w:rPr>
        <w:t>“We had a strong fiscal year for 2011 with revenues up 29% from the previous year, and free cash flow of nearly $1.1 billion or $1.60 per share. This is amongst the best in our industry and the highest free cash flow generation in the history of Marvell,” said Dr. Sehat Sutardja, Marvell’s Chairman and Chief Executive Officer. “While the results for our fourth quarter continue to be affected by seasonal declines in our mobile and wireless end markets, we are well positioned with competitive products to take advantage of the trends in the coming years.”</w:t>
      </w:r>
    </w:p>
    <w:p>
      <w:pPr>
        <w:spacing w:after="0" w:line="143" w:lineRule="exact"/>
        <w:rPr>
          <w:sz w:val="20"/>
          <w:szCs w:val="20"/>
          <w:color w:val="auto"/>
        </w:rPr>
      </w:pPr>
    </w:p>
    <w:p>
      <w:pPr>
        <w:ind w:right="240"/>
        <w:spacing w:after="0" w:line="255" w:lineRule="auto"/>
        <w:rPr>
          <w:sz w:val="20"/>
          <w:szCs w:val="20"/>
          <w:color w:val="auto"/>
        </w:rPr>
      </w:pPr>
      <w:r>
        <w:rPr>
          <w:rFonts w:ascii="Arial" w:cs="Arial" w:eastAsia="Arial" w:hAnsi="Arial"/>
          <w:sz w:val="18"/>
          <w:szCs w:val="18"/>
          <w:color w:val="auto"/>
        </w:rPr>
        <w:t>Marvell reports net income, basic and diluted net income per share in accordance with U.S. generally accepted accounting principles (GAAP) and on a non-GAAP basis as outlined below. Reconciliations of GAAP net income to non-GAAP net income for the three months ended January 29, 2011, October 30, 2010 and January 30, 2010 and fiscal years ended January 29, 2011 and January 30, 2010, respectively, appear in the financial statements below. Non-GAAP net income, where applicable, excludes the effect of stock-based compensation, amortization and write-offs of acquired intangible assets, restructuring costs, and certain one-time expenses or benefits.</w:t>
      </w:r>
    </w:p>
    <w:p>
      <w:pPr>
        <w:spacing w:after="0" w:line="143"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GAAP gross margin for the fourth quarter of fiscal 2011 was 58.7 percent, compared to 59.7 percent for the fourth quarter of fiscal 2010 and 59.3 percent for the third quarter of fiscal 2011. GAAP gross margin for fiscal 2011 was 59.2 percent compared to 56.3 percent for fiscal 2010.</w:t>
      </w:r>
    </w:p>
    <w:p>
      <w:pPr>
        <w:spacing w:after="0" w:line="132" w:lineRule="exact"/>
        <w:rPr>
          <w:sz w:val="20"/>
          <w:szCs w:val="20"/>
          <w:color w:val="auto"/>
        </w:rPr>
      </w:pPr>
    </w:p>
    <w:p>
      <w:pPr>
        <w:spacing w:after="0" w:line="332" w:lineRule="auto"/>
        <w:rPr>
          <w:sz w:val="20"/>
          <w:szCs w:val="20"/>
          <w:color w:val="auto"/>
        </w:rPr>
      </w:pPr>
      <w:r>
        <w:rPr>
          <w:rFonts w:ascii="Arial" w:cs="Arial" w:eastAsia="Arial" w:hAnsi="Arial"/>
          <w:sz w:val="16"/>
          <w:szCs w:val="16"/>
          <w:color w:val="auto"/>
        </w:rPr>
        <w:t>Non-GAAP gross margin for the fourth quarter of fiscal 2011 was 59.4 percent, compared to 60.0 percent for the fourth quarter of fiscal 2010 and 59.5 percent for the third quarter of fiscal 2011. Non-GAAP gross margin for fiscal 2011 was 59.7 percent compared to 56.7 percent for fiscal 2010.</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80" w:right="239" w:bottom="1440" w:gutter="0" w:footer="0" w:header="0"/>
        </w:sectPr>
      </w:pPr>
    </w:p>
    <w:bookmarkStart w:id="7" w:name="page8"/>
    <w:bookmarkEnd w:id="7"/>
    <w:p>
      <w:pPr>
        <w:spacing w:after="0" w:line="256"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Shares used to compute GAAP net income per diluted share for the fourth quarter of fiscal 2011 were 679 million shares, compared with 669 million shares in the fourth quarter of fiscal 2010 and 675 million shares in the third quarter of fiscal 2011. Shares used to compute non-GAAP net income per diluted share for the fourth quarter of fiscal 2011 were 685 million shares, compared with 672 million shares for the fourth quarter of fiscal 2010 and 677 million shares for the third quarter of fiscal 2011.</w:t>
      </w:r>
    </w:p>
    <w:p>
      <w:pPr>
        <w:spacing w:after="0" w:line="143"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Shares used to compute GAAP net income per diluted share for the fiscal year ended January 29, 2011 were 677 million shares as compared with 654 million shares used to compute GAAP net income per diluted share for the fiscal year ended January 30, 2010. Shares used to compute non-GAAP net income per diluted share for the fiscal year ended January 29, 2011 were 681 million shares as compared with 657 million shares for the fiscal year ended January 30, 2010.</w:t>
      </w:r>
    </w:p>
    <w:p>
      <w:pPr>
        <w:spacing w:after="0" w:line="107" w:lineRule="exact"/>
        <w:rPr>
          <w:sz w:val="20"/>
          <w:szCs w:val="20"/>
          <w:color w:val="auto"/>
        </w:rPr>
      </w:pPr>
    </w:p>
    <w:p>
      <w:pPr>
        <w:ind w:right="80"/>
        <w:spacing w:after="0" w:line="294" w:lineRule="auto"/>
        <w:rPr>
          <w:sz w:val="20"/>
          <w:szCs w:val="20"/>
          <w:color w:val="auto"/>
        </w:rPr>
      </w:pPr>
      <w:r>
        <w:rPr>
          <w:rFonts w:ascii="Arial" w:cs="Arial" w:eastAsia="Arial" w:hAnsi="Arial"/>
          <w:sz w:val="16"/>
          <w:szCs w:val="16"/>
          <w:color w:val="auto"/>
        </w:rPr>
        <w:t>Cash flow from operations for the fourth quarter of fiscal 2011 was $251 million, compared to the $281 million in the fourth quarter of fiscal 2010 and the $368 million reported in the third quarter of fiscal 2011. Cash flow from operations for fiscal 2011 was $1.19 billion as compared to $812 million for fiscal 2010. Free cash flow for the fourth quarter of fiscal 2011 was $213 million, down from the $253 million in the fourth quarter of fiscal 2010 and down from the $338 million reported in the third quarter of fiscal 2011. Free cash flow for fiscal 2011 was $1.08 billion as compared to $756 million in fiscal 2010. Free cash flow as presented above is defined as cash flow from operations, less capital expenditures and purchases of IP licenses.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 Repurchase Program</w:t>
      </w:r>
    </w:p>
    <w:p>
      <w:pPr>
        <w:spacing w:after="0" w:line="9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Marvell also announced today that its Board of Directors has authorized the Company to repurchase up to an additional $500 million, for a total of $1 billion, of its outstanding common shares.</w:t>
      </w:r>
    </w:p>
    <w:p>
      <w:pPr>
        <w:spacing w:after="0" w:line="132" w:lineRule="exact"/>
        <w:rPr>
          <w:sz w:val="20"/>
          <w:szCs w:val="20"/>
          <w:color w:val="auto"/>
        </w:rPr>
      </w:pPr>
    </w:p>
    <w:p>
      <w:pPr>
        <w:ind w:right="120"/>
        <w:spacing w:after="0" w:line="291" w:lineRule="auto"/>
        <w:rPr>
          <w:sz w:val="20"/>
          <w:szCs w:val="20"/>
          <w:color w:val="auto"/>
        </w:rPr>
      </w:pPr>
      <w:r>
        <w:rPr>
          <w:rFonts w:ascii="Arial" w:cs="Arial" w:eastAsia="Arial" w:hAnsi="Arial"/>
          <w:sz w:val="16"/>
          <w:szCs w:val="16"/>
          <w:color w:val="auto"/>
        </w:rPr>
        <w:t>Marvell intends to effect the repurchase program in accordance with the conditions of Rule 10b-18 under the Securities Exchange Act of 1934, as amended. The repurchase program will be subject to market conditions and other factors and does not obligate Marvell to repurchase any dollar amount or number of its common shares. The program may be extended, modified, suspended or discontinued at any time. The repurchases, which are expected to be funded from Marvell’s current cash and short-term investments position of over $2.9 billion, may occur in open market, privately negotiated or block transactions. As of February 28, 2011, Marvell has purchased approximately $150 million under the existing repurchase authorization bringing the total available under the repurchase program up to approximately $850 million.</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80" w:right="25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Conference Call</w:t>
      </w:r>
    </w:p>
    <w:p>
      <w:pPr>
        <w:spacing w:after="0" w:line="96" w:lineRule="exact"/>
        <w:rPr>
          <w:sz w:val="20"/>
          <w:szCs w:val="20"/>
          <w:color w:val="auto"/>
        </w:rPr>
      </w:pPr>
    </w:p>
    <w:p>
      <w:pPr>
        <w:ind w:right="400"/>
        <w:spacing w:after="0" w:line="306" w:lineRule="auto"/>
        <w:rPr>
          <w:sz w:val="20"/>
          <w:szCs w:val="20"/>
          <w:color w:val="auto"/>
        </w:rPr>
      </w:pPr>
      <w:r>
        <w:rPr>
          <w:rFonts w:ascii="Arial" w:cs="Arial" w:eastAsia="Arial" w:hAnsi="Arial"/>
          <w:sz w:val="16"/>
          <w:szCs w:val="16"/>
          <w:color w:val="auto"/>
        </w:rPr>
        <w:t xml:space="preserve">Marvell will be conducting a conference call on March 3, 2011 at 1:45 p.m. Pacific Time to discuss results for the fourth fiscal quarter and fiscal year 2011. Interested parties may join the conference call by dialing </w:t>
      </w:r>
      <w:r>
        <w:rPr>
          <w:rFonts w:ascii="Arial" w:cs="Arial" w:eastAsia="Arial" w:hAnsi="Arial"/>
          <w:sz w:val="16"/>
          <w:szCs w:val="16"/>
          <w:b w:val="1"/>
          <w:bCs w:val="1"/>
          <w:color w:val="auto"/>
        </w:rPr>
        <w:t>1-866-314-5050, pass-code 63344300</w:t>
      </w:r>
      <w:r>
        <w:rPr>
          <w:rFonts w:ascii="Arial" w:cs="Arial" w:eastAsia="Arial" w:hAnsi="Arial"/>
          <w:sz w:val="16"/>
          <w:szCs w:val="16"/>
          <w:color w:val="auto"/>
        </w:rPr>
        <w:t xml:space="preserve">. The call will be webcast by Thomson Reuters and can be accessed at the Marvell Investor Relations website at </w:t>
      </w:r>
      <w:r>
        <w:rPr>
          <w:rFonts w:ascii="Arial" w:cs="Arial" w:eastAsia="Arial" w:hAnsi="Arial"/>
          <w:sz w:val="16"/>
          <w:szCs w:val="16"/>
          <w:u w:val="single" w:color="auto"/>
          <w:color w:val="auto"/>
        </w:rPr>
        <w:t>http://investor.marvell.com/</w:t>
      </w:r>
      <w:r>
        <w:rPr>
          <w:rFonts w:ascii="Arial" w:cs="Arial" w:eastAsia="Arial" w:hAnsi="Arial"/>
          <w:sz w:val="16"/>
          <w:szCs w:val="16"/>
          <w:color w:val="auto"/>
        </w:rPr>
        <w:t xml:space="preserve"> with a replay available following the call until April 3, 2011.</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160"/>
        <w:spacing w:after="0" w:line="314" w:lineRule="auto"/>
        <w:rPr>
          <w:sz w:val="20"/>
          <w:szCs w:val="20"/>
          <w:color w:val="auto"/>
        </w:rPr>
      </w:pPr>
      <w:r>
        <w:rPr>
          <w:rFonts w:ascii="Arial" w:cs="Arial" w:eastAsia="Arial" w:hAnsi="Arial"/>
          <w:sz w:val="15"/>
          <w:szCs w:val="15"/>
          <w:color w:val="auto"/>
        </w:rPr>
        <w:t>Non-GAAP financial measures exclude stock-based compensation expense as well as charges related to acquisitions, restructuring and other charges that are driven primarily by discrete events that management does not consider to be directly related to Marvell’s core operating performance. Non-GAAP earnings per share is calculated by dividing non-GAAP net income by non-GAAP weighted average shares outstanding (diluted). For purposes of calculating non-GAAP earnings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w:t>
      </w:r>
    </w:p>
    <w:p>
      <w:pPr>
        <w:spacing w:after="0" w:line="105"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 xml:space="preserve">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6"/>
          <w:szCs w:val="16"/>
          <w:b w:val="1"/>
          <w:bCs w:val="1"/>
          <w:u w:val="single" w:color="auto"/>
          <w:color w:val="auto"/>
        </w:rPr>
        <w:t>www.sec.gov</w:t>
      </w:r>
      <w:r>
        <w:rPr>
          <w:rFonts w:ascii="Arial" w:cs="Arial" w:eastAsia="Arial" w:hAnsi="Arial"/>
          <w:sz w:val="16"/>
          <w:szCs w:val="16"/>
          <w:color w:val="auto"/>
        </w:rPr>
        <w:t xml:space="preserve"> as well as on the Marvell website in the Investor Relations section at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 xml:space="preserve">Marvell Technology Group Ltd. (NASDAQ: MRVL)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the “Company” and “Marvell” refer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3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40"/>
          </w:cols>
          <w:pgMar w:left="240" w:top="274" w:right="31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w:t>
      </w:r>
    </w:p>
    <w:p>
      <w:pPr>
        <w:spacing w:after="0" w:line="9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our ability to deliver competitive products; the Company’s ability to fund common share purchases out of the Company’s current cash position; the types of transactions pursuant to which repurchases will be made under the share repurchase program; and statements concerning the Company’s use of non-GAAP net income and net income per share as important supplemental information. These statements are not guarantees of results and should not be considered as an indication of future performance. Actual events or results may differ materially from those described in this document due to a number of risks and uncertainties, including, among others, the Company’s reliance on major customers and suppliers; market acceptance of new products; uncertainty in the worldwide economic environment; competition in the hard disk drive industry and in mobile and wireless end markets; and other risks detailed in Marvell’s SEC filings. For other factors that could cause Marvell’s results to vary from expectations, please see the risk factors identified in Marvell’s latest Quarterly Report on Form 10-Q for the quarter ended October 30, 2010 and Current Reports on Form 8-K, as filed with the SEC and other factors detailed from time to time in Marvell’s filings with the SEC. Marvell undertakes no obligation to revise or update publicly any forward-looking statements. When Marvell files its Form 10-K for fiscal year 2011,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4"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9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280" w:type="dxa"/>
            <w:vAlign w:val="bottom"/>
            <w:gridSpan w:val="4"/>
          </w:tcPr>
          <w:p>
            <w:pPr>
              <w:jc w:val="right"/>
              <w:ind w:right="20"/>
              <w:spacing w:after="0"/>
              <w:rPr>
                <w:sz w:val="20"/>
                <w:szCs w:val="20"/>
                <w:color w:val="auto"/>
              </w:rPr>
            </w:pPr>
            <w:r>
              <w:rPr>
                <w:rFonts w:ascii="Arial" w:cs="Arial" w:eastAsia="Arial" w:hAnsi="Arial"/>
                <w:sz w:val="14"/>
                <w:szCs w:val="14"/>
                <w:b w:val="1"/>
                <w:bCs w:val="1"/>
                <w:color w:val="auto"/>
                <w:w w:val="89"/>
              </w:rPr>
              <w:t>Three Months Ended</w:t>
            </w: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20" w:type="dxa"/>
            <w:vAlign w:val="bottom"/>
            <w:gridSpan w:val="5"/>
          </w:tcPr>
          <w:p>
            <w:pPr>
              <w:jc w:val="right"/>
              <w:ind w:right="72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980" w:type="dxa"/>
            <w:vAlign w:val="bottom"/>
          </w:tcPr>
          <w:p>
            <w:pPr>
              <w:spacing w:after="0"/>
              <w:rPr>
                <w:sz w:val="11"/>
                <w:szCs w:val="11"/>
                <w:color w:val="auto"/>
              </w:rPr>
            </w:pPr>
          </w:p>
        </w:tc>
        <w:tc>
          <w:tcPr>
            <w:tcW w:w="1420" w:type="dxa"/>
            <w:vAlign w:val="bottom"/>
          </w:tcPr>
          <w:p>
            <w:pPr>
              <w:spacing w:after="0"/>
              <w:rPr>
                <w:sz w:val="11"/>
                <w:szCs w:val="11"/>
                <w:color w:val="auto"/>
              </w:rPr>
            </w:pPr>
          </w:p>
        </w:tc>
        <w:tc>
          <w:tcPr>
            <w:tcW w:w="7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8"/>
              </w:rPr>
              <w:t>January 29,</w:t>
            </w:r>
          </w:p>
        </w:tc>
        <w:tc>
          <w:tcPr>
            <w:tcW w:w="300" w:type="dxa"/>
            <w:vAlign w:val="bottom"/>
            <w:tcBorders>
              <w:top w:val="single" w:sz="8" w:color="auto"/>
            </w:tcBorders>
          </w:tcPr>
          <w:p>
            <w:pPr>
              <w:spacing w:after="0"/>
              <w:rPr>
                <w:sz w:val="11"/>
                <w:szCs w:val="11"/>
                <w:color w:val="auto"/>
              </w:rPr>
            </w:pPr>
          </w:p>
        </w:tc>
        <w:tc>
          <w:tcPr>
            <w:tcW w:w="9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70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January 30,</w:t>
            </w:r>
          </w:p>
        </w:tc>
        <w:tc>
          <w:tcPr>
            <w:tcW w:w="300" w:type="dxa"/>
            <w:vAlign w:val="bottom"/>
          </w:tcPr>
          <w:p>
            <w:pPr>
              <w:spacing w:after="0"/>
              <w:rPr>
                <w:sz w:val="11"/>
                <w:szCs w:val="11"/>
                <w:color w:val="auto"/>
              </w:rPr>
            </w:pPr>
          </w:p>
        </w:tc>
        <w:tc>
          <w:tcPr>
            <w:tcW w:w="1120" w:type="dxa"/>
            <w:vAlign w:val="bottom"/>
            <w:tcBorders>
              <w:top w:val="single" w:sz="8" w:color="auto"/>
            </w:tcBorders>
            <w:gridSpan w:val="3"/>
          </w:tcPr>
          <w:p>
            <w:pPr>
              <w:jc w:val="right"/>
              <w:ind w:right="380"/>
              <w:spacing w:after="0" w:line="129" w:lineRule="exact"/>
              <w:rPr>
                <w:sz w:val="20"/>
                <w:szCs w:val="20"/>
                <w:color w:val="auto"/>
              </w:rPr>
            </w:pPr>
            <w:r>
              <w:rPr>
                <w:rFonts w:ascii="Arial" w:cs="Arial" w:eastAsia="Arial" w:hAnsi="Arial"/>
                <w:sz w:val="14"/>
                <w:szCs w:val="14"/>
                <w:b w:val="1"/>
                <w:bCs w:val="1"/>
                <w:color w:val="auto"/>
                <w:w w:val="93"/>
              </w:rPr>
              <w:t>January 29,</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2011</w:t>
            </w: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2011</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520" w:type="dxa"/>
            <w:vAlign w:val="bottom"/>
            <w:gridSpan w:val="2"/>
            <w:shd w:val="clear" w:color="auto" w:fill="CCEEFF"/>
          </w:tcPr>
          <w:p>
            <w:pPr>
              <w:ind w:left="142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900,513</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959,327</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842,535</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4"/>
              </w:rPr>
              <w:t>3,611,893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2,807,687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Cost of goods sold</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371,799</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390,808</w:t>
            </w:r>
          </w:p>
        </w:tc>
        <w:tc>
          <w:tcPr>
            <w:tcW w:w="3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339,790</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1,473,274</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1,227,096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528,714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568,519</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502,745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2,138,619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1,580,591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Operating expenses: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231,836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218,420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213,024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897,578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828,176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40,444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39,751</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37,144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155,481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139,404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26,706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29,576</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22,506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104,830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171,362</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98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14,005</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21,770</w:t>
            </w:r>
          </w:p>
        </w:tc>
        <w:tc>
          <w:tcPr>
            <w:tcW w:w="3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24,282</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79,538</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107,534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312,991</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309,517</w:t>
            </w:r>
          </w:p>
        </w:tc>
        <w:tc>
          <w:tcPr>
            <w:tcW w:w="3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296,956</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1,237,427</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1,246,476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00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1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215,723</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259,002</w:t>
            </w:r>
          </w:p>
        </w:tc>
        <w:tc>
          <w:tcPr>
            <w:tcW w:w="3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205,789</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901,192</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334,115</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10,475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(1,665)</w:t>
            </w: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10,249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9,270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8,995</w:t>
            </w:r>
          </w:p>
        </w:tc>
        <w:tc>
          <w:tcPr>
            <w:tcW w:w="0" w:type="dxa"/>
            <w:vAlign w:val="bottom"/>
          </w:tcPr>
          <w:p>
            <w:pPr>
              <w:spacing w:after="0"/>
              <w:rPr>
                <w:sz w:val="1"/>
                <w:szCs w:val="1"/>
                <w:color w:val="auto"/>
              </w:rPr>
            </w:pPr>
          </w:p>
        </w:tc>
      </w:tr>
      <w:tr>
        <w:trPr>
          <w:trHeight w:val="221"/>
        </w:trPr>
        <w:tc>
          <w:tcPr>
            <w:tcW w:w="500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14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226,198</w:t>
            </w:r>
          </w:p>
        </w:tc>
        <w:tc>
          <w:tcPr>
            <w:tcW w:w="3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257,337</w:t>
            </w:r>
          </w:p>
        </w:tc>
        <w:tc>
          <w:tcPr>
            <w:tcW w:w="3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216,038</w:t>
            </w:r>
          </w:p>
        </w:tc>
        <w:tc>
          <w:tcPr>
            <w:tcW w:w="3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910,462</w:t>
            </w: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343,110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1,605</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11,217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6,333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(10,346)</w:t>
            </w:r>
          </w:p>
        </w:tc>
        <w:tc>
          <w:tcPr>
            <w:tcW w:w="0" w:type="dxa"/>
            <w:vAlign w:val="bottom"/>
          </w:tcPr>
          <w:p>
            <w:pPr>
              <w:spacing w:after="0"/>
              <w:rPr>
                <w:sz w:val="1"/>
                <w:szCs w:val="1"/>
                <w:color w:val="auto"/>
              </w:rPr>
            </w:pPr>
          </w:p>
        </w:tc>
      </w:tr>
      <w:tr>
        <w:trPr>
          <w:trHeight w:val="222"/>
        </w:trPr>
        <w:tc>
          <w:tcPr>
            <w:tcW w:w="500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142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222,853</w:t>
            </w:r>
          </w:p>
        </w:tc>
        <w:tc>
          <w:tcPr>
            <w:tcW w:w="30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255,732</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204,821</w:t>
            </w:r>
          </w:p>
        </w:tc>
        <w:tc>
          <w:tcPr>
            <w:tcW w:w="3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904,129</w:t>
            </w:r>
          </w:p>
        </w:tc>
        <w:tc>
          <w:tcPr>
            <w:tcW w:w="3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353,456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8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14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0.39</w:t>
            </w:r>
          </w:p>
        </w:tc>
        <w:tc>
          <w:tcPr>
            <w:tcW w:w="3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0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14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00" w:type="dxa"/>
            <w:vAlign w:val="bottom"/>
            <w:gridSpan w:val="2"/>
            <w:vMerge w:val="continue"/>
          </w:tcPr>
          <w:p>
            <w:pPr>
              <w:spacing w:after="0"/>
              <w:rPr>
                <w:sz w:val="18"/>
                <w:szCs w:val="18"/>
                <w:color w:val="auto"/>
              </w:rPr>
            </w:pPr>
          </w:p>
        </w:tc>
        <w:tc>
          <w:tcPr>
            <w:tcW w:w="1520" w:type="dxa"/>
            <w:vAlign w:val="bottom"/>
            <w:gridSpan w:val="2"/>
          </w:tcPr>
          <w:p>
            <w:pPr>
              <w:ind w:left="142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0.33</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0.38</w:t>
            </w:r>
          </w:p>
        </w:tc>
        <w:tc>
          <w:tcPr>
            <w:tcW w:w="30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0.31</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1.34</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0.54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8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980" w:type="dxa"/>
            <w:vAlign w:val="bottom"/>
          </w:tcPr>
          <w:p>
            <w:pPr>
              <w:spacing w:after="0"/>
              <w:rPr>
                <w:sz w:val="8"/>
                <w:szCs w:val="8"/>
                <w:color w:val="auto"/>
              </w:rPr>
            </w:pPr>
          </w:p>
        </w:tc>
        <w:tc>
          <w:tcPr>
            <w:tcW w:w="14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654,650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649,782</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631,118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648,347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623,934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679,445</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674,789</w:t>
            </w:r>
          </w:p>
        </w:tc>
        <w:tc>
          <w:tcPr>
            <w:tcW w:w="3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668,623</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676,878</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653,741</w:t>
            </w:r>
          </w:p>
        </w:tc>
        <w:tc>
          <w:tcPr>
            <w:tcW w:w="0" w:type="dxa"/>
            <w:vAlign w:val="bottom"/>
          </w:tcPr>
          <w:p>
            <w:pPr>
              <w:spacing w:after="0"/>
              <w:rPr>
                <w:sz w:val="1"/>
                <w:szCs w:val="1"/>
                <w:color w:val="auto"/>
              </w:rPr>
            </w:pPr>
          </w:p>
        </w:tc>
      </w:tr>
      <w:tr>
        <w:trPr>
          <w:trHeight w:val="356"/>
        </w:trPr>
        <w:tc>
          <w:tcPr>
            <w:tcW w:w="20" w:type="dxa"/>
            <w:vAlign w:val="bottom"/>
          </w:tcPr>
          <w:p>
            <w:pPr>
              <w:spacing w:after="0"/>
              <w:rPr>
                <w:sz w:val="24"/>
                <w:szCs w:val="24"/>
                <w:color w:val="auto"/>
              </w:rPr>
            </w:pPr>
          </w:p>
        </w:tc>
        <w:tc>
          <w:tcPr>
            <w:tcW w:w="4980" w:type="dxa"/>
            <w:vAlign w:val="bottom"/>
          </w:tcPr>
          <w:p>
            <w:pPr>
              <w:spacing w:after="0"/>
              <w:rPr>
                <w:sz w:val="24"/>
                <w:szCs w:val="24"/>
                <w:color w:val="auto"/>
              </w:rPr>
            </w:pPr>
          </w:p>
        </w:tc>
        <w:tc>
          <w:tcPr>
            <w:tcW w:w="1420" w:type="dxa"/>
            <w:vAlign w:val="bottom"/>
          </w:tcPr>
          <w:p>
            <w:pPr>
              <w:jc w:val="right"/>
              <w:ind w:right="572"/>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GAAP Net Income to Non-GAAP Net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60" w:type="dxa"/>
            <w:vAlign w:val="bottom"/>
            <w:gridSpan w:val="4"/>
          </w:tcPr>
          <w:p>
            <w:pPr>
              <w:jc w:val="right"/>
              <w:ind w:right="100"/>
              <w:spacing w:after="0"/>
              <w:rPr>
                <w:sz w:val="20"/>
                <w:szCs w:val="20"/>
                <w:color w:val="auto"/>
              </w:rPr>
            </w:pPr>
            <w:r>
              <w:rPr>
                <w:rFonts w:ascii="Arial" w:cs="Arial" w:eastAsia="Arial" w:hAnsi="Arial"/>
                <w:sz w:val="14"/>
                <w:szCs w:val="14"/>
                <w:b w:val="1"/>
                <w:bCs w:val="1"/>
                <w:color w:val="auto"/>
                <w:w w:val="89"/>
              </w:rPr>
              <w:t>Three Months Ended</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8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January 29,</w:t>
            </w:r>
          </w:p>
        </w:tc>
        <w:tc>
          <w:tcPr>
            <w:tcW w:w="30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January 30,</w:t>
            </w:r>
          </w:p>
        </w:tc>
        <w:tc>
          <w:tcPr>
            <w:tcW w:w="3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60" w:type="dxa"/>
            <w:vAlign w:val="bottom"/>
            <w:tcBorders>
              <w:top w:val="single" w:sz="8" w:color="auto"/>
            </w:tcBorders>
            <w:gridSpan w:val="3"/>
          </w:tcPr>
          <w:p>
            <w:pPr>
              <w:jc w:val="right"/>
              <w:ind w:right="520"/>
              <w:spacing w:after="0" w:line="129" w:lineRule="exact"/>
              <w:rPr>
                <w:sz w:val="20"/>
                <w:szCs w:val="20"/>
                <w:color w:val="auto"/>
              </w:rPr>
            </w:pPr>
            <w:r>
              <w:rPr>
                <w:rFonts w:ascii="Arial" w:cs="Arial" w:eastAsia="Arial" w:hAnsi="Arial"/>
                <w:sz w:val="14"/>
                <w:szCs w:val="14"/>
                <w:b w:val="1"/>
                <w:bCs w:val="1"/>
                <w:color w:val="auto"/>
                <w:w w:val="93"/>
              </w:rPr>
              <w:t>January 29,</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30,</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7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2011</w:t>
            </w:r>
          </w:p>
        </w:tc>
        <w:tc>
          <w:tcPr>
            <w:tcW w:w="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2010</w:t>
            </w:r>
          </w:p>
        </w:tc>
        <w:tc>
          <w:tcPr>
            <w:tcW w:w="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w:t>
            </w:r>
          </w:p>
        </w:tc>
        <w:tc>
          <w:tcPr>
            <w:tcW w:w="100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222,853</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255,732</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204,821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904,129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353,456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31,279</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29,541</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30,559</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80"/>
              <w:spacing w:after="0"/>
              <w:rPr>
                <w:sz w:val="20"/>
                <w:szCs w:val="20"/>
                <w:color w:val="auto"/>
              </w:rPr>
            </w:pPr>
            <w:r>
              <w:rPr>
                <w:rFonts w:ascii="Arial" w:cs="Arial" w:eastAsia="Arial" w:hAnsi="Arial"/>
                <w:sz w:val="18"/>
                <w:szCs w:val="18"/>
                <w:color w:val="auto"/>
              </w:rPr>
              <w:t>118,405</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126,599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14,005</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21,770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24,282</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79,538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107,534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spacing w:after="0"/>
              <w:rPr>
                <w:sz w:val="20"/>
                <w:szCs w:val="20"/>
                <w:color w:val="auto"/>
              </w:rPr>
            </w:pPr>
            <w:r>
              <w:rPr>
                <w:rFonts w:ascii="Arial" w:cs="Arial" w:eastAsia="Arial" w:hAnsi="Arial"/>
                <w:sz w:val="18"/>
                <w:szCs w:val="18"/>
                <w:color w:val="auto"/>
              </w:rPr>
              <w:t xml:space="preserve">Restructuring </w:t>
            </w:r>
            <w:r>
              <w:rPr>
                <w:rFonts w:ascii="Arial" w:cs="Arial" w:eastAsia="Arial" w:hAnsi="Arial"/>
                <w:sz w:val="18"/>
                <w:szCs w:val="18"/>
                <w:i w:val="1"/>
                <w:iCs w:val="1"/>
                <w:color w:val="auto"/>
              </w:rPr>
              <w:t>(a)</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679</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259</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6,452</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3,183</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21,663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4,062</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8,435</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38,229</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760" w:type="dxa"/>
            <w:vAlign w:val="bottom"/>
          </w:tcPr>
          <w:p>
            <w:pPr>
              <w:spacing w:after="0"/>
              <w:rPr>
                <w:sz w:val="20"/>
                <w:szCs w:val="20"/>
                <w:color w:val="auto"/>
              </w:rPr>
            </w:pPr>
            <w:r>
              <w:rPr>
                <w:rFonts w:ascii="Arial" w:cs="Arial" w:eastAsia="Arial" w:hAnsi="Arial"/>
                <w:sz w:val="18"/>
                <w:szCs w:val="18"/>
                <w:color w:val="auto"/>
              </w:rPr>
              <w:t>Other</w:t>
            </w:r>
          </w:p>
        </w:tc>
        <w:tc>
          <w:tcPr>
            <w:tcW w:w="9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272,878</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307,302</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266,114</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11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84"/>
              </w:rPr>
              <w:t>1,113,690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648,471</w:t>
            </w:r>
          </w:p>
        </w:tc>
        <w:tc>
          <w:tcPr>
            <w:tcW w:w="0" w:type="dxa"/>
            <w:vAlign w:val="bottom"/>
          </w:tcPr>
          <w:p>
            <w:pPr>
              <w:spacing w:after="0"/>
              <w:rPr>
                <w:sz w:val="1"/>
                <w:szCs w:val="1"/>
                <w:color w:val="auto"/>
              </w:rPr>
            </w:pPr>
          </w:p>
        </w:tc>
      </w:tr>
      <w:tr>
        <w:trPr>
          <w:trHeight w:val="20"/>
        </w:trPr>
        <w:tc>
          <w:tcPr>
            <w:tcW w:w="4780" w:type="dxa"/>
            <w:vAlign w:val="bottom"/>
            <w:gridSpan w:val="2"/>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7"/>
        </w:trPr>
        <w:tc>
          <w:tcPr>
            <w:tcW w:w="4780" w:type="dxa"/>
            <w:vAlign w:val="bottom"/>
            <w:gridSpan w:val="2"/>
          </w:tcPr>
          <w:p>
            <w:pPr>
              <w:spacing w:after="0"/>
              <w:rPr>
                <w:sz w:val="20"/>
                <w:szCs w:val="20"/>
                <w:color w:val="auto"/>
              </w:rPr>
            </w:pPr>
            <w:r>
              <w:rPr>
                <w:rFonts w:ascii="Arial" w:cs="Arial" w:eastAsia="Arial" w:hAnsi="Arial"/>
                <w:sz w:val="18"/>
                <w:szCs w:val="18"/>
                <w:color w:val="auto"/>
              </w:rPr>
              <w:t>GAAP weighted average shares - diluted</w:t>
            </w:r>
          </w:p>
        </w:tc>
        <w:tc>
          <w:tcPr>
            <w:tcW w:w="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679,445</w:t>
            </w:r>
          </w:p>
        </w:tc>
        <w:tc>
          <w:tcPr>
            <w:tcW w:w="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674,789</w:t>
            </w: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668,623</w:t>
            </w: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676,878</w:t>
            </w: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653,741</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9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5,760</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2,710</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3,598</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3,728</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3,126</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780" w:type="dxa"/>
            <w:vAlign w:val="bottom"/>
            <w:gridSpan w:val="2"/>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(c)</w:t>
            </w:r>
          </w:p>
        </w:tc>
        <w:tc>
          <w:tcPr>
            <w:tcW w:w="9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685,205</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677,499</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672,221</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680,606</w:t>
            </w: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656,867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6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760" w:type="dxa"/>
            <w:vAlign w:val="bottom"/>
          </w:tcPr>
          <w:p>
            <w:pPr>
              <w:spacing w:after="0"/>
              <w:rPr>
                <w:sz w:val="8"/>
                <w:szCs w:val="8"/>
                <w:color w:val="auto"/>
              </w:rPr>
            </w:pPr>
          </w:p>
        </w:tc>
        <w:tc>
          <w:tcPr>
            <w:tcW w:w="9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income per share</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0.38</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0.31</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0.54</w:t>
            </w:r>
          </w:p>
        </w:tc>
        <w:tc>
          <w:tcPr>
            <w:tcW w:w="0" w:type="dxa"/>
            <w:vAlign w:val="bottom"/>
          </w:tcPr>
          <w:p>
            <w:pPr>
              <w:spacing w:after="0"/>
              <w:rPr>
                <w:sz w:val="1"/>
                <w:szCs w:val="1"/>
                <w:color w:val="auto"/>
              </w:rPr>
            </w:pPr>
          </w:p>
        </w:tc>
      </w:tr>
      <w:tr>
        <w:trPr>
          <w:trHeight w:val="20"/>
        </w:trPr>
        <w:tc>
          <w:tcPr>
            <w:tcW w:w="4780" w:type="dxa"/>
            <w:vAlign w:val="bottom"/>
            <w:gridSpan w:val="2"/>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780" w:type="dxa"/>
            <w:vAlign w:val="bottom"/>
            <w:gridSpan w:val="2"/>
            <w:vMerge w:val="continue"/>
          </w:tcPr>
          <w:p>
            <w:pPr>
              <w:spacing w:after="0"/>
              <w:rPr>
                <w:sz w:val="18"/>
                <w:szCs w:val="18"/>
                <w:color w:val="auto"/>
              </w:rPr>
            </w:pPr>
          </w:p>
        </w:tc>
        <w:tc>
          <w:tcPr>
            <w:tcW w:w="1000" w:type="dxa"/>
            <w:vAlign w:val="bottom"/>
            <w:gridSpan w:val="2"/>
          </w:tcPr>
          <w:p>
            <w:pPr>
              <w:ind w:left="9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0.40</w:t>
            </w:r>
          </w:p>
        </w:tc>
        <w:tc>
          <w:tcPr>
            <w:tcW w:w="180" w:type="dxa"/>
            <w:vAlign w:val="bottom"/>
          </w:tcPr>
          <w:p>
            <w:pPr>
              <w:spacing w:after="0"/>
              <w:rPr>
                <w:sz w:val="18"/>
                <w:szCs w:val="18"/>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0.45</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0.40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1.64</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0.99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6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100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528,714</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568,519</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502,745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2,138,619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1,580,591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1,776</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1,818</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2,375</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7,522</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10,690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w:t>
            </w:r>
          </w:p>
        </w:tc>
        <w:tc>
          <w:tcPr>
            <w:tcW w:w="9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4,062</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8,435</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78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1000" w:type="dxa"/>
            <w:vAlign w:val="bottom"/>
            <w:gridSpan w:val="2"/>
          </w:tcPr>
          <w:p>
            <w:pPr>
              <w:ind w:left="9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534,552</w:t>
            </w:r>
          </w:p>
        </w:tc>
        <w:tc>
          <w:tcPr>
            <w:tcW w:w="180" w:type="dxa"/>
            <w:vAlign w:val="bottom"/>
          </w:tcPr>
          <w:p>
            <w:pPr>
              <w:spacing w:after="0"/>
              <w:rPr>
                <w:sz w:val="19"/>
                <w:szCs w:val="19"/>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u w:val="single" w:color="auto"/>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570,337</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505,120</w:t>
            </w:r>
          </w:p>
        </w:tc>
        <w:tc>
          <w:tcPr>
            <w:tcW w:w="2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2,154,576</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1,592,271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6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760" w:type="dxa"/>
            <w:vAlign w:val="bottom"/>
          </w:tcPr>
          <w:p>
            <w:pPr>
              <w:spacing w:after="0"/>
              <w:rPr>
                <w:sz w:val="8"/>
                <w:szCs w:val="8"/>
                <w:color w:val="auto"/>
              </w:rPr>
            </w:pPr>
          </w:p>
        </w:tc>
        <w:tc>
          <w:tcPr>
            <w:tcW w:w="9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 as a % of revenue</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58.7%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59.3%</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59.7%</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59.2%</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0.2%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0.2%</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0.3%</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0.3%</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0.0%</w:t>
            </w:r>
          </w:p>
        </w:tc>
        <w:tc>
          <w:tcPr>
            <w:tcW w:w="0" w:type="dxa"/>
            <w:vAlign w:val="bottom"/>
          </w:tcPr>
          <w:p>
            <w:pPr>
              <w:spacing w:after="0"/>
              <w:rPr>
                <w:sz w:val="1"/>
                <w:szCs w:val="1"/>
                <w:color w:val="auto"/>
              </w:rPr>
            </w:pPr>
          </w:p>
        </w:tc>
      </w:tr>
      <w:tr>
        <w:trPr>
          <w:trHeight w:val="20"/>
        </w:trPr>
        <w:tc>
          <w:tcPr>
            <w:tcW w:w="4780" w:type="dxa"/>
            <w:vAlign w:val="bottom"/>
            <w:gridSpan w:val="2"/>
            <w:vMerge w:val="restart"/>
          </w:tcPr>
          <w:p>
            <w:pPr>
              <w:spacing w:after="0"/>
              <w:rPr>
                <w:sz w:val="20"/>
                <w:szCs w:val="20"/>
                <w:color w:val="auto"/>
              </w:rPr>
            </w:pPr>
            <w:r>
              <w:rPr>
                <w:rFonts w:ascii="Arial" w:cs="Arial" w:eastAsia="Arial" w:hAnsi="Arial"/>
                <w:sz w:val="18"/>
                <w:szCs w:val="18"/>
                <w:color w:val="auto"/>
              </w:rPr>
              <w:t>Non-GAAP gross profit</w:t>
            </w:r>
          </w:p>
        </w:tc>
        <w:tc>
          <w:tcPr>
            <w:tcW w:w="9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780" w:type="dxa"/>
            <w:vAlign w:val="bottom"/>
            <w:gridSpan w:val="2"/>
            <w:vMerge w:val="continue"/>
          </w:tcPr>
          <w:p>
            <w:pPr>
              <w:spacing w:after="0"/>
              <w:rPr>
                <w:sz w:val="19"/>
                <w:szCs w:val="19"/>
                <w:color w:val="auto"/>
              </w:rPr>
            </w:pPr>
          </w:p>
        </w:tc>
        <w:tc>
          <w:tcPr>
            <w:tcW w:w="9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59.4%</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59.5%</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60.0%</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59.7%</w:t>
            </w:r>
          </w:p>
        </w:tc>
        <w:tc>
          <w:tcPr>
            <w:tcW w:w="100" w:type="dxa"/>
            <w:vAlign w:val="bottom"/>
          </w:tcPr>
          <w:p>
            <w:pPr>
              <w:spacing w:after="0"/>
              <w:rPr>
                <w:sz w:val="19"/>
                <w:szCs w:val="19"/>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56.7%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6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760" w:type="dxa"/>
            <w:vAlign w:val="bottom"/>
          </w:tcPr>
          <w:p>
            <w:pPr>
              <w:spacing w:after="0"/>
              <w:rPr>
                <w:sz w:val="8"/>
                <w:szCs w:val="8"/>
                <w:color w:val="auto"/>
              </w:rPr>
            </w:pPr>
          </w:p>
        </w:tc>
        <w:tc>
          <w:tcPr>
            <w:tcW w:w="9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100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231,836</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218,420</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213,024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897,578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828,176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(21,789)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w w:val="92"/>
              </w:rPr>
              <w:t>(19,795)</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w w:val="92"/>
              </w:rPr>
              <w:t>(21,702)</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(82,524)</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(89,766)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(280)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(187)</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(4,342)</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(1,966)</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(15,046)</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760" w:type="dxa"/>
            <w:vAlign w:val="bottom"/>
          </w:tcPr>
          <w:p>
            <w:pPr>
              <w:ind w:left="420"/>
              <w:spacing w:after="0"/>
              <w:rPr>
                <w:sz w:val="20"/>
                <w:szCs w:val="20"/>
                <w:color w:val="auto"/>
              </w:rPr>
            </w:pPr>
            <w:r>
              <w:rPr>
                <w:rFonts w:ascii="Arial" w:cs="Arial" w:eastAsia="Arial" w:hAnsi="Arial"/>
                <w:sz w:val="18"/>
                <w:szCs w:val="18"/>
                <w:color w:val="auto"/>
              </w:rPr>
              <w:t>Legal/Tax settlement</w:t>
            </w:r>
          </w:p>
        </w:tc>
        <w:tc>
          <w:tcPr>
            <w:tcW w:w="9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1,820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209,767</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198,438</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186,980</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813,088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725,184</w:t>
            </w:r>
          </w:p>
        </w:tc>
        <w:tc>
          <w:tcPr>
            <w:tcW w:w="0" w:type="dxa"/>
            <w:vAlign w:val="bottom"/>
          </w:tcPr>
          <w:p>
            <w:pPr>
              <w:spacing w:after="0"/>
              <w:rPr>
                <w:sz w:val="1"/>
                <w:szCs w:val="1"/>
                <w:color w:val="auto"/>
              </w:rPr>
            </w:pPr>
          </w:p>
        </w:tc>
      </w:tr>
      <w:tr>
        <w:trPr>
          <w:trHeight w:val="20"/>
        </w:trPr>
        <w:tc>
          <w:tcPr>
            <w:tcW w:w="4780" w:type="dxa"/>
            <w:vAlign w:val="bottom"/>
            <w:gridSpan w:val="2"/>
            <w:vMerge w:val="restart"/>
          </w:tcPr>
          <w:p>
            <w:pPr>
              <w:spacing w:after="0"/>
              <w:rPr>
                <w:sz w:val="20"/>
                <w:szCs w:val="20"/>
                <w:color w:val="auto"/>
              </w:rPr>
            </w:pPr>
            <w:r>
              <w:rPr>
                <w:rFonts w:ascii="Arial" w:cs="Arial" w:eastAsia="Arial" w:hAnsi="Arial"/>
                <w:sz w:val="18"/>
                <w:szCs w:val="18"/>
                <w:color w:val="auto"/>
              </w:rPr>
              <w:t>GAAP selling and marketing:</w:t>
            </w: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780" w:type="dxa"/>
            <w:vAlign w:val="bottom"/>
            <w:gridSpan w:val="2"/>
            <w:vMerge w:val="continue"/>
          </w:tcPr>
          <w:p>
            <w:pPr>
              <w:spacing w:after="0"/>
              <w:rPr>
                <w:sz w:val="18"/>
                <w:szCs w:val="18"/>
                <w:color w:val="auto"/>
              </w:rPr>
            </w:pPr>
          </w:p>
        </w:tc>
        <w:tc>
          <w:tcPr>
            <w:tcW w:w="1000" w:type="dxa"/>
            <w:vAlign w:val="bottom"/>
            <w:gridSpan w:val="2"/>
          </w:tcPr>
          <w:p>
            <w:pPr>
              <w:ind w:left="9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40,444</w:t>
            </w:r>
          </w:p>
        </w:tc>
        <w:tc>
          <w:tcPr>
            <w:tcW w:w="180" w:type="dxa"/>
            <w:vAlign w:val="bottom"/>
          </w:tcPr>
          <w:p>
            <w:pPr>
              <w:spacing w:after="0"/>
              <w:rPr>
                <w:sz w:val="18"/>
                <w:szCs w:val="18"/>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39,751</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37,144</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155,481</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139,404</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(2,991)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(3,208)</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(3,841)</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(11,769)</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(15,298)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(1,838)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Legal/Tax settlement</w:t>
            </w:r>
          </w:p>
        </w:tc>
        <w:tc>
          <w:tcPr>
            <w:tcW w:w="9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780" w:type="dxa"/>
            <w:vAlign w:val="bottom"/>
            <w:gridSpan w:val="2"/>
          </w:tcPr>
          <w:p>
            <w:pPr>
              <w:spacing w:after="0"/>
              <w:rPr>
                <w:sz w:val="20"/>
                <w:szCs w:val="20"/>
                <w:color w:val="auto"/>
              </w:rPr>
            </w:pPr>
            <w:r>
              <w:rPr>
                <w:rFonts w:ascii="Arial" w:cs="Arial" w:eastAsia="Arial" w:hAnsi="Arial"/>
                <w:sz w:val="18"/>
                <w:szCs w:val="18"/>
                <w:color w:val="auto"/>
              </w:rPr>
              <w:t>Non-GAAP selling and marketing</w:t>
            </w:r>
          </w:p>
        </w:tc>
        <w:tc>
          <w:tcPr>
            <w:tcW w:w="1000" w:type="dxa"/>
            <w:vAlign w:val="bottom"/>
            <w:gridSpan w:val="2"/>
          </w:tcPr>
          <w:p>
            <w:pPr>
              <w:ind w:left="9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37,453</w:t>
            </w:r>
          </w:p>
        </w:tc>
        <w:tc>
          <w:tcPr>
            <w:tcW w:w="180" w:type="dxa"/>
            <w:vAlign w:val="bottom"/>
          </w:tcPr>
          <w:p>
            <w:pPr>
              <w:spacing w:after="0"/>
              <w:rPr>
                <w:sz w:val="19"/>
                <w:szCs w:val="19"/>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36,543</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33,304</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143,712</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122,927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6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760" w:type="dxa"/>
            <w:vAlign w:val="bottom"/>
          </w:tcPr>
          <w:p>
            <w:pPr>
              <w:spacing w:after="0"/>
              <w:rPr>
                <w:sz w:val="8"/>
                <w:szCs w:val="8"/>
                <w:color w:val="auto"/>
              </w:rPr>
            </w:pPr>
          </w:p>
        </w:tc>
        <w:tc>
          <w:tcPr>
            <w:tcW w:w="9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80" w:type="dxa"/>
            <w:vAlign w:val="bottom"/>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100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26,706</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29,576</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22,506</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104,830</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171,362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(4,723)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(4,720)</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(2,641)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(16,590)</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(10,845)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(399)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(72)</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(2,111)</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(1,217)</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(4,779)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ind w:left="420"/>
              <w:spacing w:after="0"/>
              <w:rPr>
                <w:sz w:val="20"/>
                <w:szCs w:val="20"/>
                <w:color w:val="auto"/>
              </w:rPr>
            </w:pPr>
            <w:r>
              <w:rPr>
                <w:rFonts w:ascii="Arial" w:cs="Arial" w:eastAsia="Arial" w:hAnsi="Arial"/>
                <w:sz w:val="18"/>
                <w:szCs w:val="18"/>
                <w:color w:val="auto"/>
              </w:rPr>
              <w:t>Legal/Tax settlement</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(71,842)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760" w:type="dxa"/>
            <w:vAlign w:val="bottom"/>
          </w:tcPr>
          <w:p>
            <w:pPr>
              <w:spacing w:after="0"/>
              <w:rPr>
                <w:sz w:val="2"/>
                <w:szCs w:val="2"/>
                <w:color w:val="auto"/>
              </w:rPr>
            </w:pPr>
          </w:p>
        </w:tc>
        <w:tc>
          <w:tcPr>
            <w:tcW w:w="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21,584</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24,784</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17,754</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87,023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83,896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6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320" w:hanging="452"/>
        <w:spacing w:after="0" w:line="254"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Amounts represent restructuring-related charges, including severance costs from reductions in force and asset impairment, as well as a charge related to facilities impairment.</w:t>
      </w:r>
    </w:p>
    <w:p>
      <w:pPr>
        <w:ind w:left="460" w:right="60" w:hanging="452"/>
        <w:spacing w:after="0" w:line="250"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The three months ended January 29, 2011 includes the portion of a litigation settlement related to the previous periods. The year ended January 29, 2011 include an amount representing the portion of IP litigation settlements related to previous fiscal years from 2003 through 2010. The year ended January 30, 2010 includes a $72.0 million charge in connection with the settlement of a class action litigation. This is offset by a $27.3 million benefit in fiscal 2010 resulting from the expiration of the statute of limitations related to a tax contingency reserve, in addition to a $5.3 million income tax benefit related to the adjustment of a prior year deferred tax asset.</w:t>
      </w:r>
    </w:p>
    <w:p>
      <w:pPr>
        <w:spacing w:after="0" w:line="2" w:lineRule="exact"/>
        <w:rPr>
          <w:rFonts w:ascii="Arial" w:cs="Arial" w:eastAsia="Arial" w:hAnsi="Arial"/>
          <w:sz w:val="18"/>
          <w:szCs w:val="18"/>
          <w:i w:val="1"/>
          <w:iCs w:val="1"/>
          <w:color w:val="auto"/>
        </w:rPr>
      </w:pPr>
    </w:p>
    <w:p>
      <w:pPr>
        <w:ind w:left="460" w:right="380" w:hanging="452"/>
        <w:spacing w:after="0" w:line="323"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benefits of stock compensation costs attributable to future services and not yet recognized in the financial statements.</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274"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12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93"/>
              </w:rPr>
              <w:t>January 29,</w:t>
            </w:r>
          </w:p>
        </w:tc>
        <w:tc>
          <w:tcPr>
            <w:tcW w:w="9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3"/>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assets:</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4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2,930,030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1,796,717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459,406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356,796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245,448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241,541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4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77,763</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70,491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3,712,647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2,465,545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358,440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342,497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34,281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2,129,464</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2,176,763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111,380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151,854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45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4"/>
              </w:rPr>
              <w:t>6,338,157</w:t>
            </w:r>
          </w:p>
        </w:tc>
        <w:tc>
          <w:tcPr>
            <w:tcW w:w="3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5,170,940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840" w:type="dxa"/>
            <w:vAlign w:val="bottom"/>
          </w:tcPr>
          <w:p>
            <w:pPr>
              <w:spacing w:after="0"/>
              <w:rPr>
                <w:sz w:val="8"/>
                <w:szCs w:val="8"/>
                <w:color w:val="auto"/>
              </w:rPr>
            </w:pPr>
          </w:p>
        </w:tc>
        <w:tc>
          <w:tcPr>
            <w:tcW w:w="45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liabilities:</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332,007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283,362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232,007</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207,189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76,161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59,396</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Current portion of capital lease obligations</w:t>
            </w:r>
          </w:p>
        </w:tc>
        <w:tc>
          <w:tcPr>
            <w:tcW w:w="4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511</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1,940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liabilities</w:t>
            </w:r>
          </w:p>
        </w:tc>
        <w:tc>
          <w:tcPr>
            <w:tcW w:w="45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640,686</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551,887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Capital lease obligations, net of current portion</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45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175,602</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200,563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45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816,288</w:t>
            </w:r>
          </w:p>
        </w:tc>
        <w:tc>
          <w:tcPr>
            <w:tcW w:w="3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752,961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5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Common stock</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1,317</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1,277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4,805,588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4,607,844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Accumulated other comprehensive income (loss)</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1,092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(885)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Retained earnings (accumulated deficit)</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713,872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(190,257)</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shareholders’ equity</w:t>
            </w:r>
          </w:p>
        </w:tc>
        <w:tc>
          <w:tcPr>
            <w:tcW w:w="45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4"/>
              </w:rPr>
              <w:t>5,521,869</w:t>
            </w:r>
          </w:p>
        </w:tc>
        <w:tc>
          <w:tcPr>
            <w:tcW w:w="32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4,417,979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6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6,338,157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5,170,940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40" w:type="dxa"/>
            <w:vAlign w:val="bottom"/>
            <w:vMerge w:val="restart"/>
          </w:tcPr>
          <w:p>
            <w:pPr>
              <w:jc w:val="right"/>
              <w:ind w:right="355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45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jc w:val="right"/>
              <w:ind w:right="76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100" w:type="dxa"/>
            <w:vAlign w:val="bottom"/>
          </w:tcPr>
          <w:p>
            <w:pPr>
              <w:spacing w:after="0"/>
              <w:rPr>
                <w:sz w:val="11"/>
                <w:szCs w:val="11"/>
                <w:color w:val="auto"/>
              </w:rPr>
            </w:pPr>
          </w:p>
        </w:tc>
        <w:tc>
          <w:tcPr>
            <w:tcW w:w="980" w:type="dxa"/>
            <w:vAlign w:val="bottom"/>
            <w:tcBorders>
              <w:top w:val="single" w:sz="8" w:color="auto"/>
            </w:tcBorders>
            <w:gridSpan w:val="3"/>
          </w:tcPr>
          <w:p>
            <w:pPr>
              <w:jc w:val="right"/>
              <w:ind w:right="240"/>
              <w:spacing w:after="0" w:line="129" w:lineRule="exact"/>
              <w:rPr>
                <w:sz w:val="20"/>
                <w:szCs w:val="20"/>
                <w:color w:val="auto"/>
              </w:rPr>
            </w:pPr>
            <w:r>
              <w:rPr>
                <w:rFonts w:ascii="Arial" w:cs="Arial" w:eastAsia="Arial" w:hAnsi="Arial"/>
                <w:sz w:val="14"/>
                <w:szCs w:val="14"/>
                <w:b w:val="1"/>
                <w:bCs w:val="1"/>
                <w:color w:val="auto"/>
                <w:w w:val="93"/>
              </w:rPr>
              <w:t>January 29,</w:t>
            </w:r>
          </w:p>
        </w:tc>
        <w:tc>
          <w:tcPr>
            <w:tcW w:w="1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30,</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5"/>
              </w:rPr>
              <w:t>January 29,</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1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2011</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spacing w:after="0"/>
              <w:rPr>
                <w:sz w:val="20"/>
                <w:szCs w:val="20"/>
                <w:color w:val="auto"/>
              </w:rPr>
            </w:pPr>
            <w:r>
              <w:rPr>
                <w:rFonts w:ascii="Arial" w:cs="Arial" w:eastAsia="Arial" w:hAnsi="Arial"/>
                <w:sz w:val="18"/>
                <w:szCs w:val="18"/>
                <w:color w:val="auto"/>
              </w:rPr>
              <w:t>Net income</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222,853</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204,821</w:t>
            </w:r>
          </w:p>
        </w:tc>
        <w:tc>
          <w:tcPr>
            <w:tcW w:w="18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904,129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353,456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24,199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24,238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93,190</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99,214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31,279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30,559</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118,405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126,599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14,005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24,282</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79,538</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107,534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Facilities impairment</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3,986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1,140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(Gain) loss on investments</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3,940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1,667</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13,508</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1,667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acquired inventory sold</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(1,626)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(2,391)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(15,509)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(230)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(472)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(899)</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 taxes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10,599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7,225</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4,113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13,356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Gain on sale of equity investment</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(5,927)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(4,938)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(5,927)</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(4,938)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860"/>
              <w:spacing w:after="0"/>
              <w:rPr>
                <w:sz w:val="20"/>
                <w:szCs w:val="20"/>
                <w:color w:val="auto"/>
              </w:rPr>
            </w:pPr>
            <w:r>
              <w:rPr>
                <w:rFonts w:ascii="Arial" w:cs="Arial" w:eastAsia="Arial" w:hAnsi="Arial"/>
                <w:sz w:val="18"/>
                <w:szCs w:val="18"/>
                <w:color w:val="auto"/>
              </w:rPr>
              <w:t>Restricted cash</w:t>
            </w:r>
          </w:p>
        </w:tc>
        <w:tc>
          <w:tcPr>
            <w:tcW w:w="80" w:type="dxa"/>
            <w:vAlign w:val="bottom"/>
          </w:tcPr>
          <w:p>
            <w:pPr>
              <w:spacing w:after="0"/>
              <w:rPr>
                <w:sz w:val="18"/>
                <w:szCs w:val="18"/>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24,500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receivable</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8,569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37,523</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(102,610)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(134,695)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86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(17,120)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(889)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(1,264)</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82,659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53,954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(11,885)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50,236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(4,326)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86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(21,471)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(30,060)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42,464</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142,002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liabilities and other</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(56,007)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10,420</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(38,059)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(32,268)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860"/>
              <w:spacing w:after="0"/>
              <w:rPr>
                <w:sz w:val="20"/>
                <w:szCs w:val="20"/>
                <w:color w:val="auto"/>
              </w:rPr>
            </w:pPr>
            <w:r>
              <w:rPr>
                <w:rFonts w:ascii="Arial" w:cs="Arial" w:eastAsia="Arial" w:hAnsi="Arial"/>
                <w:sz w:val="18"/>
                <w:szCs w:val="18"/>
                <w:color w:val="auto"/>
              </w:rPr>
              <w:t>Accrued employee compensation</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(5,755)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(1,857)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21,210</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33,292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Deferred income</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(12,055)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(11,877)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16,765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15,661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00" w:type="dxa"/>
            <w:vAlign w:val="bottom"/>
            <w:vMerge w:val="restart"/>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710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250,833</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281,117</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w w:val="94"/>
              </w:rPr>
              <w:t>1,193,548</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811,513</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investing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Purchases of investments</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w w:val="95"/>
              </w:rPr>
              <w:t>(240,817)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w w:val="95"/>
              </w:rPr>
              <w:t>(379,981)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w w:val="86"/>
              </w:rPr>
              <w:t>(1,264,517)</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(806,979)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investments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190,021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108,044</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868,759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118,362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Cash paid for acquisitions, net</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(8,767)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(29,446)</w:t>
            </w: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sales of equity investments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9,192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9,192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(10,495)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(3,048)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(23,144)</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(15,598)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(26,906)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(25,006)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(90,173)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(39,814)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00" w:type="dxa"/>
            <w:vAlign w:val="bottom"/>
            <w:vMerge w:val="restart"/>
          </w:tcPr>
          <w:p>
            <w:pPr>
              <w:ind w:left="86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710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(87,772)</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w w:val="95"/>
              </w:rPr>
              <w:t>(299,991)</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(529,329)</w:t>
            </w: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(744,029)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financing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Repurchase of common stock</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(26,892)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(87,486)</w:t>
            </w: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68,281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76,896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165,954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111,645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(500)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(461)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(1,940)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(1,787)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230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472</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899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677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00" w:type="dxa"/>
            <w:vAlign w:val="bottom"/>
            <w:vMerge w:val="restart"/>
          </w:tcPr>
          <w:p>
            <w:pPr>
              <w:ind w:left="1280"/>
              <w:spacing w:after="0"/>
              <w:rPr>
                <w:sz w:val="20"/>
                <w:szCs w:val="20"/>
                <w:color w:val="auto"/>
              </w:rPr>
            </w:pPr>
            <w:r>
              <w:rPr>
                <w:rFonts w:ascii="Arial" w:cs="Arial" w:eastAsia="Arial" w:hAnsi="Arial"/>
                <w:sz w:val="18"/>
                <w:szCs w:val="18"/>
                <w:color w:val="auto"/>
              </w:rPr>
              <w:t>Net cash (used in) provided by financing activities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10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41,119</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76,907</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77,427</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110,535</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204,180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58,033</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741,646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178,019</w:t>
            </w:r>
          </w:p>
        </w:tc>
        <w:tc>
          <w:tcPr>
            <w:tcW w:w="0" w:type="dxa"/>
            <w:vAlign w:val="bottom"/>
          </w:tcPr>
          <w:p>
            <w:pPr>
              <w:spacing w:after="0"/>
              <w:rPr>
                <w:sz w:val="1"/>
                <w:szCs w:val="1"/>
                <w:color w:val="auto"/>
              </w:rPr>
            </w:pPr>
          </w:p>
        </w:tc>
      </w:tr>
      <w:tr>
        <w:trPr>
          <w:trHeight w:val="20"/>
        </w:trPr>
        <w:tc>
          <w:tcPr>
            <w:tcW w:w="7120" w:type="dxa"/>
            <w:vAlign w:val="bottom"/>
            <w:gridSpan w:val="2"/>
            <w:vMerge w:val="restart"/>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120" w:type="dxa"/>
            <w:vAlign w:val="bottom"/>
            <w:gridSpan w:val="2"/>
            <w:vMerge w:val="continue"/>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1,642,894</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1,047,395</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w w:val="94"/>
              </w:rPr>
              <w:t>1,105,428</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927,409</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1,847,074</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1,105,428</w:t>
            </w:r>
          </w:p>
        </w:tc>
        <w:tc>
          <w:tcPr>
            <w:tcW w:w="1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4"/>
              </w:rPr>
              <w:t>1,847,074</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1,105,428</w:t>
            </w:r>
          </w:p>
        </w:tc>
        <w:tc>
          <w:tcPr>
            <w:tcW w:w="0" w:type="dxa"/>
            <w:vAlign w:val="bottom"/>
          </w:tcPr>
          <w:p>
            <w:pPr>
              <w:spacing w:after="0"/>
              <w:rPr>
                <w:sz w:val="1"/>
                <w:szCs w:val="1"/>
                <w:color w:val="auto"/>
              </w:rPr>
            </w:pPr>
          </w:p>
        </w:tc>
      </w:tr>
      <w:tr>
        <w:trPr>
          <w:trHeight w:val="20"/>
        </w:trPr>
        <w:tc>
          <w:tcPr>
            <w:tcW w:w="7120" w:type="dxa"/>
            <w:vAlign w:val="bottom"/>
            <w:gridSpan w:val="2"/>
            <w:vMerge w:val="restart"/>
          </w:tcPr>
          <w:p>
            <w:pPr>
              <w:jc w:val="right"/>
              <w:ind w:right="1272"/>
              <w:spacing w:after="0"/>
              <w:rPr>
                <w:sz w:val="20"/>
                <w:szCs w:val="20"/>
                <w:color w:val="auto"/>
              </w:rPr>
            </w:pPr>
            <w:r>
              <w:rPr>
                <w:rFonts w:ascii="Arial" w:cs="Arial" w:eastAsia="Arial" w:hAnsi="Arial"/>
                <w:sz w:val="18"/>
                <w:szCs w:val="18"/>
                <w:color w:val="auto"/>
              </w:rPr>
              <w:t>9</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712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2019-12-10T17:51:39Z</dcterms:created>
  <dcterms:modified xsi:type="dcterms:W3CDTF">2019-12-10T17:51:39Z</dcterms:modified>
</cp:coreProperties>
</file>