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UNITED STATES</w:t>
      </w:r>
    </w:p>
    <w:p>
      <w:pPr>
        <w:jc w:val="center"/>
        <w:ind w:right="177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ind w:left="212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13D</w:t>
      </w:r>
    </w:p>
    <w:p>
      <w:pPr>
        <w:spacing w:after="0" w:line="201"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UNDER THE SECURITIES EXCHANGE ACT OF 1934</w:t>
      </w:r>
    </w:p>
    <w:p>
      <w:pPr>
        <w:jc w:val="center"/>
        <w:ind w:right="1659"/>
        <w:spacing w:after="0" w:line="238" w:lineRule="auto"/>
        <w:rPr>
          <w:sz w:val="20"/>
          <w:szCs w:val="20"/>
          <w:color w:val="auto"/>
        </w:rPr>
      </w:pPr>
      <w:r>
        <w:rPr>
          <w:rFonts w:ascii="Courier New" w:cs="Courier New" w:eastAsia="Courier New" w:hAnsi="Courier New"/>
          <w:sz w:val="18"/>
          <w:szCs w:val="18"/>
          <w:color w:val="auto"/>
        </w:rPr>
        <w:t>(AMENDMENT NO. __)*</w:t>
      </w:r>
    </w:p>
    <w:p>
      <w:pPr>
        <w:spacing w:after="0" w:line="202"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Galileo Technology Ltd.</w:t>
      </w:r>
    </w:p>
    <w:p>
      <w:pPr>
        <w:ind w:left="3380"/>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Ordinary Shares, 0.01 New Israeli Shekels par value</w:t>
      </w:r>
    </w:p>
    <w:p>
      <w:pPr>
        <w:jc w:val="center"/>
        <w:ind w:right="1779"/>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M47298100</w:t>
      </w:r>
    </w:p>
    <w:p>
      <w:pPr>
        <w:ind w:left="3480"/>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Matthew Gloss,</w:t>
      </w:r>
    </w:p>
    <w:p>
      <w:pPr>
        <w:ind w:left="2860"/>
        <w:spacing w:after="0" w:line="238" w:lineRule="auto"/>
        <w:rPr>
          <w:sz w:val="20"/>
          <w:szCs w:val="20"/>
          <w:color w:val="auto"/>
        </w:rPr>
      </w:pPr>
      <w:r>
        <w:rPr>
          <w:rFonts w:ascii="Courier New" w:cs="Courier New" w:eastAsia="Courier New" w:hAnsi="Courier New"/>
          <w:sz w:val="18"/>
          <w:szCs w:val="18"/>
          <w:color w:val="auto"/>
        </w:rPr>
        <w:t>Marvell Semiconductor, Inc.</w:t>
      </w:r>
    </w:p>
    <w:p>
      <w:pPr>
        <w:ind w:left="3380"/>
        <w:spacing w:after="0"/>
        <w:rPr>
          <w:sz w:val="20"/>
          <w:szCs w:val="20"/>
          <w:color w:val="auto"/>
        </w:rPr>
      </w:pPr>
      <w:r>
        <w:rPr>
          <w:rFonts w:ascii="Courier New" w:cs="Courier New" w:eastAsia="Courier New" w:hAnsi="Courier New"/>
          <w:sz w:val="18"/>
          <w:szCs w:val="18"/>
          <w:color w:val="auto"/>
        </w:rPr>
        <w:t>645 Almanor Ave.,</w:t>
      </w:r>
    </w:p>
    <w:p>
      <w:pPr>
        <w:ind w:left="3280"/>
        <w:spacing w:after="0" w:line="237" w:lineRule="auto"/>
        <w:rPr>
          <w:sz w:val="20"/>
          <w:szCs w:val="20"/>
          <w:color w:val="auto"/>
        </w:rPr>
      </w:pPr>
      <w:r>
        <w:rPr>
          <w:rFonts w:ascii="Courier New" w:cs="Courier New" w:eastAsia="Courier New" w:hAnsi="Courier New"/>
          <w:sz w:val="18"/>
          <w:szCs w:val="18"/>
          <w:color w:val="auto"/>
        </w:rPr>
        <w:t>Sunnyvale, CA 94086</w:t>
      </w:r>
    </w:p>
    <w:p>
      <w:pPr>
        <w:ind w:left="3480"/>
        <w:spacing w:after="0" w:line="238" w:lineRule="auto"/>
        <w:rPr>
          <w:sz w:val="20"/>
          <w:szCs w:val="20"/>
          <w:color w:val="auto"/>
        </w:rPr>
      </w:pPr>
      <w:r>
        <w:rPr>
          <w:rFonts w:ascii="Courier New" w:cs="Courier New" w:eastAsia="Courier New" w:hAnsi="Courier New"/>
          <w:sz w:val="18"/>
          <w:szCs w:val="18"/>
          <w:color w:val="auto"/>
        </w:rPr>
        <w:t>(408) 222-2500</w:t>
      </w:r>
    </w:p>
    <w:p>
      <w:pPr>
        <w:ind w:left="1280"/>
        <w:spacing w:after="0"/>
        <w:rPr>
          <w:sz w:val="20"/>
          <w:szCs w:val="20"/>
          <w:color w:val="auto"/>
        </w:rPr>
      </w:pPr>
      <w:r>
        <w:rPr>
          <w:rFonts w:ascii="Courier New" w:cs="Courier New" w:eastAsia="Courier New" w:hAnsi="Courier New"/>
          <w:sz w:val="18"/>
          <w:szCs w:val="18"/>
          <w:color w:val="auto"/>
        </w:rPr>
        <w:t>(NAME, ADDRESS AND TELEPHONE NUMBER OF PERSON AUTHORIZED</w:t>
      </w:r>
    </w:p>
    <w:p>
      <w:pPr>
        <w:ind w:left="2220"/>
        <w:spacing w:after="0" w:line="237" w:lineRule="auto"/>
        <w:rPr>
          <w:sz w:val="20"/>
          <w:szCs w:val="20"/>
          <w:color w:val="auto"/>
        </w:rPr>
      </w:pPr>
      <w:r>
        <w:rPr>
          <w:rFonts w:ascii="Courier New" w:cs="Courier New" w:eastAsia="Courier New" w:hAnsi="Courier New"/>
          <w:sz w:val="18"/>
          <w:szCs w:val="18"/>
          <w:color w:val="auto"/>
        </w:rPr>
        <w:t>TO RECEIVE NOTICES AND COMMUNICATIONS)</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October 16, 2000</w:t>
      </w:r>
    </w:p>
    <w:p>
      <w:pPr>
        <w:jc w:val="center"/>
        <w:ind w:right="1659"/>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If the filing person has previously filed a statement on Schedule 13D to report the acquisition that is the subject of this Schedule 13D, and is filing this schedule because of Sections 240.13d-l(e), 240.13d-l(f) or 240.13d-l(g), check the following box. [ ]</w:t>
      </w:r>
    </w:p>
    <w:p>
      <w:pPr>
        <w:spacing w:after="0" w:line="207"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NOTE: Schedules filed in paper format shall include a signed original, and five copies of the schedule, including all exhibits, should be filed with the Commission. See Section 240.13d-7 for other parties to whom copies are to be sent.</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(Continued on following pages)</w:t>
      </w:r>
    </w:p>
    <w:p>
      <w:pPr>
        <w:spacing w:after="0" w:line="201" w:lineRule="exact"/>
        <w:rPr>
          <w:sz w:val="24"/>
          <w:szCs w:val="24"/>
          <w:color w:val="auto"/>
        </w:rPr>
      </w:pPr>
    </w:p>
    <w:p>
      <w:pPr>
        <w:ind w:left="3160"/>
        <w:spacing w:after="0"/>
        <w:rPr>
          <w:sz w:val="20"/>
          <w:szCs w:val="20"/>
          <w:color w:val="auto"/>
        </w:rPr>
      </w:pPr>
      <w:r>
        <w:rPr>
          <w:rFonts w:ascii="Courier New" w:cs="Courier New" w:eastAsia="Courier New" w:hAnsi="Courier New"/>
          <w:sz w:val="18"/>
          <w:szCs w:val="18"/>
          <w:color w:val="auto"/>
        </w:rPr>
        <w:t>(Page 1 of 11 Pages)</w:t>
      </w:r>
    </w:p>
    <w:p>
      <w:pPr>
        <w:spacing w:after="0" w:line="200" w:lineRule="exact"/>
        <w:rPr>
          <w:sz w:val="24"/>
          <w:szCs w:val="24"/>
          <w:color w:val="auto"/>
        </w:rPr>
      </w:pPr>
    </w:p>
    <w:p>
      <w:pPr>
        <w:spacing w:after="0" w:line="20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244" w:right="1440" w:bottom="144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000" w:type="dxa"/>
            <w:vAlign w:val="bottom"/>
          </w:tcPr>
          <w:p>
            <w:pPr>
              <w:jc w:val="right"/>
              <w:ind w:right="2652"/>
              <w:spacing w:after="0"/>
              <w:rPr>
                <w:sz w:val="20"/>
                <w:szCs w:val="20"/>
                <w:color w:val="auto"/>
              </w:rPr>
            </w:pPr>
            <w:r>
              <w:rPr>
                <w:rFonts w:ascii="Courier New" w:cs="Courier New" w:eastAsia="Courier New" w:hAnsi="Courier New"/>
                <w:sz w:val="18"/>
                <w:szCs w:val="18"/>
                <w:color w:val="auto"/>
              </w:rPr>
              <w:t>2</w:t>
            </w:r>
          </w:p>
        </w:tc>
        <w:tc>
          <w:tcPr>
            <w:tcW w:w="2320" w:type="dxa"/>
            <w:vAlign w:val="bottom"/>
          </w:tcPr>
          <w:p>
            <w:pPr>
              <w:spacing w:after="0"/>
              <w:rPr>
                <w:sz w:val="17"/>
                <w:szCs w:val="17"/>
                <w:color w:val="auto"/>
              </w:rPr>
            </w:pPr>
          </w:p>
        </w:tc>
        <w:tc>
          <w:tcPr>
            <w:tcW w:w="3160" w:type="dxa"/>
            <w:vAlign w:val="bottom"/>
          </w:tcPr>
          <w:p>
            <w:pPr>
              <w:spacing w:after="0"/>
              <w:rPr>
                <w:sz w:val="17"/>
                <w:szCs w:val="17"/>
                <w:color w:val="auto"/>
              </w:rPr>
            </w:pPr>
          </w:p>
        </w:tc>
      </w:tr>
      <w:tr>
        <w:trPr>
          <w:trHeight w:val="405"/>
        </w:trPr>
        <w:tc>
          <w:tcPr>
            <w:tcW w:w="1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3000" w:type="dxa"/>
            <w:vAlign w:val="bottom"/>
          </w:tcPr>
          <w:p>
            <w:pPr>
              <w:jc w:val="right"/>
              <w:ind w:right="852"/>
              <w:spacing w:after="0"/>
              <w:rPr>
                <w:sz w:val="20"/>
                <w:szCs w:val="20"/>
                <w:color w:val="auto"/>
              </w:rPr>
            </w:pPr>
            <w:r>
              <w:rPr>
                <w:rFonts w:ascii="Courier New" w:cs="Courier New" w:eastAsia="Courier New" w:hAnsi="Courier New"/>
                <w:sz w:val="18"/>
                <w:szCs w:val="18"/>
                <w:color w:val="auto"/>
                <w:w w:val="99"/>
              </w:rPr>
              <w:t>-------------------</w:t>
            </w:r>
          </w:p>
        </w:tc>
        <w:tc>
          <w:tcPr>
            <w:tcW w:w="2320" w:type="dxa"/>
            <w:vAlign w:val="bottom"/>
          </w:tcPr>
          <w:p>
            <w:pPr>
              <w:spacing w:after="0"/>
              <w:rPr>
                <w:sz w:val="24"/>
                <w:szCs w:val="24"/>
                <w:color w:val="auto"/>
              </w:rPr>
            </w:pPr>
          </w:p>
        </w:tc>
        <w:tc>
          <w:tcPr>
            <w:tcW w:w="316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31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CUSIP No. M47298100</w:t>
            </w:r>
          </w:p>
        </w:tc>
        <w:tc>
          <w:tcPr>
            <w:tcW w:w="23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13D</w:t>
            </w:r>
          </w:p>
        </w:tc>
        <w:tc>
          <w:tcPr>
            <w:tcW w:w="31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Page 2 of 11 Pages</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30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w w:val="99"/>
              </w:rPr>
              <w:t>-------------------</w:t>
            </w:r>
          </w:p>
        </w:tc>
        <w:tc>
          <w:tcPr>
            <w:tcW w:w="2320" w:type="dxa"/>
            <w:vAlign w:val="bottom"/>
          </w:tcPr>
          <w:p>
            <w:pPr>
              <w:spacing w:after="0"/>
              <w:rPr>
                <w:sz w:val="17"/>
                <w:szCs w:val="17"/>
                <w:color w:val="auto"/>
              </w:rPr>
            </w:pPr>
          </w:p>
        </w:tc>
        <w:tc>
          <w:tcPr>
            <w:tcW w:w="3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1160" w:right="2739" w:hanging="836"/>
        <w:spacing w:after="0" w:line="268" w:lineRule="auto"/>
        <w:tabs>
          <w:tab w:leader="none" w:pos="1160"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Name of Reporting Persons: Marvell Technology Group Ltd. I.R.S. Identification Nos. of above persons (entities only):</w:t>
      </w:r>
    </w:p>
    <w:p>
      <w:pPr>
        <w:ind w:left="11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77-0481679.</w:t>
      </w:r>
    </w:p>
    <w:p>
      <w:pPr>
        <w:spacing w:after="0" w:line="4"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160" w:hanging="836"/>
        <w:spacing w:after="0" w:line="238" w:lineRule="auto"/>
        <w:tabs>
          <w:tab w:leader="none" w:pos="1160" w:val="left"/>
        </w:tabs>
        <w:numPr>
          <w:ilvl w:val="1"/>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 (See Instructions)</w:t>
      </w:r>
    </w:p>
    <w:p>
      <w:pPr>
        <w:ind w:left="1900" w:hanging="733"/>
        <w:spacing w:after="0" w:line="238" w:lineRule="auto"/>
        <w:tabs>
          <w:tab w:leader="none" w:pos="1900" w:val="left"/>
        </w:tabs>
        <w:numPr>
          <w:ilvl w:val="2"/>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1900" w:hanging="733"/>
        <w:spacing w:after="0" w:line="238" w:lineRule="auto"/>
        <w:tabs>
          <w:tab w:leader="none" w:pos="1900" w:val="left"/>
        </w:tabs>
        <w:numPr>
          <w:ilvl w:val="2"/>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4"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160" w:hanging="836"/>
        <w:spacing w:after="0" w:line="238" w:lineRule="auto"/>
        <w:tabs>
          <w:tab w:leader="none" w:pos="116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160" w:hanging="836"/>
        <w:spacing w:after="0" w:line="238" w:lineRule="auto"/>
        <w:tabs>
          <w:tab w:leader="none" w:pos="1160" w:val="left"/>
        </w:tabs>
        <w:numPr>
          <w:ilvl w:val="1"/>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Source of Funds (See Instructions):</w:t>
      </w:r>
    </w:p>
    <w:p>
      <w:pPr>
        <w:ind w:left="5700"/>
        <w:spacing w:after="0"/>
        <w:rPr>
          <w:sz w:val="20"/>
          <w:szCs w:val="20"/>
          <w:color w:val="auto"/>
        </w:rPr>
      </w:pPr>
      <w:r>
        <w:rPr>
          <w:rFonts w:ascii="Courier New" w:cs="Courier New" w:eastAsia="Courier New" w:hAnsi="Courier New"/>
          <w:sz w:val="18"/>
          <w:szCs w:val="18"/>
          <w:color w:val="auto"/>
        </w:rPr>
        <w:t>WC and/or OO</w:t>
      </w:r>
    </w:p>
    <w:p>
      <w:pPr>
        <w:spacing w:after="0" w:line="3" w:lineRule="exact"/>
        <w:rPr>
          <w:sz w:val="20"/>
          <w:szCs w:val="20"/>
          <w:color w:val="auto"/>
        </w:rPr>
      </w:pPr>
    </w:p>
    <w:p>
      <w:pPr>
        <w:ind w:left="220" w:hanging="212"/>
        <w:spacing w:after="0"/>
        <w:tabs>
          <w:tab w:leader="none" w:pos="22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160" w:hanging="836"/>
        <w:spacing w:after="0" w:line="238" w:lineRule="auto"/>
        <w:tabs>
          <w:tab w:leader="none" w:pos="1160"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Disclosure of Legal Proceedings is Required Pursuant:</w:t>
      </w:r>
    </w:p>
    <w:p>
      <w:pPr>
        <w:ind w:left="5380"/>
        <w:spacing w:after="0"/>
        <w:tabs>
          <w:tab w:leader="none" w:pos="8100" w:val="left"/>
        </w:tabs>
        <w:rPr>
          <w:sz w:val="20"/>
          <w:szCs w:val="20"/>
          <w:color w:val="auto"/>
        </w:rPr>
      </w:pPr>
      <w:r>
        <w:rPr>
          <w:rFonts w:ascii="Courier New" w:cs="Courier New" w:eastAsia="Courier New" w:hAnsi="Courier New"/>
          <w:sz w:val="18"/>
          <w:szCs w:val="18"/>
          <w:color w:val="auto"/>
        </w:rPr>
        <w:t>to Items 2(d) or 2(e)</w:t>
      </w:r>
      <w:r>
        <w:rPr>
          <w:sz w:val="20"/>
          <w:szCs w:val="20"/>
          <w:color w:val="auto"/>
        </w:rPr>
        <w:tab/>
      </w:r>
      <w:r>
        <w:rPr>
          <w:rFonts w:ascii="Courier New" w:cs="Courier New" w:eastAsia="Courier New" w:hAnsi="Courier New"/>
          <w:sz w:val="16"/>
          <w:szCs w:val="16"/>
          <w:color w:val="auto"/>
        </w:rPr>
        <w:t>[ ]</w:t>
      </w:r>
    </w:p>
    <w:p>
      <w:pPr>
        <w:spacing w:after="0" w:line="3" w:lineRule="exact"/>
        <w:rPr>
          <w:sz w:val="20"/>
          <w:szCs w:val="20"/>
          <w:color w:val="auto"/>
        </w:rPr>
      </w:pPr>
    </w:p>
    <w:p>
      <w:pPr>
        <w:ind w:left="220" w:hanging="212"/>
        <w:spacing w:after="0"/>
        <w:tabs>
          <w:tab w:leader="none" w:pos="22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160" w:hanging="836"/>
        <w:spacing w:after="0" w:line="238" w:lineRule="auto"/>
        <w:tabs>
          <w:tab w:leader="none" w:pos="1160" w:val="left"/>
        </w:tabs>
        <w:numPr>
          <w:ilvl w:val="1"/>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ind w:left="5700"/>
        <w:spacing w:after="0"/>
        <w:rPr>
          <w:sz w:val="20"/>
          <w:szCs w:val="20"/>
          <w:color w:val="auto"/>
        </w:rPr>
      </w:pPr>
      <w:r>
        <w:rPr>
          <w:rFonts w:ascii="Courier New" w:cs="Courier New" w:eastAsia="Courier New" w:hAnsi="Courier New"/>
          <w:sz w:val="18"/>
          <w:szCs w:val="18"/>
          <w:color w:val="auto"/>
        </w:rPr>
        <w:t>Bermuda</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2420" w:type="dxa"/>
            <w:vAlign w:val="bottom"/>
          </w:tcPr>
          <w:p>
            <w:pPr>
              <w:spacing w:after="0"/>
              <w:rPr>
                <w:sz w:val="20"/>
                <w:szCs w:val="20"/>
                <w:color w:val="auto"/>
              </w:rPr>
            </w:pPr>
            <w:r>
              <w:rPr>
                <w:rFonts w:ascii="Courier New" w:cs="Courier New" w:eastAsia="Courier New" w:hAnsi="Courier New"/>
                <w:sz w:val="18"/>
                <w:szCs w:val="18"/>
                <w:color w:val="auto"/>
              </w:rPr>
              <w:t>NUMBER OF SHARES</w:t>
            </w:r>
          </w:p>
        </w:tc>
        <w:tc>
          <w:tcPr>
            <w:tcW w:w="1380" w:type="dxa"/>
            <w:vAlign w:val="bottom"/>
          </w:tcPr>
          <w:p>
            <w:pPr>
              <w:ind w:left="540"/>
              <w:spacing w:after="0"/>
              <w:rPr>
                <w:sz w:val="20"/>
                <w:szCs w:val="20"/>
                <w:color w:val="auto"/>
              </w:rPr>
            </w:pPr>
            <w:r>
              <w:rPr>
                <w:rFonts w:ascii="Courier New" w:cs="Courier New" w:eastAsia="Courier New" w:hAnsi="Courier New"/>
                <w:sz w:val="18"/>
                <w:szCs w:val="18"/>
                <w:color w:val="auto"/>
              </w:rPr>
              <w:t>(7)</w:t>
            </w:r>
          </w:p>
        </w:tc>
        <w:tc>
          <w:tcPr>
            <w:tcW w:w="2160" w:type="dxa"/>
            <w:vAlign w:val="bottom"/>
          </w:tcPr>
          <w:p>
            <w:pPr>
              <w:spacing w:after="0"/>
              <w:rPr>
                <w:sz w:val="20"/>
                <w:szCs w:val="20"/>
                <w:color w:val="auto"/>
              </w:rPr>
            </w:pPr>
            <w:r>
              <w:rPr>
                <w:rFonts w:ascii="Courier New" w:cs="Courier New" w:eastAsia="Courier New" w:hAnsi="Courier New"/>
                <w:sz w:val="18"/>
                <w:szCs w:val="18"/>
                <w:color w:val="auto"/>
              </w:rPr>
              <w:t>Sole Voting</w:t>
            </w:r>
          </w:p>
        </w:tc>
        <w:tc>
          <w:tcPr>
            <w:tcW w:w="2160" w:type="dxa"/>
            <w:vAlign w:val="bottom"/>
          </w:tcPr>
          <w:p>
            <w:pPr>
              <w:spacing w:after="0"/>
              <w:rPr>
                <w:sz w:val="17"/>
                <w:szCs w:val="17"/>
                <w:color w:val="auto"/>
              </w:rPr>
            </w:pPr>
          </w:p>
        </w:tc>
      </w:tr>
      <w:tr>
        <w:trPr>
          <w:trHeight w:val="203"/>
        </w:trPr>
        <w:tc>
          <w:tcPr>
            <w:tcW w:w="2420" w:type="dxa"/>
            <w:vAlign w:val="bottom"/>
          </w:tcPr>
          <w:p>
            <w:pPr>
              <w:spacing w:after="0" w:line="203" w:lineRule="exact"/>
              <w:rPr>
                <w:sz w:val="20"/>
                <w:szCs w:val="20"/>
                <w:color w:val="auto"/>
              </w:rPr>
            </w:pPr>
            <w:r>
              <w:rPr>
                <w:rFonts w:ascii="Courier New" w:cs="Courier New" w:eastAsia="Courier New" w:hAnsi="Courier New"/>
                <w:sz w:val="18"/>
                <w:szCs w:val="18"/>
                <w:color w:val="auto"/>
              </w:rPr>
              <w:t>BENEFICIALLY OWNED</w:t>
            </w:r>
          </w:p>
        </w:tc>
        <w:tc>
          <w:tcPr>
            <w:tcW w:w="1380" w:type="dxa"/>
            <w:vAlign w:val="bottom"/>
          </w:tcPr>
          <w:p>
            <w:pPr>
              <w:spacing w:after="0"/>
              <w:rPr>
                <w:sz w:val="17"/>
                <w:szCs w:val="17"/>
                <w:color w:val="auto"/>
              </w:rPr>
            </w:pP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Power</w:t>
            </w:r>
          </w:p>
        </w:tc>
        <w:tc>
          <w:tcPr>
            <w:tcW w:w="21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5,371,720*</w:t>
            </w:r>
          </w:p>
        </w:tc>
      </w:tr>
      <w:tr>
        <w:trPr>
          <w:trHeight w:val="203"/>
        </w:trPr>
        <w:tc>
          <w:tcPr>
            <w:tcW w:w="2420" w:type="dxa"/>
            <w:vAlign w:val="bottom"/>
          </w:tcPr>
          <w:p>
            <w:pPr>
              <w:spacing w:after="0" w:line="203" w:lineRule="exact"/>
              <w:rPr>
                <w:sz w:val="20"/>
                <w:szCs w:val="20"/>
                <w:color w:val="auto"/>
              </w:rPr>
            </w:pPr>
            <w:r>
              <w:rPr>
                <w:rFonts w:ascii="Courier New" w:cs="Courier New" w:eastAsia="Courier New" w:hAnsi="Courier New"/>
                <w:sz w:val="18"/>
                <w:szCs w:val="18"/>
                <w:color w:val="auto"/>
              </w:rPr>
              <w:t>BY EACH REPORTING</w:t>
            </w:r>
          </w:p>
        </w:tc>
        <w:tc>
          <w:tcPr>
            <w:tcW w:w="3540" w:type="dxa"/>
            <w:vAlign w:val="bottom"/>
            <w:gridSpan w:val="2"/>
          </w:tcPr>
          <w:p>
            <w:pPr>
              <w:ind w:left="540"/>
              <w:spacing w:after="0"/>
              <w:rPr>
                <w:sz w:val="20"/>
                <w:szCs w:val="20"/>
                <w:color w:val="auto"/>
              </w:rPr>
            </w:pPr>
            <w:r>
              <w:rPr>
                <w:rFonts w:ascii="Courier New" w:cs="Courier New" w:eastAsia="Courier New" w:hAnsi="Courier New"/>
                <w:sz w:val="14"/>
                <w:szCs w:val="14"/>
                <w:color w:val="auto"/>
                <w:w w:val="72"/>
              </w:rPr>
              <w:t>-------------------------------------------------</w:t>
            </w:r>
          </w:p>
        </w:tc>
        <w:tc>
          <w:tcPr>
            <w:tcW w:w="2160" w:type="dxa"/>
            <w:vAlign w:val="bottom"/>
          </w:tcPr>
          <w:p>
            <w:pPr>
              <w:spacing w:after="0"/>
              <w:rPr>
                <w:sz w:val="17"/>
                <w:szCs w:val="17"/>
                <w:color w:val="auto"/>
              </w:rPr>
            </w:pPr>
          </w:p>
        </w:tc>
      </w:tr>
      <w:tr>
        <w:trPr>
          <w:trHeight w:val="203"/>
        </w:trPr>
        <w:tc>
          <w:tcPr>
            <w:tcW w:w="242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 WITH</w:t>
            </w:r>
          </w:p>
        </w:tc>
        <w:tc>
          <w:tcPr>
            <w:tcW w:w="13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(8)</w:t>
            </w: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w:t>
            </w:r>
          </w:p>
        </w:tc>
        <w:tc>
          <w:tcPr>
            <w:tcW w:w="2160" w:type="dxa"/>
            <w:vAlign w:val="bottom"/>
          </w:tcPr>
          <w:p>
            <w:pPr>
              <w:spacing w:after="0"/>
              <w:rPr>
                <w:sz w:val="17"/>
                <w:szCs w:val="17"/>
                <w:color w:val="auto"/>
              </w:rPr>
            </w:pPr>
          </w:p>
        </w:tc>
      </w:tr>
      <w:tr>
        <w:trPr>
          <w:trHeight w:val="203"/>
        </w:trPr>
        <w:tc>
          <w:tcPr>
            <w:tcW w:w="24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Power</w:t>
            </w:r>
          </w:p>
        </w:tc>
        <w:tc>
          <w:tcPr>
            <w:tcW w:w="21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N/A</w:t>
            </w:r>
          </w:p>
        </w:tc>
      </w:tr>
      <w:tr>
        <w:trPr>
          <w:trHeight w:val="203"/>
        </w:trPr>
        <w:tc>
          <w:tcPr>
            <w:tcW w:w="2420" w:type="dxa"/>
            <w:vAlign w:val="bottom"/>
          </w:tcPr>
          <w:p>
            <w:pPr>
              <w:spacing w:after="0"/>
              <w:rPr>
                <w:sz w:val="17"/>
                <w:szCs w:val="17"/>
                <w:color w:val="auto"/>
              </w:rPr>
            </w:pPr>
          </w:p>
        </w:tc>
        <w:tc>
          <w:tcPr>
            <w:tcW w:w="5700" w:type="dxa"/>
            <w:vAlign w:val="bottom"/>
            <w:gridSpan w:val="3"/>
          </w:tcPr>
          <w:p>
            <w:pPr>
              <w:ind w:left="5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2420" w:type="dxa"/>
            <w:vAlign w:val="bottom"/>
          </w:tcPr>
          <w:p>
            <w:pPr>
              <w:spacing w:after="0"/>
              <w:rPr>
                <w:sz w:val="17"/>
                <w:szCs w:val="17"/>
                <w:color w:val="auto"/>
              </w:rPr>
            </w:pPr>
          </w:p>
        </w:tc>
        <w:tc>
          <w:tcPr>
            <w:tcW w:w="13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(9)</w:t>
            </w: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Sole Dispositive</w:t>
            </w:r>
          </w:p>
        </w:tc>
        <w:tc>
          <w:tcPr>
            <w:tcW w:w="2160" w:type="dxa"/>
            <w:vAlign w:val="bottom"/>
          </w:tcPr>
          <w:p>
            <w:pPr>
              <w:spacing w:after="0"/>
              <w:rPr>
                <w:sz w:val="17"/>
                <w:szCs w:val="17"/>
                <w:color w:val="auto"/>
              </w:rPr>
            </w:pPr>
          </w:p>
        </w:tc>
      </w:tr>
      <w:tr>
        <w:trPr>
          <w:trHeight w:val="203"/>
        </w:trPr>
        <w:tc>
          <w:tcPr>
            <w:tcW w:w="24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Power</w:t>
            </w:r>
          </w:p>
        </w:tc>
        <w:tc>
          <w:tcPr>
            <w:tcW w:w="21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5,371,720*</w:t>
            </w:r>
          </w:p>
        </w:tc>
      </w:tr>
      <w:tr>
        <w:trPr>
          <w:trHeight w:val="203"/>
        </w:trPr>
        <w:tc>
          <w:tcPr>
            <w:tcW w:w="2420" w:type="dxa"/>
            <w:vAlign w:val="bottom"/>
          </w:tcPr>
          <w:p>
            <w:pPr>
              <w:spacing w:after="0"/>
              <w:rPr>
                <w:sz w:val="17"/>
                <w:szCs w:val="17"/>
                <w:color w:val="auto"/>
              </w:rPr>
            </w:pPr>
          </w:p>
        </w:tc>
        <w:tc>
          <w:tcPr>
            <w:tcW w:w="5700" w:type="dxa"/>
            <w:vAlign w:val="bottom"/>
            <w:gridSpan w:val="3"/>
          </w:tcPr>
          <w:p>
            <w:pPr>
              <w:ind w:left="5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2420" w:type="dxa"/>
            <w:vAlign w:val="bottom"/>
          </w:tcPr>
          <w:p>
            <w:pPr>
              <w:spacing w:after="0"/>
              <w:rPr>
                <w:sz w:val="17"/>
                <w:szCs w:val="17"/>
                <w:color w:val="auto"/>
              </w:rPr>
            </w:pPr>
          </w:p>
        </w:tc>
        <w:tc>
          <w:tcPr>
            <w:tcW w:w="13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(10)</w:t>
            </w: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Dispositive</w:t>
            </w:r>
          </w:p>
        </w:tc>
        <w:tc>
          <w:tcPr>
            <w:tcW w:w="2160" w:type="dxa"/>
            <w:vAlign w:val="bottom"/>
          </w:tcPr>
          <w:p>
            <w:pPr>
              <w:spacing w:after="0"/>
              <w:rPr>
                <w:sz w:val="17"/>
                <w:szCs w:val="17"/>
                <w:color w:val="auto"/>
              </w:rPr>
            </w:pPr>
          </w:p>
        </w:tc>
      </w:tr>
      <w:tr>
        <w:trPr>
          <w:trHeight w:val="203"/>
        </w:trPr>
        <w:tc>
          <w:tcPr>
            <w:tcW w:w="24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Power</w:t>
            </w:r>
          </w:p>
        </w:tc>
        <w:tc>
          <w:tcPr>
            <w:tcW w:w="21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N/A</w:t>
            </w:r>
          </w:p>
        </w:tc>
      </w:tr>
    </w:tbl>
    <w:p>
      <w:pPr>
        <w:spacing w:after="0" w:line="4" w:lineRule="exact"/>
        <w:rPr>
          <w:sz w:val="20"/>
          <w:szCs w:val="20"/>
          <w:color w:val="auto"/>
        </w:rPr>
      </w:pPr>
    </w:p>
    <w:p>
      <w:pPr>
        <w:ind w:left="220" w:hanging="212"/>
        <w:spacing w:after="0"/>
        <w:tabs>
          <w:tab w:leader="none" w:pos="22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jc w:val="right"/>
        <w:ind w:left="6540" w:right="2619" w:hanging="6216"/>
        <w:spacing w:after="0" w:line="268" w:lineRule="auto"/>
        <w:tabs>
          <w:tab w:leader="none" w:pos="1168" w:val="left"/>
        </w:tabs>
        <w:numPr>
          <w:ilvl w:val="1"/>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Beneficially Owned by Each Reporting Person: 5,371,720*</w:t>
      </w:r>
    </w:p>
    <w:p>
      <w:pPr>
        <w:ind w:left="220" w:hanging="212"/>
        <w:spacing w:after="0"/>
        <w:tabs>
          <w:tab w:leader="none" w:pos="22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1160" w:right="2519" w:hanging="836"/>
        <w:spacing w:after="0" w:line="235" w:lineRule="auto"/>
        <w:tabs>
          <w:tab w:leader="none" w:pos="1160" w:val="left"/>
        </w:tabs>
        <w:numPr>
          <w:ilvl w:val="1"/>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(11) Excludes Certain Shares (See Instructions): [ ]</w:t>
      </w:r>
    </w:p>
    <w:p>
      <w:pPr>
        <w:spacing w:after="0" w:line="208"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860" w:hanging="536"/>
        <w:spacing w:after="0" w:line="238" w:lineRule="auto"/>
        <w:tabs>
          <w:tab w:leader="none" w:pos="860" w:val="left"/>
        </w:tabs>
        <w:numPr>
          <w:ilvl w:val="1"/>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(11):</w:t>
      </w:r>
    </w:p>
    <w:p>
      <w:pPr>
        <w:ind w:left="6540"/>
        <w:spacing w:after="0"/>
        <w:rPr>
          <w:sz w:val="20"/>
          <w:szCs w:val="20"/>
          <w:color w:val="auto"/>
        </w:rPr>
      </w:pPr>
      <w:r>
        <w:rPr>
          <w:rFonts w:ascii="Courier New" w:cs="Courier New" w:eastAsia="Courier New" w:hAnsi="Courier New"/>
          <w:sz w:val="18"/>
          <w:szCs w:val="18"/>
          <w:color w:val="auto"/>
        </w:rPr>
        <w:t>12.5%</w:t>
      </w:r>
    </w:p>
    <w:p>
      <w:pPr>
        <w:spacing w:after="0" w:line="3" w:lineRule="exact"/>
        <w:rPr>
          <w:sz w:val="20"/>
          <w:szCs w:val="20"/>
          <w:color w:val="auto"/>
        </w:rPr>
      </w:pP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160" w:hanging="836"/>
        <w:spacing w:after="0" w:line="238" w:lineRule="auto"/>
        <w:tabs>
          <w:tab w:leader="none" w:pos="1160" w:val="left"/>
        </w:tabs>
        <w:numPr>
          <w:ilvl w:val="1"/>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(See Instructions):</w:t>
      </w:r>
    </w:p>
    <w:p>
      <w:pPr>
        <w:ind w:left="5700"/>
        <w:spacing w:after="0"/>
        <w:rPr>
          <w:sz w:val="20"/>
          <w:szCs w:val="20"/>
          <w:color w:val="auto"/>
        </w:rPr>
      </w:pPr>
      <w:r>
        <w:rPr>
          <w:rFonts w:ascii="Courier New" w:cs="Courier New" w:eastAsia="Courier New" w:hAnsi="Courier New"/>
          <w:sz w:val="18"/>
          <w:szCs w:val="18"/>
          <w:color w:val="auto"/>
        </w:rPr>
        <w:t>CO</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right="1999" w:firstLine="8"/>
        <w:spacing w:after="0" w:line="290" w:lineRule="auto"/>
        <w:tabs>
          <w:tab w:leader="none" w:pos="211"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Or such other number of ordinary shares of the Issuer as equals 12.5% of the outstanding Issuer ordinary shares immediately prior to the time of exercise.</w:t>
      </w:r>
    </w:p>
    <w:p>
      <w:pPr>
        <w:sectPr>
          <w:pgSz w:w="11900" w:h="16838" w:orient="portrait"/>
          <w:cols w:equalWidth="0" w:num="1">
            <w:col w:w="10219"/>
          </w:cols>
          <w:pgMar w:left="240" w:top="312" w:right="1440"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000" w:type="dxa"/>
            <w:vAlign w:val="bottom"/>
          </w:tcPr>
          <w:p>
            <w:pPr>
              <w:jc w:val="right"/>
              <w:ind w:right="2652"/>
              <w:spacing w:after="0"/>
              <w:rPr>
                <w:sz w:val="20"/>
                <w:szCs w:val="20"/>
                <w:color w:val="auto"/>
              </w:rPr>
            </w:pPr>
            <w:r>
              <w:rPr>
                <w:rFonts w:ascii="Courier New" w:cs="Courier New" w:eastAsia="Courier New" w:hAnsi="Courier New"/>
                <w:sz w:val="18"/>
                <w:szCs w:val="18"/>
                <w:color w:val="auto"/>
              </w:rPr>
              <w:t>3</w:t>
            </w:r>
          </w:p>
        </w:tc>
        <w:tc>
          <w:tcPr>
            <w:tcW w:w="2320" w:type="dxa"/>
            <w:vAlign w:val="bottom"/>
          </w:tcPr>
          <w:p>
            <w:pPr>
              <w:spacing w:after="0"/>
              <w:rPr>
                <w:sz w:val="17"/>
                <w:szCs w:val="17"/>
                <w:color w:val="auto"/>
              </w:rPr>
            </w:pPr>
          </w:p>
        </w:tc>
        <w:tc>
          <w:tcPr>
            <w:tcW w:w="3160" w:type="dxa"/>
            <w:vAlign w:val="bottom"/>
          </w:tcPr>
          <w:p>
            <w:pPr>
              <w:spacing w:after="0"/>
              <w:rPr>
                <w:sz w:val="17"/>
                <w:szCs w:val="17"/>
                <w:color w:val="auto"/>
              </w:rPr>
            </w:pPr>
          </w:p>
        </w:tc>
      </w:tr>
      <w:tr>
        <w:trPr>
          <w:trHeight w:val="405"/>
        </w:trPr>
        <w:tc>
          <w:tcPr>
            <w:tcW w:w="1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3000" w:type="dxa"/>
            <w:vAlign w:val="bottom"/>
          </w:tcPr>
          <w:p>
            <w:pPr>
              <w:jc w:val="right"/>
              <w:ind w:right="852"/>
              <w:spacing w:after="0"/>
              <w:rPr>
                <w:sz w:val="20"/>
                <w:szCs w:val="20"/>
                <w:color w:val="auto"/>
              </w:rPr>
            </w:pPr>
            <w:r>
              <w:rPr>
                <w:rFonts w:ascii="Courier New" w:cs="Courier New" w:eastAsia="Courier New" w:hAnsi="Courier New"/>
                <w:sz w:val="18"/>
                <w:szCs w:val="18"/>
                <w:color w:val="auto"/>
                <w:w w:val="99"/>
              </w:rPr>
              <w:t>-------------------</w:t>
            </w:r>
          </w:p>
        </w:tc>
        <w:tc>
          <w:tcPr>
            <w:tcW w:w="2320" w:type="dxa"/>
            <w:vAlign w:val="bottom"/>
          </w:tcPr>
          <w:p>
            <w:pPr>
              <w:spacing w:after="0"/>
              <w:rPr>
                <w:sz w:val="24"/>
                <w:szCs w:val="24"/>
                <w:color w:val="auto"/>
              </w:rPr>
            </w:pPr>
          </w:p>
        </w:tc>
        <w:tc>
          <w:tcPr>
            <w:tcW w:w="316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31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CUSIP No. M47298100</w:t>
            </w:r>
          </w:p>
        </w:tc>
        <w:tc>
          <w:tcPr>
            <w:tcW w:w="23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13D</w:t>
            </w:r>
          </w:p>
        </w:tc>
        <w:tc>
          <w:tcPr>
            <w:tcW w:w="31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Page 3 of 11 Pages</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30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w w:val="99"/>
              </w:rPr>
              <w:t>-------------------</w:t>
            </w:r>
          </w:p>
        </w:tc>
        <w:tc>
          <w:tcPr>
            <w:tcW w:w="2320" w:type="dxa"/>
            <w:vAlign w:val="bottom"/>
          </w:tcPr>
          <w:p>
            <w:pPr>
              <w:spacing w:after="0"/>
              <w:rPr>
                <w:sz w:val="17"/>
                <w:szCs w:val="17"/>
                <w:color w:val="auto"/>
              </w:rPr>
            </w:pPr>
          </w:p>
        </w:tc>
        <w:tc>
          <w:tcPr>
            <w:tcW w:w="3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spacing w:after="0"/>
        <w:tabs>
          <w:tab w:leader="none" w:pos="1460" w:val="left"/>
        </w:tabs>
        <w:rPr>
          <w:sz w:val="20"/>
          <w:szCs w:val="20"/>
          <w:color w:val="auto"/>
        </w:rPr>
      </w:pPr>
      <w:r>
        <w:rPr>
          <w:rFonts w:ascii="Courier New" w:cs="Courier New" w:eastAsia="Courier New" w:hAnsi="Courier New"/>
          <w:sz w:val="18"/>
          <w:szCs w:val="18"/>
          <w:color w:val="auto"/>
        </w:rPr>
        <w:t>ITEM 1.</w:t>
      </w:r>
      <w:r>
        <w:rPr>
          <w:sz w:val="20"/>
          <w:szCs w:val="20"/>
          <w:color w:val="auto"/>
        </w:rPr>
        <w:tab/>
      </w:r>
      <w:r>
        <w:rPr>
          <w:rFonts w:ascii="Courier New" w:cs="Courier New" w:eastAsia="Courier New" w:hAnsi="Courier New"/>
          <w:sz w:val="16"/>
          <w:szCs w:val="16"/>
          <w:color w:val="auto"/>
        </w:rPr>
        <w:t>SECURITY AND ISSUER</w:t>
      </w:r>
    </w:p>
    <w:p>
      <w:pPr>
        <w:spacing w:after="0" w:line="207" w:lineRule="exact"/>
        <w:rPr>
          <w:sz w:val="20"/>
          <w:szCs w:val="20"/>
          <w:color w:val="auto"/>
        </w:rPr>
      </w:pPr>
    </w:p>
    <w:p>
      <w:pPr>
        <w:ind w:left="1480" w:right="2319"/>
        <w:spacing w:after="0" w:line="237" w:lineRule="auto"/>
        <w:rPr>
          <w:sz w:val="20"/>
          <w:szCs w:val="20"/>
          <w:color w:val="auto"/>
        </w:rPr>
      </w:pPr>
      <w:r>
        <w:rPr>
          <w:rFonts w:ascii="Courier New" w:cs="Courier New" w:eastAsia="Courier New" w:hAnsi="Courier New"/>
          <w:sz w:val="18"/>
          <w:szCs w:val="18"/>
          <w:color w:val="auto"/>
        </w:rPr>
        <w:t>This Statement on Schedule 13D (the "Statement") relates to ordinary shares, par value 0.01 New Israeli Shekels per share ("Issuer Shares"), of Galileo Technology Ltd., an Israeli corporation (the "Issuer").</w:t>
      </w:r>
    </w:p>
    <w:p>
      <w:pPr>
        <w:spacing w:after="0" w:line="207" w:lineRule="exact"/>
        <w:rPr>
          <w:sz w:val="20"/>
          <w:szCs w:val="20"/>
          <w:color w:val="auto"/>
        </w:rPr>
      </w:pPr>
    </w:p>
    <w:p>
      <w:pPr>
        <w:ind w:left="1480" w:right="1879"/>
        <w:spacing w:after="0" w:line="235" w:lineRule="auto"/>
        <w:rPr>
          <w:sz w:val="20"/>
          <w:szCs w:val="20"/>
          <w:color w:val="auto"/>
        </w:rPr>
      </w:pPr>
      <w:r>
        <w:rPr>
          <w:rFonts w:ascii="Courier New" w:cs="Courier New" w:eastAsia="Courier New" w:hAnsi="Courier New"/>
          <w:sz w:val="18"/>
          <w:szCs w:val="18"/>
          <w:color w:val="auto"/>
        </w:rPr>
        <w:t>The address of the Issuer's principal executive offices is Moshav Manof, D.N. Misgaf 20184, Israel.</w:t>
      </w:r>
    </w:p>
    <w:p>
      <w:pPr>
        <w:spacing w:after="0" w:line="208" w:lineRule="exact"/>
        <w:rPr>
          <w:sz w:val="20"/>
          <w:szCs w:val="20"/>
          <w:color w:val="auto"/>
        </w:rPr>
      </w:pPr>
    </w:p>
    <w:p>
      <w:pPr>
        <w:ind w:left="1480" w:right="2099"/>
        <w:spacing w:after="0" w:line="235" w:lineRule="auto"/>
        <w:rPr>
          <w:sz w:val="20"/>
          <w:szCs w:val="20"/>
          <w:color w:val="auto"/>
        </w:rPr>
      </w:pPr>
      <w:r>
        <w:rPr>
          <w:rFonts w:ascii="Courier New" w:cs="Courier New" w:eastAsia="Courier New" w:hAnsi="Courier New"/>
          <w:sz w:val="18"/>
          <w:szCs w:val="18"/>
          <w:color w:val="auto"/>
        </w:rPr>
        <w:t>Responses to each item of this Statement are qualified in their entirety by the provisions of the Exhibits hereto.</w:t>
      </w:r>
    </w:p>
    <w:p>
      <w:pPr>
        <w:spacing w:after="0" w:line="203" w:lineRule="exact"/>
        <w:rPr>
          <w:sz w:val="20"/>
          <w:szCs w:val="20"/>
          <w:color w:val="auto"/>
        </w:rPr>
      </w:pPr>
    </w:p>
    <w:p>
      <w:pPr>
        <w:spacing w:after="0"/>
        <w:tabs>
          <w:tab w:leader="none" w:pos="1460" w:val="left"/>
        </w:tabs>
        <w:rPr>
          <w:sz w:val="20"/>
          <w:szCs w:val="20"/>
          <w:color w:val="auto"/>
        </w:rPr>
      </w:pPr>
      <w:r>
        <w:rPr>
          <w:rFonts w:ascii="Courier New" w:cs="Courier New" w:eastAsia="Courier New" w:hAnsi="Courier New"/>
          <w:sz w:val="18"/>
          <w:szCs w:val="18"/>
          <w:color w:val="auto"/>
        </w:rPr>
        <w:t>ITEM 2.</w:t>
      </w:r>
      <w:r>
        <w:rPr>
          <w:sz w:val="20"/>
          <w:szCs w:val="20"/>
          <w:color w:val="auto"/>
        </w:rPr>
        <w:tab/>
      </w:r>
      <w:r>
        <w:rPr>
          <w:rFonts w:ascii="Courier New" w:cs="Courier New" w:eastAsia="Courier New" w:hAnsi="Courier New"/>
          <w:sz w:val="16"/>
          <w:szCs w:val="16"/>
          <w:color w:val="auto"/>
        </w:rPr>
        <w:t>IDENTITY AND BACKGROUND</w:t>
      </w:r>
    </w:p>
    <w:p>
      <w:pPr>
        <w:spacing w:after="0" w:line="201" w:lineRule="exact"/>
        <w:rPr>
          <w:sz w:val="20"/>
          <w:szCs w:val="20"/>
          <w:color w:val="auto"/>
        </w:rPr>
      </w:pPr>
    </w:p>
    <w:p>
      <w:pPr>
        <w:ind w:left="1480"/>
        <w:spacing w:after="0"/>
        <w:rPr>
          <w:sz w:val="20"/>
          <w:szCs w:val="20"/>
          <w:color w:val="auto"/>
        </w:rPr>
      </w:pPr>
      <w:r>
        <w:rPr>
          <w:rFonts w:ascii="Courier New" w:cs="Courier New" w:eastAsia="Courier New" w:hAnsi="Courier New"/>
          <w:sz w:val="18"/>
          <w:szCs w:val="18"/>
          <w:color w:val="auto"/>
        </w:rPr>
        <w:t>Name of Reporting Person: Marvell Technology Group Ltd.</w:t>
      </w:r>
    </w:p>
    <w:p>
      <w:pPr>
        <w:ind w:left="1480"/>
        <w:spacing w:after="0" w:line="238" w:lineRule="auto"/>
        <w:rPr>
          <w:sz w:val="20"/>
          <w:szCs w:val="20"/>
          <w:color w:val="auto"/>
        </w:rPr>
      </w:pPr>
      <w:r>
        <w:rPr>
          <w:rFonts w:ascii="Courier New" w:cs="Courier New" w:eastAsia="Courier New" w:hAnsi="Courier New"/>
          <w:sz w:val="18"/>
          <w:szCs w:val="18"/>
          <w:color w:val="auto"/>
        </w:rPr>
        <w:t>("Marvell")</w:t>
      </w:r>
    </w:p>
    <w:p>
      <w:pPr>
        <w:spacing w:after="0" w:line="202" w:lineRule="exact"/>
        <w:rPr>
          <w:sz w:val="20"/>
          <w:szCs w:val="20"/>
          <w:color w:val="auto"/>
        </w:rPr>
      </w:pPr>
    </w:p>
    <w:p>
      <w:pPr>
        <w:ind w:left="1480"/>
        <w:spacing w:after="0"/>
        <w:rPr>
          <w:sz w:val="20"/>
          <w:szCs w:val="20"/>
          <w:color w:val="auto"/>
        </w:rPr>
      </w:pPr>
      <w:r>
        <w:rPr>
          <w:rFonts w:ascii="Courier New" w:cs="Courier New" w:eastAsia="Courier New" w:hAnsi="Courier New"/>
          <w:sz w:val="18"/>
          <w:szCs w:val="18"/>
          <w:color w:val="auto"/>
        </w:rPr>
        <w:t>Place of Organization: Bermuda</w:t>
      </w:r>
    </w:p>
    <w:p>
      <w:pPr>
        <w:spacing w:after="0" w:line="207" w:lineRule="exact"/>
        <w:rPr>
          <w:sz w:val="20"/>
          <w:szCs w:val="20"/>
          <w:color w:val="auto"/>
        </w:rPr>
      </w:pPr>
    </w:p>
    <w:p>
      <w:pPr>
        <w:ind w:left="1480" w:right="1779"/>
        <w:spacing w:after="0" w:line="237" w:lineRule="auto"/>
        <w:rPr>
          <w:sz w:val="20"/>
          <w:szCs w:val="20"/>
          <w:color w:val="auto"/>
        </w:rPr>
      </w:pPr>
      <w:r>
        <w:rPr>
          <w:rFonts w:ascii="Courier New" w:cs="Courier New" w:eastAsia="Courier New" w:hAnsi="Courier New"/>
          <w:sz w:val="18"/>
          <w:szCs w:val="18"/>
          <w:color w:val="auto"/>
        </w:rPr>
        <w:t>Principal Business: Design of integrated circuits for mixed-signal and digital-signal processing for the high-speed, high-density, digital data storage and broadband digital data networking markets.</w:t>
      </w:r>
    </w:p>
    <w:p>
      <w:pPr>
        <w:spacing w:after="0" w:line="207" w:lineRule="exact"/>
        <w:rPr>
          <w:sz w:val="20"/>
          <w:szCs w:val="20"/>
          <w:color w:val="auto"/>
        </w:rPr>
      </w:pPr>
    </w:p>
    <w:p>
      <w:pPr>
        <w:ind w:left="1480" w:right="1879"/>
        <w:spacing w:after="0" w:line="237" w:lineRule="auto"/>
        <w:rPr>
          <w:sz w:val="20"/>
          <w:szCs w:val="20"/>
          <w:color w:val="auto"/>
        </w:rPr>
      </w:pPr>
      <w:r>
        <w:rPr>
          <w:rFonts w:ascii="Courier New" w:cs="Courier New" w:eastAsia="Courier New" w:hAnsi="Courier New"/>
          <w:sz w:val="18"/>
          <w:szCs w:val="18"/>
          <w:color w:val="auto"/>
        </w:rPr>
        <w:t>Address of Principal Business and Office: Address in Bermuda: at Richmond House, 3rd Floor, #12 Par la Ville Road, Hamilton, HM DX Bermuda. The address of Marvell's wholly-owned United States subsidiary is Marvell Semiconductor, Inc., 645 Alamanor Avenue, Sunnyvale, California 94086.</w:t>
      </w:r>
    </w:p>
    <w:p>
      <w:pPr>
        <w:spacing w:after="0" w:line="209" w:lineRule="exact"/>
        <w:rPr>
          <w:sz w:val="20"/>
          <w:szCs w:val="20"/>
          <w:color w:val="auto"/>
        </w:rPr>
      </w:pPr>
    </w:p>
    <w:p>
      <w:pPr>
        <w:ind w:left="1480" w:right="1779" w:firstLine="3"/>
        <w:spacing w:after="0" w:line="237" w:lineRule="auto"/>
        <w:tabs>
          <w:tab w:leader="none" w:pos="1901"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and (e). During the last five years, Marvell has not (i) been convicted in a criminal proceeding or (ii) been a party to a civil proceeding of a judicial or administrative body of competent jurisdiction and as a result of such proceeding was or is subject to a judgment, decree or final order enjoining future violations of, or prohibiting or mandating activities subject to, Federal or State securities laws or finding any violation with respect to such laws.</w:t>
      </w:r>
    </w:p>
    <w:p>
      <w:pPr>
        <w:spacing w:after="0" w:line="212" w:lineRule="exact"/>
        <w:rPr>
          <w:sz w:val="20"/>
          <w:szCs w:val="20"/>
          <w:color w:val="auto"/>
        </w:rPr>
      </w:pPr>
    </w:p>
    <w:p>
      <w:pPr>
        <w:ind w:left="1480" w:right="1779"/>
        <w:spacing w:after="0" w:line="237" w:lineRule="auto"/>
        <w:rPr>
          <w:sz w:val="20"/>
          <w:szCs w:val="20"/>
          <w:color w:val="auto"/>
        </w:rPr>
      </w:pPr>
      <w:r>
        <w:rPr>
          <w:rFonts w:ascii="Courier New" w:cs="Courier New" w:eastAsia="Courier New" w:hAnsi="Courier New"/>
          <w:sz w:val="18"/>
          <w:szCs w:val="18"/>
          <w:color w:val="auto"/>
        </w:rPr>
        <w:t>Attached hereto as Appendix A is information required by this Item 2 with respect to the executive officers and directors of Marvell. All such individuals are U.S. citizens, except as otherwise indicated on Appendix A.</w:t>
      </w:r>
    </w:p>
    <w:p>
      <w:pPr>
        <w:spacing w:after="0" w:line="202" w:lineRule="exact"/>
        <w:rPr>
          <w:sz w:val="20"/>
          <w:szCs w:val="20"/>
          <w:color w:val="auto"/>
        </w:rPr>
      </w:pPr>
    </w:p>
    <w:p>
      <w:pPr>
        <w:spacing w:after="0"/>
        <w:tabs>
          <w:tab w:leader="none" w:pos="146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SOURCE AND AMOUNT OF FUNDS OR OTHER CONSIDERATION</w:t>
      </w:r>
    </w:p>
    <w:p>
      <w:pPr>
        <w:spacing w:after="0" w:line="207" w:lineRule="exact"/>
        <w:rPr>
          <w:sz w:val="20"/>
          <w:szCs w:val="20"/>
          <w:color w:val="auto"/>
        </w:rPr>
      </w:pPr>
    </w:p>
    <w:p>
      <w:pPr>
        <w:ind w:left="1480" w:right="1779"/>
        <w:spacing w:after="0" w:line="273" w:lineRule="auto"/>
        <w:rPr>
          <w:sz w:val="20"/>
          <w:szCs w:val="20"/>
          <w:color w:val="auto"/>
        </w:rPr>
      </w:pPr>
      <w:r>
        <w:rPr>
          <w:rFonts w:ascii="Courier New" w:cs="Courier New" w:eastAsia="Courier New" w:hAnsi="Courier New"/>
          <w:sz w:val="16"/>
          <w:szCs w:val="16"/>
          <w:color w:val="auto"/>
        </w:rPr>
        <w:t>The Issuer Shares reported on this Statement may be purchased by Marvell upon the exercise of an option granted pursuant to the provisions of a Stock Option Agreement entered into on October 16, 2000, between Marvell and the Issuer (the "Option Agreement"), a copy of which is attached hereto as Exhibit 1 and is</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7" w:lineRule="exact"/>
        <w:rPr>
          <w:sz w:val="20"/>
          <w:szCs w:val="20"/>
          <w:color w:val="auto"/>
        </w:rPr>
      </w:pPr>
    </w:p>
    <w:p>
      <w:pPr>
        <w:ind w:left="1480" w:right="1779"/>
        <w:spacing w:after="0" w:line="271" w:lineRule="auto"/>
        <w:rPr>
          <w:sz w:val="20"/>
          <w:szCs w:val="20"/>
          <w:color w:val="auto"/>
        </w:rPr>
      </w:pPr>
      <w:r>
        <w:rPr>
          <w:rFonts w:ascii="Courier New" w:cs="Courier New" w:eastAsia="Courier New" w:hAnsi="Courier New"/>
          <w:sz w:val="16"/>
          <w:szCs w:val="16"/>
          <w:color w:val="auto"/>
        </w:rPr>
        <w:t>hereby expressly incorporated herein by reference. The Option Agreement provides that Marvell may purchase 5,371,720 Issuer Shares (or such other number of Issuer Shares as equals 12.5% of the outstanding Issuer Shares immediately prior to the time of exercise), at an exercise price of $55.10 per Issuer Share, subject to adjustment under certain conditions (the "Option Shares"). Although no final decision has been made by Marvell, in the event of exercise of the option, Marvell expects to effect the purchase of the Option Shares from a combination of its working capital and/or the proceeds of debt issued by Marvell.</w:t>
      </w:r>
    </w:p>
    <w:p>
      <w:pPr>
        <w:spacing w:after="0" w:line="381" w:lineRule="exact"/>
        <w:rPr>
          <w:sz w:val="20"/>
          <w:szCs w:val="20"/>
          <w:color w:val="auto"/>
        </w:rPr>
      </w:pPr>
    </w:p>
    <w:p>
      <w:pPr>
        <w:spacing w:after="0"/>
        <w:tabs>
          <w:tab w:leader="none" w:pos="146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PURPOSE OF TRANSACTION</w:t>
      </w:r>
    </w:p>
    <w:p>
      <w:pPr>
        <w:spacing w:after="0" w:line="207" w:lineRule="exact"/>
        <w:rPr>
          <w:sz w:val="20"/>
          <w:szCs w:val="20"/>
          <w:color w:val="auto"/>
        </w:rPr>
      </w:pPr>
    </w:p>
    <w:p>
      <w:pPr>
        <w:ind w:left="1480" w:right="1779"/>
        <w:spacing w:after="0" w:line="238" w:lineRule="auto"/>
        <w:rPr>
          <w:sz w:val="20"/>
          <w:szCs w:val="20"/>
          <w:color w:val="auto"/>
        </w:rPr>
      </w:pPr>
      <w:r>
        <w:rPr>
          <w:rFonts w:ascii="Courier New" w:cs="Courier New" w:eastAsia="Courier New" w:hAnsi="Courier New"/>
          <w:sz w:val="18"/>
          <w:szCs w:val="18"/>
          <w:color w:val="auto"/>
        </w:rPr>
        <w:t>On October 16, 2000, Marvell, the Issuer, and Toshack Acquisitions Ltd., an Israeli corporation and wholly-owned subsidiary of Marvell ("Acquisition"), entered into a Merger Agreement, a copy of which is attached hereto as Exhibit 2 and is hereby expressly incorporated herein by reference (the "Merger Agreement"). Pursuant to the Merger Agreement, Acquisition will be merged into the Issuer (upon satisfaction or waiver of certain conditions), the Issuer will be the surviving corporation and a wholly-owned subsidiary of Marvell, and the shareholders of the Issuer will receive 0.674 shares of Marvell common stock for each Issuer Share (the "Merger"). Concurrently with the execution and delivery of the Merger Agreement, and as an inducement for Marvell to enter into the Merger Agreement, the Issuer and Marvell entered into the Option Agreement.</w:t>
      </w:r>
    </w:p>
    <w:p>
      <w:pPr>
        <w:spacing w:after="0" w:line="208" w:lineRule="exact"/>
        <w:rPr>
          <w:sz w:val="20"/>
          <w:szCs w:val="20"/>
          <w:color w:val="auto"/>
        </w:rPr>
      </w:pPr>
    </w:p>
    <w:p>
      <w:pPr>
        <w:ind w:left="1480" w:right="2099"/>
        <w:spacing w:after="0" w:line="237" w:lineRule="auto"/>
        <w:rPr>
          <w:sz w:val="20"/>
          <w:szCs w:val="20"/>
          <w:color w:val="auto"/>
        </w:rPr>
      </w:pPr>
      <w:r>
        <w:rPr>
          <w:rFonts w:ascii="Courier New" w:cs="Courier New" w:eastAsia="Courier New" w:hAnsi="Courier New"/>
          <w:sz w:val="18"/>
          <w:szCs w:val="18"/>
          <w:color w:val="auto"/>
        </w:rPr>
        <w:t>The option becomes exercisable by Marvell on or after the time immediately prior to the termination of the Merger Agreement caused by the following events, as a result of which the Issuer could become obligated to pay the fee specified in the Merger Agreement:</w:t>
      </w:r>
    </w:p>
    <w:p>
      <w:pPr>
        <w:spacing w:after="0" w:line="209" w:lineRule="exact"/>
        <w:rPr>
          <w:sz w:val="20"/>
          <w:szCs w:val="20"/>
          <w:color w:val="auto"/>
        </w:rPr>
      </w:pPr>
    </w:p>
    <w:p>
      <w:pPr>
        <w:ind w:left="1480" w:right="1879" w:firstLine="740"/>
        <w:spacing w:after="0" w:line="237" w:lineRule="auto"/>
        <w:tabs>
          <w:tab w:leader="none" w:pos="2639"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Issuer's board receiving a Superior Proposal (as defined in the Merger Agreement) and the Issuer paying the liquidated damages set forth in the Merger Agreement to terminate the agreement;</w:t>
      </w:r>
    </w:p>
    <w:p>
      <w:pPr>
        <w:spacing w:after="0" w:line="207" w:lineRule="exact"/>
        <w:rPr>
          <w:rFonts w:ascii="Courier New" w:cs="Courier New" w:eastAsia="Courier New" w:hAnsi="Courier New"/>
          <w:sz w:val="18"/>
          <w:szCs w:val="18"/>
          <w:color w:val="auto"/>
        </w:rPr>
      </w:pPr>
    </w:p>
    <w:p>
      <w:pPr>
        <w:ind w:left="1480" w:right="1879" w:firstLine="740"/>
        <w:spacing w:after="0" w:line="235" w:lineRule="auto"/>
        <w:tabs>
          <w:tab w:leader="none" w:pos="2639"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Issuer's board recommending a Superior Proposal to the Issuer's shareholders;</w:t>
      </w:r>
    </w:p>
    <w:p>
      <w:pPr>
        <w:spacing w:after="0" w:line="208" w:lineRule="exact"/>
        <w:rPr>
          <w:rFonts w:ascii="Courier New" w:cs="Courier New" w:eastAsia="Courier New" w:hAnsi="Courier New"/>
          <w:sz w:val="18"/>
          <w:szCs w:val="18"/>
          <w:color w:val="auto"/>
        </w:rPr>
      </w:pPr>
    </w:p>
    <w:p>
      <w:pPr>
        <w:ind w:left="1480" w:right="1779" w:firstLine="740"/>
        <w:spacing w:after="0" w:line="236" w:lineRule="auto"/>
        <w:tabs>
          <w:tab w:leader="none" w:pos="2639"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Issuer's shareholders failing to approve the Merger Agreement by the requisite vote at a meeting held for such purpose;</w:t>
      </w:r>
    </w:p>
    <w:p>
      <w:pPr>
        <w:spacing w:after="0" w:line="208" w:lineRule="exact"/>
        <w:rPr>
          <w:rFonts w:ascii="Courier New" w:cs="Courier New" w:eastAsia="Courier New" w:hAnsi="Courier New"/>
          <w:sz w:val="18"/>
          <w:szCs w:val="18"/>
          <w:color w:val="auto"/>
        </w:rPr>
      </w:pPr>
    </w:p>
    <w:p>
      <w:pPr>
        <w:ind w:left="1480" w:right="1779" w:firstLine="740"/>
        <w:spacing w:after="0" w:line="238" w:lineRule="auto"/>
        <w:tabs>
          <w:tab w:leader="none" w:pos="2639"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any of the Issuer's representations or warranties becoming untrue such that the condition that the Issuer's representations and warranties be true and correct cannot be satisfied by March 31, 2001, or a breach by the Issuer of any of its representations or warranties set forth in the Merger Agreement, each arising out of a willful breach of a representation or warranty, or (ii) a material breach by the Issuer of any of its covenants or agreements set forth in the Merger Agreement arising out of an action by the Issuer or failure to take an action by the Issuer which results in a breach of a covenant by the Issuer if the breach is not cured within five business days after notice; or</w:t>
      </w:r>
    </w:p>
    <w:p>
      <w:pPr>
        <w:sectPr>
          <w:pgSz w:w="11900" w:h="16838" w:orient="portrait"/>
          <w:cols w:equalWidth="0" w:num="1">
            <w:col w:w="10219"/>
          </w:cols>
          <w:pgMar w:left="240" w:top="31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7" w:lineRule="exact"/>
        <w:rPr>
          <w:sz w:val="20"/>
          <w:szCs w:val="20"/>
          <w:color w:val="auto"/>
        </w:rPr>
      </w:pPr>
    </w:p>
    <w:p>
      <w:pPr>
        <w:ind w:left="1480" w:right="2319" w:firstLine="740"/>
        <w:spacing w:after="0" w:line="237" w:lineRule="auto"/>
        <w:tabs>
          <w:tab w:leader="none" w:pos="2639"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Issuer's board withdrawing its approval or recommendation of the Merger Agreement or ceasing to use its reasonable best efforts to convene a shareholders' meeting to approve the Merger Agreement.</w:t>
      </w:r>
    </w:p>
    <w:p>
      <w:pPr>
        <w:spacing w:after="0" w:line="207" w:lineRule="exact"/>
        <w:rPr>
          <w:sz w:val="20"/>
          <w:szCs w:val="20"/>
          <w:color w:val="auto"/>
        </w:rPr>
      </w:pPr>
    </w:p>
    <w:p>
      <w:pPr>
        <w:ind w:left="1480" w:right="1779"/>
        <w:spacing w:after="0" w:line="237" w:lineRule="auto"/>
        <w:rPr>
          <w:sz w:val="20"/>
          <w:szCs w:val="20"/>
          <w:color w:val="auto"/>
        </w:rPr>
      </w:pPr>
      <w:r>
        <w:rPr>
          <w:rFonts w:ascii="Courier New" w:cs="Courier New" w:eastAsia="Courier New" w:hAnsi="Courier New"/>
          <w:sz w:val="18"/>
          <w:szCs w:val="18"/>
          <w:color w:val="auto"/>
        </w:rPr>
        <w:t>The option granted pursuant to the Option Agreement will expire upon the earlier of (x) the Effective Time (as defined in the Merger Agreement), (y) the termination of the Merger Agreement in accordance with its terms, other than as a result of the occurrence of any event described in clauses (a) through (e) (each a "Triggering Event"), and (z) the day that is the six (6) month anniversary of the date on which the Merger Agreement is terminated in accordance with its terms as a result of the occurrence of a Triggering Event.</w:t>
      </w:r>
    </w:p>
    <w:p>
      <w:pPr>
        <w:spacing w:after="0" w:line="214" w:lineRule="exact"/>
        <w:rPr>
          <w:sz w:val="20"/>
          <w:szCs w:val="20"/>
          <w:color w:val="auto"/>
        </w:rPr>
      </w:pPr>
    </w:p>
    <w:p>
      <w:pPr>
        <w:ind w:left="1480" w:right="1779"/>
        <w:spacing w:after="0" w:line="237" w:lineRule="auto"/>
        <w:rPr>
          <w:sz w:val="20"/>
          <w:szCs w:val="20"/>
          <w:color w:val="auto"/>
        </w:rPr>
      </w:pPr>
      <w:r>
        <w:rPr>
          <w:rFonts w:ascii="Courier New" w:cs="Courier New" w:eastAsia="Courier New" w:hAnsi="Courier New"/>
          <w:sz w:val="18"/>
          <w:szCs w:val="18"/>
          <w:color w:val="auto"/>
        </w:rPr>
        <w:t>This summary of the Option Agreement and Merger Agreement does not purport to be complete and is qualified in its entirety by reference to the complete text of such agreements, attached hereto as Exhibits 1 and 2.</w:t>
      </w:r>
    </w:p>
    <w:p>
      <w:pPr>
        <w:spacing w:after="0" w:line="207" w:lineRule="exact"/>
        <w:rPr>
          <w:sz w:val="20"/>
          <w:szCs w:val="20"/>
          <w:color w:val="auto"/>
        </w:rPr>
      </w:pPr>
    </w:p>
    <w:p>
      <w:pPr>
        <w:ind w:left="1480" w:right="1879"/>
        <w:spacing w:after="0" w:line="237" w:lineRule="auto"/>
        <w:rPr>
          <w:sz w:val="20"/>
          <w:szCs w:val="20"/>
          <w:color w:val="auto"/>
        </w:rPr>
      </w:pPr>
      <w:r>
        <w:rPr>
          <w:rFonts w:ascii="Courier New" w:cs="Courier New" w:eastAsia="Courier New" w:hAnsi="Courier New"/>
          <w:sz w:val="18"/>
          <w:szCs w:val="18"/>
          <w:color w:val="auto"/>
        </w:rPr>
        <w:t>The Option Agreement is intended to increase the likelihood that the transactions contemplated by the Merger Agreement will be consummated in accordance with its terms, and may discourage persons from proposing a competing offer to acquire the Issuer or its shares. The existence of the Option Agreement could significantly increase the cost to a potential acquirer of acquiring the Issuer, compared to such cost had the Issuer not entered into the Option Agreement.</w:t>
      </w:r>
    </w:p>
    <w:p>
      <w:pPr>
        <w:spacing w:after="0" w:line="212" w:lineRule="exact"/>
        <w:rPr>
          <w:sz w:val="20"/>
          <w:szCs w:val="20"/>
          <w:color w:val="auto"/>
        </w:rPr>
      </w:pPr>
    </w:p>
    <w:p>
      <w:pPr>
        <w:ind w:left="1480" w:right="1779"/>
        <w:spacing w:after="0" w:line="237" w:lineRule="auto"/>
        <w:rPr>
          <w:sz w:val="20"/>
          <w:szCs w:val="20"/>
          <w:color w:val="auto"/>
        </w:rPr>
      </w:pPr>
      <w:r>
        <w:rPr>
          <w:rFonts w:ascii="Courier New" w:cs="Courier New" w:eastAsia="Courier New" w:hAnsi="Courier New"/>
          <w:sz w:val="18"/>
          <w:szCs w:val="18"/>
          <w:color w:val="auto"/>
        </w:rPr>
        <w:t>Upon consummation of the transactions contemplated by the Merger Agreement, the Issuer Shares will cease to be quoted on the Nasdaq National Market System, and they will become eligible for termination of registration pursuant to Section 12(g) of the Securities Exchange Act of 1934, as amended.</w:t>
      </w:r>
    </w:p>
    <w:p>
      <w:pPr>
        <w:spacing w:after="0" w:line="203" w:lineRule="exact"/>
        <w:rPr>
          <w:sz w:val="20"/>
          <w:szCs w:val="20"/>
          <w:color w:val="auto"/>
        </w:rPr>
      </w:pPr>
    </w:p>
    <w:p>
      <w:pPr>
        <w:spacing w:after="0"/>
        <w:tabs>
          <w:tab w:leader="none" w:pos="146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INTEREST IN SECURITIES OF THE ISSUER</w:t>
      </w:r>
    </w:p>
    <w:p>
      <w:pPr>
        <w:spacing w:after="0" w:line="207" w:lineRule="exact"/>
        <w:rPr>
          <w:sz w:val="20"/>
          <w:szCs w:val="20"/>
          <w:color w:val="auto"/>
        </w:rPr>
      </w:pPr>
    </w:p>
    <w:p>
      <w:pPr>
        <w:ind w:left="1480" w:right="1779"/>
        <w:spacing w:after="0" w:line="235" w:lineRule="auto"/>
        <w:rPr>
          <w:sz w:val="20"/>
          <w:szCs w:val="20"/>
          <w:color w:val="auto"/>
        </w:rPr>
      </w:pPr>
      <w:r>
        <w:rPr>
          <w:rFonts w:ascii="Courier New" w:cs="Courier New" w:eastAsia="Courier New" w:hAnsi="Courier New"/>
          <w:sz w:val="18"/>
          <w:szCs w:val="18"/>
          <w:color w:val="auto"/>
        </w:rPr>
        <w:t>The information contained in Item 4 is incorporated herein by this reference.</w:t>
      </w:r>
    </w:p>
    <w:p>
      <w:pPr>
        <w:spacing w:after="0" w:line="208" w:lineRule="exact"/>
        <w:rPr>
          <w:sz w:val="20"/>
          <w:szCs w:val="20"/>
          <w:color w:val="auto"/>
        </w:rPr>
      </w:pPr>
    </w:p>
    <w:p>
      <w:pPr>
        <w:ind w:left="2220" w:right="1779" w:hanging="737"/>
        <w:spacing w:after="0" w:line="237" w:lineRule="auto"/>
        <w:tabs>
          <w:tab w:leader="none" w:pos="222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has an option to purchase 5,371,720 Issuer Shares (or such other number of Issuer Shares as equals 12.5% of the outstanding Issuer Shares immediately prior to the time of exercise).</w:t>
      </w:r>
    </w:p>
    <w:p>
      <w:pPr>
        <w:spacing w:after="0" w:line="207" w:lineRule="exact"/>
        <w:rPr>
          <w:rFonts w:ascii="Courier New" w:cs="Courier New" w:eastAsia="Courier New" w:hAnsi="Courier New"/>
          <w:sz w:val="18"/>
          <w:szCs w:val="18"/>
          <w:color w:val="auto"/>
        </w:rPr>
      </w:pPr>
    </w:p>
    <w:p>
      <w:pPr>
        <w:ind w:left="2220" w:right="2099"/>
        <w:spacing w:after="0" w:line="279"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Except as set forth in this Statement and Appendix A, to the knowledge of Marvell, none of the persons listed in Appendix A beneficially owns any of the Issuer Shares.</w:t>
      </w:r>
    </w:p>
    <w:p>
      <w:pPr>
        <w:spacing w:after="0" w:line="178" w:lineRule="exact"/>
        <w:rPr>
          <w:rFonts w:ascii="Courier New" w:cs="Courier New" w:eastAsia="Courier New" w:hAnsi="Courier New"/>
          <w:sz w:val="18"/>
          <w:szCs w:val="18"/>
          <w:color w:val="auto"/>
        </w:rPr>
      </w:pPr>
    </w:p>
    <w:p>
      <w:pPr>
        <w:ind w:left="2220" w:right="1779" w:hanging="737"/>
        <w:spacing w:after="0" w:line="237" w:lineRule="auto"/>
        <w:tabs>
          <w:tab w:leader="none" w:pos="222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Assuming exercise of the option, subject to the Issuer's right, under certain conditions, to purchase the Option Shares, Marvell will have sole dispositive and voting power over all of the shares it elects to purchase under the Option Agreement.</w:t>
      </w:r>
    </w:p>
    <w:p>
      <w:pPr>
        <w:spacing w:after="0" w:line="208" w:lineRule="exact"/>
        <w:rPr>
          <w:rFonts w:ascii="Courier New" w:cs="Courier New" w:eastAsia="Courier New" w:hAnsi="Courier New"/>
          <w:sz w:val="18"/>
          <w:szCs w:val="18"/>
          <w:color w:val="auto"/>
        </w:rPr>
      </w:pPr>
    </w:p>
    <w:p>
      <w:pPr>
        <w:jc w:val="both"/>
        <w:ind w:left="2220" w:right="2199" w:hanging="737"/>
        <w:spacing w:after="0" w:line="236" w:lineRule="auto"/>
        <w:tabs>
          <w:tab w:leader="none" w:pos="222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have been no transactions in the Issuer Shares by Marvell during the past 60 days. Except as set forth in this Statement and Appendix A, to the</w:t>
      </w:r>
    </w:p>
    <w:p>
      <w:pPr>
        <w:sectPr>
          <w:pgSz w:w="11900" w:h="16838" w:orient="portrait"/>
          <w:cols w:equalWidth="0" w:num="1">
            <w:col w:w="10219"/>
          </w:cols>
          <w:pgMar w:left="240" w:top="312"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6</w:t>
      </w:r>
    </w:p>
    <w:p>
      <w:pPr>
        <w:spacing w:after="0" w:line="207" w:lineRule="exact"/>
        <w:rPr>
          <w:sz w:val="20"/>
          <w:szCs w:val="20"/>
          <w:color w:val="auto"/>
        </w:rPr>
      </w:pPr>
    </w:p>
    <w:p>
      <w:pPr>
        <w:ind w:left="2220" w:right="2319"/>
        <w:spacing w:after="0" w:line="236" w:lineRule="auto"/>
        <w:rPr>
          <w:sz w:val="20"/>
          <w:szCs w:val="20"/>
          <w:color w:val="auto"/>
        </w:rPr>
      </w:pPr>
      <w:r>
        <w:rPr>
          <w:rFonts w:ascii="Courier New" w:cs="Courier New" w:eastAsia="Courier New" w:hAnsi="Courier New"/>
          <w:sz w:val="18"/>
          <w:szCs w:val="18"/>
          <w:color w:val="auto"/>
        </w:rPr>
        <w:t>knowledge of Marvell, none of the persons listed in Appendix A has effected any transactions in the Issuer Shares in the past 60 days.</w:t>
      </w:r>
    </w:p>
    <w:p>
      <w:pPr>
        <w:spacing w:after="0" w:line="209" w:lineRule="exact"/>
        <w:rPr>
          <w:sz w:val="20"/>
          <w:szCs w:val="20"/>
          <w:color w:val="auto"/>
        </w:rPr>
      </w:pPr>
    </w:p>
    <w:p>
      <w:pPr>
        <w:ind w:left="2220" w:right="1779" w:hanging="737"/>
        <w:spacing w:after="0" w:line="271" w:lineRule="auto"/>
        <w:tabs>
          <w:tab w:leader="none" w:pos="222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the Issuer's right, under certain conditions, to purchase the Option Shares, and subject to the limitation on Marvell's Total Profit (as defined in the Option Agreement), no other person, including the persons listed in Appendix A, has the right to receive or the power to direct the receipt of dividends from, or the proceeds of sale of, securities covered by this Statement.</w:t>
      </w:r>
    </w:p>
    <w:p>
      <w:pPr>
        <w:spacing w:after="0" w:line="182" w:lineRule="exact"/>
        <w:rPr>
          <w:rFonts w:ascii="Courier New" w:cs="Courier New" w:eastAsia="Courier New" w:hAnsi="Courier New"/>
          <w:sz w:val="16"/>
          <w:szCs w:val="16"/>
          <w:color w:val="auto"/>
        </w:rPr>
      </w:pPr>
    </w:p>
    <w:p>
      <w:pPr>
        <w:ind w:left="2220" w:hanging="737"/>
        <w:spacing w:after="0"/>
        <w:tabs>
          <w:tab w:leader="none" w:pos="222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1480" w:right="2319" w:hanging="1474"/>
        <w:spacing w:after="0" w:line="235" w:lineRule="auto"/>
        <w:tabs>
          <w:tab w:leader="none" w:pos="1460" w:val="left"/>
        </w:tabs>
        <w:rPr>
          <w:sz w:val="20"/>
          <w:szCs w:val="20"/>
          <w:color w:val="auto"/>
        </w:rPr>
      </w:pPr>
      <w:r>
        <w:rPr>
          <w:rFonts w:ascii="Courier New" w:cs="Courier New" w:eastAsia="Courier New" w:hAnsi="Courier New"/>
          <w:sz w:val="18"/>
          <w:szCs w:val="18"/>
          <w:color w:val="auto"/>
        </w:rPr>
        <w:t>ITEM 6.</w:t>
      </w:r>
      <w:r>
        <w:rPr>
          <w:sz w:val="20"/>
          <w:szCs w:val="20"/>
          <w:color w:val="auto"/>
        </w:rPr>
        <w:tab/>
      </w:r>
      <w:r>
        <w:rPr>
          <w:rFonts w:ascii="Courier New" w:cs="Courier New" w:eastAsia="Courier New" w:hAnsi="Courier New"/>
          <w:sz w:val="18"/>
          <w:szCs w:val="18"/>
          <w:color w:val="auto"/>
        </w:rPr>
        <w:t>CONTRACTS, ARRANGEMENTS, UNDERSTANDINGS OR RELATIONSHIPS WITH RESPECT TO SECURITIES OF THE ISSUER</w:t>
      </w:r>
    </w:p>
    <w:p>
      <w:pPr>
        <w:spacing w:after="0" w:line="208" w:lineRule="exact"/>
        <w:rPr>
          <w:sz w:val="20"/>
          <w:szCs w:val="20"/>
          <w:color w:val="auto"/>
        </w:rPr>
      </w:pPr>
    </w:p>
    <w:p>
      <w:pPr>
        <w:ind w:left="1480" w:right="1779"/>
        <w:spacing w:after="0" w:line="271" w:lineRule="auto"/>
        <w:rPr>
          <w:sz w:val="20"/>
          <w:szCs w:val="20"/>
          <w:color w:val="auto"/>
        </w:rPr>
      </w:pPr>
      <w:r>
        <w:rPr>
          <w:rFonts w:ascii="Courier New" w:cs="Courier New" w:eastAsia="Courier New" w:hAnsi="Courier New"/>
          <w:sz w:val="16"/>
          <w:szCs w:val="16"/>
          <w:color w:val="auto"/>
        </w:rPr>
        <w:t>Pursuant to the Option Agreement, (i) Marvell has certain registration rights with respect to shares purchased upon exercise of the option pursuant to the Option Agreement, (ii) Marvell has the option to elect a cash payment, under specified conditions, from the Issuer in lieu of exercising its option, and (iii) the Issuer has the right, under certain conditions, to purchase from Marvell the Option Shares acquired upon exercise of the option.</w:t>
      </w:r>
    </w:p>
    <w:p>
      <w:pPr>
        <w:spacing w:after="0" w:line="182" w:lineRule="exact"/>
        <w:rPr>
          <w:sz w:val="20"/>
          <w:szCs w:val="20"/>
          <w:color w:val="auto"/>
        </w:rPr>
      </w:pPr>
    </w:p>
    <w:p>
      <w:pPr>
        <w:spacing w:after="0"/>
        <w:tabs>
          <w:tab w:leader="none" w:pos="1460" w:val="left"/>
        </w:tabs>
        <w:rPr>
          <w:sz w:val="20"/>
          <w:szCs w:val="20"/>
          <w:color w:val="auto"/>
        </w:rPr>
      </w:pPr>
      <w:r>
        <w:rPr>
          <w:rFonts w:ascii="Courier New" w:cs="Courier New" w:eastAsia="Courier New" w:hAnsi="Courier New"/>
          <w:sz w:val="18"/>
          <w:szCs w:val="18"/>
          <w:color w:val="auto"/>
        </w:rPr>
        <w:t>ITEM 7.</w:t>
      </w:r>
      <w:r>
        <w:rPr>
          <w:sz w:val="20"/>
          <w:szCs w:val="20"/>
          <w:color w:val="auto"/>
        </w:rPr>
        <w:tab/>
      </w:r>
      <w:r>
        <w:rPr>
          <w:rFonts w:ascii="Courier New" w:cs="Courier New" w:eastAsia="Courier New" w:hAnsi="Courier New"/>
          <w:sz w:val="16"/>
          <w:szCs w:val="16"/>
          <w:color w:val="auto"/>
        </w:rPr>
        <w:t>MATERIAL TO BE FILED AS EXHIBITS</w:t>
      </w:r>
    </w:p>
    <w:p>
      <w:pPr>
        <w:spacing w:after="0" w:line="207" w:lineRule="exact"/>
        <w:rPr>
          <w:sz w:val="20"/>
          <w:szCs w:val="20"/>
          <w:color w:val="auto"/>
        </w:rPr>
      </w:pPr>
    </w:p>
    <w:p>
      <w:pPr>
        <w:ind w:left="3060" w:right="1879" w:hanging="1579"/>
        <w:spacing w:after="0" w:line="237" w:lineRule="auto"/>
        <w:tabs>
          <w:tab w:leader="none" w:pos="3040" w:val="left"/>
        </w:tabs>
        <w:rPr>
          <w:sz w:val="20"/>
          <w:szCs w:val="20"/>
          <w:color w:val="auto"/>
        </w:rPr>
      </w:pPr>
      <w:r>
        <w:rPr>
          <w:rFonts w:ascii="Courier New" w:cs="Courier New" w:eastAsia="Courier New" w:hAnsi="Courier New"/>
          <w:sz w:val="18"/>
          <w:szCs w:val="18"/>
          <w:color w:val="auto"/>
        </w:rPr>
        <w:t>Exhibit 1.</w:t>
      </w:r>
      <w:r>
        <w:rPr>
          <w:sz w:val="20"/>
          <w:szCs w:val="20"/>
          <w:color w:val="auto"/>
        </w:rPr>
        <w:tab/>
      </w:r>
      <w:r>
        <w:rPr>
          <w:rFonts w:ascii="Courier New" w:cs="Courier New" w:eastAsia="Courier New" w:hAnsi="Courier New"/>
          <w:sz w:val="18"/>
          <w:szCs w:val="18"/>
          <w:color w:val="auto"/>
        </w:rPr>
        <w:t>Stock Option Agreement, dated as of October 16, 2000, by and between Marvell Technology Group Ltd. and Galileo Technology Ltd., incorporated by reference to Marvell's filing on October 20, 2000 pursuant to Rule 425 promulgated under the Securities Act of 1933, as amended.</w:t>
      </w:r>
    </w:p>
    <w:p>
      <w:pPr>
        <w:spacing w:after="0" w:line="210" w:lineRule="exact"/>
        <w:rPr>
          <w:sz w:val="20"/>
          <w:szCs w:val="20"/>
          <w:color w:val="auto"/>
        </w:rPr>
      </w:pPr>
    </w:p>
    <w:p>
      <w:pPr>
        <w:ind w:left="3060" w:right="1779" w:hanging="1579"/>
        <w:spacing w:after="0" w:line="237" w:lineRule="auto"/>
        <w:tabs>
          <w:tab w:leader="none" w:pos="3040" w:val="left"/>
        </w:tabs>
        <w:rPr>
          <w:sz w:val="20"/>
          <w:szCs w:val="20"/>
          <w:color w:val="auto"/>
        </w:rPr>
      </w:pPr>
      <w:r>
        <w:rPr>
          <w:rFonts w:ascii="Courier New" w:cs="Courier New" w:eastAsia="Courier New" w:hAnsi="Courier New"/>
          <w:sz w:val="18"/>
          <w:szCs w:val="18"/>
          <w:color w:val="auto"/>
        </w:rPr>
        <w:t>Exhibit 2.</w:t>
      </w:r>
      <w:r>
        <w:rPr>
          <w:sz w:val="20"/>
          <w:szCs w:val="20"/>
          <w:color w:val="auto"/>
        </w:rPr>
        <w:tab/>
      </w:r>
      <w:r>
        <w:rPr>
          <w:rFonts w:ascii="Courier New" w:cs="Courier New" w:eastAsia="Courier New" w:hAnsi="Courier New"/>
          <w:sz w:val="18"/>
          <w:szCs w:val="18"/>
          <w:color w:val="auto"/>
        </w:rPr>
        <w:t>Agreement of Merger, dated as of October 16, 2000, by and among Marvell Technology Group Ltd., Galileo Technology Ltd., and Toshack Acquisitions Ltd., incorporated by reference to Marvell's filing on October 20, 2000 pursuant to Rule 425 promulgated under the Securities Act of 1933, as amended.</w:t>
      </w:r>
    </w:p>
    <w:p>
      <w:pPr>
        <w:sectPr>
          <w:pgSz w:w="11900" w:h="16838" w:orient="portrait"/>
          <w:cols w:equalWidth="0" w:num="1">
            <w:col w:w="10219"/>
          </w:cols>
          <w:pgMar w:left="240" w:top="312" w:right="1440"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000" w:type="dxa"/>
            <w:vAlign w:val="bottom"/>
          </w:tcPr>
          <w:p>
            <w:pPr>
              <w:jc w:val="right"/>
              <w:ind w:right="2652"/>
              <w:spacing w:after="0"/>
              <w:rPr>
                <w:sz w:val="20"/>
                <w:szCs w:val="20"/>
                <w:color w:val="auto"/>
              </w:rPr>
            </w:pPr>
            <w:r>
              <w:rPr>
                <w:rFonts w:ascii="Courier New" w:cs="Courier New" w:eastAsia="Courier New" w:hAnsi="Courier New"/>
                <w:sz w:val="18"/>
                <w:szCs w:val="18"/>
                <w:color w:val="auto"/>
              </w:rPr>
              <w:t>7</w:t>
            </w:r>
          </w:p>
        </w:tc>
        <w:tc>
          <w:tcPr>
            <w:tcW w:w="2320" w:type="dxa"/>
            <w:vAlign w:val="bottom"/>
          </w:tcPr>
          <w:p>
            <w:pPr>
              <w:spacing w:after="0"/>
              <w:rPr>
                <w:sz w:val="17"/>
                <w:szCs w:val="17"/>
                <w:color w:val="auto"/>
              </w:rPr>
            </w:pPr>
          </w:p>
        </w:tc>
        <w:tc>
          <w:tcPr>
            <w:tcW w:w="3160" w:type="dxa"/>
            <w:vAlign w:val="bottom"/>
          </w:tcPr>
          <w:p>
            <w:pPr>
              <w:spacing w:after="0"/>
              <w:rPr>
                <w:sz w:val="17"/>
                <w:szCs w:val="17"/>
                <w:color w:val="auto"/>
              </w:rPr>
            </w:pPr>
          </w:p>
        </w:tc>
      </w:tr>
      <w:tr>
        <w:trPr>
          <w:trHeight w:val="405"/>
        </w:trPr>
        <w:tc>
          <w:tcPr>
            <w:tcW w:w="1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3000" w:type="dxa"/>
            <w:vAlign w:val="bottom"/>
          </w:tcPr>
          <w:p>
            <w:pPr>
              <w:jc w:val="right"/>
              <w:ind w:right="852"/>
              <w:spacing w:after="0"/>
              <w:rPr>
                <w:sz w:val="20"/>
                <w:szCs w:val="20"/>
                <w:color w:val="auto"/>
              </w:rPr>
            </w:pPr>
            <w:r>
              <w:rPr>
                <w:rFonts w:ascii="Courier New" w:cs="Courier New" w:eastAsia="Courier New" w:hAnsi="Courier New"/>
                <w:sz w:val="18"/>
                <w:szCs w:val="18"/>
                <w:color w:val="auto"/>
                <w:w w:val="99"/>
              </w:rPr>
              <w:t>-------------------</w:t>
            </w:r>
          </w:p>
        </w:tc>
        <w:tc>
          <w:tcPr>
            <w:tcW w:w="2320" w:type="dxa"/>
            <w:vAlign w:val="bottom"/>
          </w:tcPr>
          <w:p>
            <w:pPr>
              <w:spacing w:after="0"/>
              <w:rPr>
                <w:sz w:val="24"/>
                <w:szCs w:val="24"/>
                <w:color w:val="auto"/>
              </w:rPr>
            </w:pPr>
          </w:p>
        </w:tc>
        <w:tc>
          <w:tcPr>
            <w:tcW w:w="316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31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CUSIP No. M47298100</w:t>
            </w:r>
          </w:p>
        </w:tc>
        <w:tc>
          <w:tcPr>
            <w:tcW w:w="23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13D</w:t>
            </w:r>
          </w:p>
        </w:tc>
        <w:tc>
          <w:tcPr>
            <w:tcW w:w="31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Page 7 of 11 Pages</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30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w w:val="99"/>
              </w:rPr>
              <w:t>-------------------</w:t>
            </w:r>
          </w:p>
        </w:tc>
        <w:tc>
          <w:tcPr>
            <w:tcW w:w="2320" w:type="dxa"/>
            <w:vAlign w:val="bottom"/>
          </w:tcPr>
          <w:p>
            <w:pPr>
              <w:spacing w:after="0"/>
              <w:rPr>
                <w:sz w:val="17"/>
                <w:szCs w:val="17"/>
                <w:color w:val="auto"/>
              </w:rPr>
            </w:pPr>
          </w:p>
        </w:tc>
        <w:tc>
          <w:tcPr>
            <w:tcW w:w="3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After reasonable inquiry and to the best of his knowledge and belief, the undersigned certifies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as of October 24, 2000</w:t>
      </w:r>
    </w:p>
    <w:p>
      <w:pPr>
        <w:spacing w:after="0" w:line="201"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By: /s/ Weili Dai</w:t>
      </w:r>
    </w:p>
    <w:p>
      <w:pPr>
        <w:ind w:left="4960"/>
        <w:spacing w:after="0" w:line="238" w:lineRule="auto"/>
        <w:rPr>
          <w:sz w:val="20"/>
          <w:szCs w:val="20"/>
          <w:color w:val="auto"/>
        </w:rPr>
      </w:pPr>
      <w:r>
        <w:rPr>
          <w:rFonts w:ascii="Courier New" w:cs="Courier New" w:eastAsia="Courier New" w:hAnsi="Courier New"/>
          <w:sz w:val="18"/>
          <w:szCs w:val="18"/>
          <w:color w:val="auto"/>
        </w:rPr>
        <w:t>---------------------------------</w:t>
      </w:r>
    </w:p>
    <w:p>
      <w:pPr>
        <w:ind w:left="4960"/>
        <w:spacing w:after="0"/>
        <w:tabs>
          <w:tab w:leader="none" w:pos="568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Weili Dai</w:t>
      </w:r>
    </w:p>
    <w:p>
      <w:pPr>
        <w:ind w:left="4960"/>
        <w:spacing w:after="0" w:line="237" w:lineRule="auto"/>
        <w:rPr>
          <w:sz w:val="20"/>
          <w:szCs w:val="20"/>
          <w:color w:val="auto"/>
        </w:rPr>
      </w:pPr>
      <w:r>
        <w:rPr>
          <w:rFonts w:ascii="Courier New" w:cs="Courier New" w:eastAsia="Courier New" w:hAnsi="Courier New"/>
          <w:sz w:val="18"/>
          <w:szCs w:val="18"/>
          <w:color w:val="auto"/>
        </w:rPr>
        <w:t>Title: Executive Vice President</w:t>
      </w:r>
    </w:p>
    <w:p>
      <w:pPr>
        <w:sectPr>
          <w:pgSz w:w="11900" w:h="16838" w:orient="portrait"/>
          <w:cols w:equalWidth="0" w:num="1">
            <w:col w:w="10219"/>
          </w:cols>
          <w:pgMar w:left="240" w:top="312" w:right="1440"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2960" w:type="dxa"/>
            <w:vAlign w:val="bottom"/>
          </w:tcPr>
          <w:p>
            <w:pPr>
              <w:jc w:val="right"/>
              <w:ind w:right="2612"/>
              <w:spacing w:after="0"/>
              <w:rPr>
                <w:sz w:val="20"/>
                <w:szCs w:val="20"/>
                <w:color w:val="auto"/>
              </w:rPr>
            </w:pPr>
            <w:r>
              <w:rPr>
                <w:rFonts w:ascii="Courier New" w:cs="Courier New" w:eastAsia="Courier New" w:hAnsi="Courier New"/>
                <w:sz w:val="18"/>
                <w:szCs w:val="18"/>
                <w:color w:val="auto"/>
              </w:rPr>
              <w:t>8</w:t>
            </w:r>
          </w:p>
        </w:tc>
        <w:tc>
          <w:tcPr>
            <w:tcW w:w="2320" w:type="dxa"/>
            <w:vAlign w:val="bottom"/>
          </w:tcPr>
          <w:p>
            <w:pPr>
              <w:spacing w:after="0"/>
              <w:rPr>
                <w:sz w:val="17"/>
                <w:szCs w:val="17"/>
                <w:color w:val="auto"/>
              </w:rPr>
            </w:pPr>
          </w:p>
        </w:tc>
        <w:tc>
          <w:tcPr>
            <w:tcW w:w="3200" w:type="dxa"/>
            <w:vAlign w:val="bottom"/>
          </w:tcPr>
          <w:p>
            <w:pPr>
              <w:spacing w:after="0"/>
              <w:rPr>
                <w:sz w:val="17"/>
                <w:szCs w:val="17"/>
                <w:color w:val="auto"/>
              </w:rPr>
            </w:pPr>
          </w:p>
        </w:tc>
      </w:tr>
      <w:tr>
        <w:trPr>
          <w:trHeight w:val="405"/>
        </w:trPr>
        <w:tc>
          <w:tcPr>
            <w:tcW w:w="1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2960" w:type="dxa"/>
            <w:vAlign w:val="bottom"/>
          </w:tcPr>
          <w:p>
            <w:pPr>
              <w:jc w:val="right"/>
              <w:ind w:right="812"/>
              <w:spacing w:after="0"/>
              <w:rPr>
                <w:sz w:val="20"/>
                <w:szCs w:val="20"/>
                <w:color w:val="auto"/>
              </w:rPr>
            </w:pPr>
            <w:r>
              <w:rPr>
                <w:rFonts w:ascii="Courier New" w:cs="Courier New" w:eastAsia="Courier New" w:hAnsi="Courier New"/>
                <w:sz w:val="18"/>
                <w:szCs w:val="18"/>
                <w:color w:val="auto"/>
                <w:w w:val="99"/>
              </w:rPr>
              <w:t>-------------------</w:t>
            </w:r>
          </w:p>
        </w:tc>
        <w:tc>
          <w:tcPr>
            <w:tcW w:w="2320" w:type="dxa"/>
            <w:vAlign w:val="bottom"/>
          </w:tcPr>
          <w:p>
            <w:pPr>
              <w:spacing w:after="0"/>
              <w:rPr>
                <w:sz w:val="24"/>
                <w:szCs w:val="24"/>
                <w:color w:val="auto"/>
              </w:rPr>
            </w:pPr>
          </w:p>
        </w:tc>
        <w:tc>
          <w:tcPr>
            <w:tcW w:w="320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312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CUSIP No. M47298100</w:t>
            </w:r>
          </w:p>
        </w:tc>
        <w:tc>
          <w:tcPr>
            <w:tcW w:w="2320" w:type="dxa"/>
            <w:vAlign w:val="bottom"/>
          </w:tcPr>
          <w:p>
            <w:pPr>
              <w:ind w:left="900"/>
              <w:spacing w:after="0" w:line="203" w:lineRule="exact"/>
              <w:rPr>
                <w:sz w:val="20"/>
                <w:szCs w:val="20"/>
                <w:color w:val="auto"/>
              </w:rPr>
            </w:pPr>
            <w:r>
              <w:rPr>
                <w:rFonts w:ascii="Courier New" w:cs="Courier New" w:eastAsia="Courier New" w:hAnsi="Courier New"/>
                <w:sz w:val="18"/>
                <w:szCs w:val="18"/>
                <w:color w:val="auto"/>
              </w:rPr>
              <w:t>13D</w:t>
            </w:r>
          </w:p>
        </w:tc>
        <w:tc>
          <w:tcPr>
            <w:tcW w:w="3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Page 8 of 11 Pages</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2960" w:type="dxa"/>
            <w:vAlign w:val="bottom"/>
          </w:tcPr>
          <w:p>
            <w:pPr>
              <w:jc w:val="right"/>
              <w:ind w:right="812"/>
              <w:spacing w:after="0" w:line="203" w:lineRule="exact"/>
              <w:rPr>
                <w:sz w:val="20"/>
                <w:szCs w:val="20"/>
                <w:color w:val="auto"/>
              </w:rPr>
            </w:pPr>
            <w:r>
              <w:rPr>
                <w:rFonts w:ascii="Courier New" w:cs="Courier New" w:eastAsia="Courier New" w:hAnsi="Courier New"/>
                <w:sz w:val="18"/>
                <w:szCs w:val="18"/>
                <w:color w:val="auto"/>
                <w:w w:val="99"/>
              </w:rPr>
              <w:t>-------------------</w:t>
            </w:r>
          </w:p>
        </w:tc>
        <w:tc>
          <w:tcPr>
            <w:tcW w:w="2320" w:type="dxa"/>
            <w:vAlign w:val="bottom"/>
          </w:tcPr>
          <w:p>
            <w:pPr>
              <w:spacing w:after="0"/>
              <w:rPr>
                <w:sz w:val="17"/>
                <w:szCs w:val="17"/>
                <w:color w:val="auto"/>
              </w:rPr>
            </w:pPr>
          </w:p>
        </w:tc>
        <w:tc>
          <w:tcPr>
            <w:tcW w:w="32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Appendix A</w:t>
      </w:r>
    </w:p>
    <w:p>
      <w:pPr>
        <w:jc w:val="center"/>
        <w:ind w:right="1679"/>
        <w:spacing w:after="0" w:line="238" w:lineRule="auto"/>
        <w:rPr>
          <w:sz w:val="20"/>
          <w:szCs w:val="20"/>
          <w:color w:val="auto"/>
        </w:rPr>
      </w:pPr>
      <w:r>
        <w:rPr>
          <w:rFonts w:ascii="Courier New" w:cs="Courier New" w:eastAsia="Courier New" w:hAnsi="Courier New"/>
          <w:sz w:val="18"/>
          <w:szCs w:val="18"/>
          <w:color w:val="auto"/>
        </w:rPr>
        <w:t>DIRECTORS AND EXECUTIVE OFFICERS OF MARVELL</w:t>
      </w:r>
    </w:p>
    <w:p>
      <w:pPr>
        <w:spacing w:after="0" w:line="207"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The following is a list of all directors and executive officers of Marvell and certain other information with respect to each such person. All such persons, with the exception of Herbert Chang, are United States citizens. To the knowledge of Marvell, no such person, during the last five years, has (i) been convicted in a criminal proceeding or (ii) been a party to a civil proceeding of a judicial or administrative body of competent jurisdiction and as a result of such proceeding was or is subject to a judgment, decree or final order enjoining future violations of, or prohibiting or mandating activities subject to, Federal or State securities laws or finding any violation with respect to such laws.</w:t>
      </w:r>
    </w:p>
    <w:p>
      <w:pPr>
        <w:spacing w:after="0" w:line="178"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Dr. Sehat Sutardja</w:t>
      </w:r>
    </w:p>
    <w:p>
      <w:pPr>
        <w:spacing w:after="0" w:line="207" w:lineRule="exact"/>
        <w:rPr>
          <w:sz w:val="20"/>
          <w:szCs w:val="20"/>
          <w:color w:val="auto"/>
        </w:rPr>
      </w:pPr>
    </w:p>
    <w:p>
      <w:pPr>
        <w:ind w:left="1480" w:right="1779"/>
        <w:spacing w:after="0" w:line="237" w:lineRule="auto"/>
        <w:rPr>
          <w:sz w:val="20"/>
          <w:szCs w:val="20"/>
          <w:color w:val="auto"/>
        </w:rPr>
      </w:pPr>
      <w:r>
        <w:rPr>
          <w:rFonts w:ascii="Courier New" w:cs="Courier New" w:eastAsia="Courier New" w:hAnsi="Courier New"/>
          <w:sz w:val="18"/>
          <w:szCs w:val="18"/>
          <w:color w:val="auto"/>
        </w:rPr>
        <w:t>Mr. Sehat Sutardja is President, Chief Executive Officer and Co-Chairman of the Board of Marvell. In addition, he is President, Chief Executive Officer and a director of Marvell Semiconductor, Inc. Mr. Sutardja's business address is Marvell Semiconductor, Inc., 645 Almanor Ave., Sunnyvale, CA 94086.</w:t>
      </w:r>
    </w:p>
    <w:p>
      <w:pPr>
        <w:spacing w:after="0" w:line="20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Weili Dai</w:t>
      </w:r>
    </w:p>
    <w:p>
      <w:pPr>
        <w:spacing w:after="0" w:line="207" w:lineRule="exact"/>
        <w:rPr>
          <w:sz w:val="20"/>
          <w:szCs w:val="20"/>
          <w:color w:val="auto"/>
        </w:rPr>
      </w:pPr>
    </w:p>
    <w:p>
      <w:pPr>
        <w:ind w:left="1480" w:right="1879"/>
        <w:spacing w:after="0" w:line="275" w:lineRule="auto"/>
        <w:rPr>
          <w:sz w:val="20"/>
          <w:szCs w:val="20"/>
          <w:color w:val="auto"/>
        </w:rPr>
      </w:pPr>
      <w:r>
        <w:rPr>
          <w:rFonts w:ascii="Courier New" w:cs="Courier New" w:eastAsia="Courier New" w:hAnsi="Courier New"/>
          <w:sz w:val="16"/>
          <w:szCs w:val="16"/>
          <w:color w:val="auto"/>
        </w:rPr>
        <w:t>Ms. Dai is Executive Vice President and a director of Marvell. In addition, she is Executive Vice President and a director for Marvell Semiconductor, Inc. Ms. Dai's business address is Marvell Semiconductor, Inc., 645 Almanor Ave., Sunnyvale, CA 94086.</w:t>
      </w:r>
    </w:p>
    <w:p>
      <w:pPr>
        <w:spacing w:after="0" w:line="177"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Dr. Pantas Sutardja</w:t>
      </w:r>
    </w:p>
    <w:p>
      <w:pPr>
        <w:spacing w:after="0" w:line="207" w:lineRule="exact"/>
        <w:rPr>
          <w:sz w:val="20"/>
          <w:szCs w:val="20"/>
          <w:color w:val="auto"/>
        </w:rPr>
      </w:pPr>
    </w:p>
    <w:p>
      <w:pPr>
        <w:ind w:left="1480" w:right="1779"/>
        <w:spacing w:after="0" w:line="275" w:lineRule="auto"/>
        <w:rPr>
          <w:sz w:val="20"/>
          <w:szCs w:val="20"/>
          <w:color w:val="auto"/>
        </w:rPr>
      </w:pPr>
      <w:r>
        <w:rPr>
          <w:rFonts w:ascii="Courier New" w:cs="Courier New" w:eastAsia="Courier New" w:hAnsi="Courier New"/>
          <w:sz w:val="16"/>
          <w:szCs w:val="16"/>
          <w:color w:val="auto"/>
        </w:rPr>
        <w:t>Mr. Pantas is Vice President and a director of Marvell. In addition, he is Chief Technology Officer and a director of Marvell Semiconductor, Inc. Mr. Sutardja's business address is Marvell Semiconductor, Inc., 645 Almanor Ave., Sunnyvale, CA 94086.</w:t>
      </w:r>
    </w:p>
    <w:p>
      <w:pPr>
        <w:spacing w:after="0" w:line="177"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George Hervey</w:t>
      </w:r>
    </w:p>
    <w:p>
      <w:pPr>
        <w:spacing w:after="0" w:line="207" w:lineRule="exact"/>
        <w:rPr>
          <w:sz w:val="20"/>
          <w:szCs w:val="20"/>
          <w:color w:val="auto"/>
        </w:rPr>
      </w:pPr>
    </w:p>
    <w:p>
      <w:pPr>
        <w:ind w:left="1480" w:right="1779"/>
        <w:spacing w:after="0" w:line="237" w:lineRule="auto"/>
        <w:rPr>
          <w:sz w:val="20"/>
          <w:szCs w:val="20"/>
          <w:color w:val="auto"/>
        </w:rPr>
      </w:pPr>
      <w:r>
        <w:rPr>
          <w:rFonts w:ascii="Courier New" w:cs="Courier New" w:eastAsia="Courier New" w:hAnsi="Courier New"/>
          <w:sz w:val="18"/>
          <w:szCs w:val="18"/>
          <w:color w:val="auto"/>
        </w:rPr>
        <w:t>Mr. Hervey is Vice President of Finance and Chief Financial Officer of Marvell. Mr. Hervey's business address is Marvell Semiconductor, Inc., 645 Almanor Ave., Sunnyvale, CA 94086. To the knowledge of Marvell, a description of all transactions effected by Mr. Hervey in the past 60 days and his beneficial ownership of shares of the Issuer are set forth on Attachment 1 to this Appendix A.</w:t>
      </w:r>
    </w:p>
    <w:p>
      <w:pPr>
        <w:spacing w:after="0" w:line="205"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Diosdado P. Banatao</w:t>
      </w:r>
    </w:p>
    <w:p>
      <w:pPr>
        <w:sectPr>
          <w:pgSz w:w="11900" w:h="16838" w:orient="portrait"/>
          <w:cols w:equalWidth="0" w:num="1">
            <w:col w:w="10219"/>
          </w:cols>
          <w:pgMar w:left="240" w:top="312"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9</w:t>
      </w:r>
    </w:p>
    <w:p>
      <w:pPr>
        <w:spacing w:after="0" w:line="207" w:lineRule="exact"/>
        <w:rPr>
          <w:sz w:val="20"/>
          <w:szCs w:val="20"/>
          <w:color w:val="auto"/>
        </w:rPr>
      </w:pPr>
    </w:p>
    <w:p>
      <w:pPr>
        <w:jc w:val="both"/>
        <w:ind w:left="1480" w:right="1999"/>
        <w:spacing w:after="0" w:line="279" w:lineRule="auto"/>
        <w:rPr>
          <w:sz w:val="20"/>
          <w:szCs w:val="20"/>
          <w:color w:val="auto"/>
        </w:rPr>
      </w:pPr>
      <w:r>
        <w:rPr>
          <w:rFonts w:ascii="Courier New" w:cs="Courier New" w:eastAsia="Courier New" w:hAnsi="Courier New"/>
          <w:sz w:val="16"/>
          <w:szCs w:val="16"/>
          <w:color w:val="auto"/>
        </w:rPr>
        <w:t>Mr. Banatao is Co-Chairman of the Board of Marvell and a partner in Mayfield Fund, a venture capital fund. Mr. Banatao's business address is 635 Waverley Street, Palo Alto, California 94301.</w:t>
      </w:r>
    </w:p>
    <w:p>
      <w:pPr>
        <w:spacing w:after="0" w:line="17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Herbert Chang</w:t>
      </w:r>
    </w:p>
    <w:p>
      <w:pPr>
        <w:spacing w:after="0" w:line="207" w:lineRule="exact"/>
        <w:rPr>
          <w:sz w:val="20"/>
          <w:szCs w:val="20"/>
          <w:color w:val="auto"/>
        </w:rPr>
      </w:pPr>
    </w:p>
    <w:p>
      <w:pPr>
        <w:ind w:left="1480" w:right="1779"/>
        <w:spacing w:after="0" w:line="237" w:lineRule="auto"/>
        <w:rPr>
          <w:sz w:val="20"/>
          <w:szCs w:val="20"/>
          <w:color w:val="auto"/>
        </w:rPr>
      </w:pPr>
      <w:r>
        <w:rPr>
          <w:rFonts w:ascii="Courier New" w:cs="Courier New" w:eastAsia="Courier New" w:hAnsi="Courier New"/>
          <w:sz w:val="18"/>
          <w:szCs w:val="18"/>
          <w:color w:val="auto"/>
        </w:rPr>
        <w:t>Mr. Chang is a director of Marvell and President of InveStar Capital, Inc., a technology venture capital management firm based in Taiwan. Mr. Chang's business address is 3600 Pruneridge Avenue, Santa Clara, California 95051. Mr. Chang is a citizen of Taiwan (ROC).</w:t>
      </w:r>
    </w:p>
    <w:p>
      <w:pPr>
        <w:spacing w:after="0" w:line="20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John M. Cioffi</w:t>
      </w:r>
    </w:p>
    <w:p>
      <w:pPr>
        <w:spacing w:after="0" w:line="207" w:lineRule="exact"/>
        <w:rPr>
          <w:sz w:val="20"/>
          <w:szCs w:val="20"/>
          <w:color w:val="auto"/>
        </w:rPr>
      </w:pPr>
    </w:p>
    <w:p>
      <w:pPr>
        <w:jc w:val="both"/>
        <w:ind w:left="1480" w:right="1879"/>
        <w:spacing w:after="0" w:line="279" w:lineRule="auto"/>
        <w:rPr>
          <w:sz w:val="20"/>
          <w:szCs w:val="20"/>
          <w:color w:val="auto"/>
        </w:rPr>
      </w:pPr>
      <w:r>
        <w:rPr>
          <w:rFonts w:ascii="Courier New" w:cs="Courier New" w:eastAsia="Courier New" w:hAnsi="Courier New"/>
          <w:sz w:val="16"/>
          <w:szCs w:val="16"/>
          <w:color w:val="auto"/>
        </w:rPr>
        <w:t>Mr. Cioffi is a director of Marvell and a professor of Electrical Engineering at Stanford University. Mr. Cioffi's business address is 1540 Oak Space Creek #304, Palo Alto, California 94304.</w:t>
      </w:r>
    </w:p>
    <w:p>
      <w:pPr>
        <w:spacing w:after="0" w:line="17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Paul R. Gray</w:t>
      </w:r>
    </w:p>
    <w:p>
      <w:pPr>
        <w:spacing w:after="0" w:line="207" w:lineRule="exact"/>
        <w:rPr>
          <w:sz w:val="20"/>
          <w:szCs w:val="20"/>
          <w:color w:val="auto"/>
        </w:rPr>
      </w:pPr>
    </w:p>
    <w:p>
      <w:pPr>
        <w:ind w:left="1480" w:right="2319"/>
        <w:spacing w:after="0" w:line="275" w:lineRule="auto"/>
        <w:rPr>
          <w:sz w:val="20"/>
          <w:szCs w:val="20"/>
          <w:color w:val="auto"/>
        </w:rPr>
      </w:pPr>
      <w:r>
        <w:rPr>
          <w:rFonts w:ascii="Courier New" w:cs="Courier New" w:eastAsia="Courier New" w:hAnsi="Courier New"/>
          <w:sz w:val="16"/>
          <w:szCs w:val="16"/>
          <w:color w:val="auto"/>
        </w:rPr>
        <w:t>Mr. Gray is a director of Marvell and Dean of the College of Engineering at the University of California at Berkeley and Executive Vice Chancellor and Provost. Mr. Gray's residential address is 63 La Cruesta, Orinda, California 94536.</w:t>
      </w:r>
    </w:p>
    <w:p>
      <w:pPr>
        <w:spacing w:after="0" w:line="177"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Ron Verdoorn</w:t>
      </w:r>
    </w:p>
    <w:p>
      <w:pPr>
        <w:spacing w:after="0" w:line="207" w:lineRule="exact"/>
        <w:rPr>
          <w:sz w:val="20"/>
          <w:szCs w:val="20"/>
          <w:color w:val="auto"/>
        </w:rPr>
      </w:pPr>
    </w:p>
    <w:p>
      <w:pPr>
        <w:ind w:left="1480" w:right="1779"/>
        <w:spacing w:after="0" w:line="272" w:lineRule="auto"/>
        <w:rPr>
          <w:sz w:val="20"/>
          <w:szCs w:val="20"/>
          <w:color w:val="auto"/>
        </w:rPr>
      </w:pPr>
      <w:r>
        <w:rPr>
          <w:rFonts w:ascii="Courier New" w:cs="Courier New" w:eastAsia="Courier New" w:hAnsi="Courier New"/>
          <w:sz w:val="16"/>
          <w:szCs w:val="16"/>
          <w:color w:val="auto"/>
        </w:rPr>
        <w:t>Mr. Verdoorn is a director of Marvell and Executive Vice President of Manufacturing for Affymetrix, Inc., a company specializing in the development of technology for acquiring and managing complex genetic information for use in biomedical research, genomics and clinical diagnostics. Mr. Verdoorn's residential address is 18850 Bella Vina, Saratoga, California 95070.</w:t>
      </w:r>
    </w:p>
    <w:p>
      <w:pPr>
        <w:sectPr>
          <w:pgSz w:w="11900" w:h="16838" w:orient="portrait"/>
          <w:cols w:equalWidth="0" w:num="1">
            <w:col w:w="10219"/>
          </w:cols>
          <w:pgMar w:left="240" w:top="312" w:right="1440" w:bottom="1440" w:gutter="0" w:footer="0" w:header="0"/>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10</w:t>
      </w:r>
    </w:p>
    <w:p>
      <w:pPr>
        <w:sectPr>
          <w:pgSz w:w="11900" w:h="16838" w:orient="portrait"/>
          <w:cols w:equalWidth="0" w:num="1">
            <w:col w:w="10219"/>
          </w:cols>
          <w:pgMar w:left="240" w:top="312" w:right="1440" w:bottom="1440" w:gutter="0" w:footer="0" w:header="0"/>
        </w:sectPr>
      </w:pPr>
    </w:p>
    <w:p>
      <w:pPr>
        <w:spacing w:after="0" w:line="207" w:lineRule="exact"/>
        <w:rPr>
          <w:sz w:val="20"/>
          <w:szCs w:val="20"/>
          <w:color w:val="auto"/>
        </w:rPr>
      </w:pPr>
    </w:p>
    <w:p>
      <w:pPr>
        <w:ind w:right="1180"/>
        <w:spacing w:after="0" w:line="279" w:lineRule="auto"/>
        <w:rPr>
          <w:sz w:val="20"/>
          <w:szCs w:val="20"/>
          <w:color w:val="auto"/>
        </w:rPr>
      </w:pPr>
      <w:r>
        <w:rPr>
          <w:rFonts w:ascii="Courier New" w:cs="Courier New" w:eastAsia="Courier New" w:hAnsi="Courier New"/>
          <w:sz w:val="16"/>
          <w:szCs w:val="16"/>
          <w:color w:val="auto"/>
        </w:rPr>
        <w:t>- ------------------- CUSIP No. M47298100 - -------------------</w:t>
      </w:r>
    </w:p>
    <w:p>
      <w:pPr>
        <w:spacing w:after="0" w:line="20" w:lineRule="exact"/>
        <w:rPr>
          <w:sz w:val="20"/>
          <w:szCs w:val="20"/>
          <w:color w:val="auto"/>
        </w:rPr>
      </w:pPr>
      <w:r>
        <w:rPr>
          <w:sz w:val="20"/>
          <w:szCs w:val="20"/>
          <w:color w:val="auto"/>
        </w:rPr>
        <w:br w:type="column"/>
      </w:r>
    </w:p>
    <w:p>
      <w:pPr>
        <w:spacing w:after="0" w:line="389" w:lineRule="exact"/>
        <w:rPr>
          <w:sz w:val="20"/>
          <w:szCs w:val="20"/>
          <w:color w:val="auto"/>
        </w:rPr>
      </w:pPr>
    </w:p>
    <w:p>
      <w:pPr>
        <w:jc w:val="center"/>
        <w:ind w:right="1280"/>
        <w:spacing w:after="0"/>
        <w:rPr>
          <w:sz w:val="20"/>
          <w:szCs w:val="20"/>
          <w:color w:val="auto"/>
        </w:rPr>
      </w:pPr>
      <w:r>
        <w:rPr>
          <w:rFonts w:ascii="Courier New" w:cs="Courier New" w:eastAsia="Courier New" w:hAnsi="Courier New"/>
          <w:sz w:val="16"/>
          <w:szCs w:val="16"/>
          <w:color w:val="auto"/>
        </w:rPr>
        <w:t>13D</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Page 10 of 11 Pages</w:t>
      </w:r>
    </w:p>
    <w:p>
      <w:pPr>
        <w:spacing w:after="0" w:line="4"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223" w:lineRule="exact"/>
        <w:rPr>
          <w:sz w:val="20"/>
          <w:szCs w:val="20"/>
          <w:color w:val="auto"/>
        </w:rPr>
      </w:pPr>
    </w:p>
    <w:p>
      <w:pPr>
        <w:sectPr>
          <w:pgSz w:w="11900" w:h="16838" w:orient="portrait"/>
          <w:cols w:equalWidth="0" w:num="3">
            <w:col w:w="3400" w:space="720"/>
            <w:col w:w="1600" w:space="720"/>
            <w:col w:w="3779"/>
          </w:cols>
          <w:pgMar w:left="240" w:top="312" w:right="1440" w:bottom="1440" w:gutter="0" w:footer="0" w:header="0"/>
          <w:type w:val="continuous"/>
        </w:sectPr>
      </w:pPr>
    </w:p>
    <w:p>
      <w:pPr>
        <w:ind w:left="358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312"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640"/>
        <w:spacing w:after="0"/>
        <w:rPr>
          <w:sz w:val="20"/>
          <w:szCs w:val="20"/>
          <w:color w:val="auto"/>
        </w:rPr>
      </w:pPr>
      <w:r>
        <w:rPr>
          <w:rFonts w:ascii="Courier New" w:cs="Courier New" w:eastAsia="Courier New" w:hAnsi="Courier New"/>
          <w:sz w:val="16"/>
          <w:szCs w:val="16"/>
          <w:color w:val="auto"/>
        </w:rPr>
        <w:t>EXHIBIT NO.</w:t>
      </w:r>
    </w:p>
    <w:p>
      <w:pPr>
        <w:spacing w:after="0" w:line="21" w:lineRule="exact"/>
        <w:rPr>
          <w:sz w:val="20"/>
          <w:szCs w:val="20"/>
          <w:color w:val="auto"/>
        </w:rPr>
      </w:pPr>
    </w:p>
    <w:p>
      <w:pPr>
        <w:ind w:left="6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DESCRIPTION</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2020" w:space="720"/>
            <w:col w:w="7479"/>
          </w:cols>
          <w:pgMar w:left="240" w:top="312" w:right="1440" w:bottom="1440" w:gutter="0" w:footer="0" w:header="0"/>
          <w:type w:val="continuous"/>
        </w:sectPr>
      </w:pPr>
    </w:p>
    <w:p>
      <w:pPr>
        <w:spacing w:after="0" w:line="24" w:lineRule="exact"/>
        <w:rPr>
          <w:sz w:val="20"/>
          <w:szCs w:val="20"/>
          <w:color w:val="auto"/>
        </w:rPr>
      </w:pPr>
    </w:p>
    <w:p>
      <w:pPr>
        <w:ind w:left="2740" w:right="1879" w:hanging="1573"/>
        <w:spacing w:after="0" w:line="237" w:lineRule="auto"/>
        <w:tabs>
          <w:tab w:leader="none" w:pos="27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Stock Option Agreement, dated as of October 16, 2000, by and between Marvell Technology Group Ltd. and Galileo Technology Ltd., incorporated by reference to Marvell's filing on October 20, 2000 pursuant to Rule 425 promulgated under the Securities Act of 1933, as amended.</w:t>
      </w:r>
    </w:p>
    <w:p>
      <w:pPr>
        <w:spacing w:after="0" w:line="210" w:lineRule="exact"/>
        <w:rPr>
          <w:sz w:val="20"/>
          <w:szCs w:val="20"/>
          <w:color w:val="auto"/>
        </w:rPr>
      </w:pPr>
    </w:p>
    <w:p>
      <w:pPr>
        <w:ind w:left="2740" w:right="1879" w:hanging="1573"/>
        <w:spacing w:after="0" w:line="237" w:lineRule="auto"/>
        <w:tabs>
          <w:tab w:leader="none" w:pos="274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Agreement of Merger, dated as of October 16, 2000, by and among Marvell Technology Group Ltd., Galileo Technology Ltd., and Toshack Acquisitions Ltd., incorporated by reference to Marvell's filing on October 20, 2000 pursuant to Rule 425 promulgated under the Securities Act of 1933, as</w:t>
      </w:r>
    </w:p>
    <w:p>
      <w:pPr>
        <w:spacing w:after="0" w:line="2" w:lineRule="exact"/>
        <w:rPr>
          <w:rFonts w:ascii="Courier New" w:cs="Courier New" w:eastAsia="Courier New" w:hAnsi="Courier New"/>
          <w:sz w:val="18"/>
          <w:szCs w:val="18"/>
          <w:color w:val="auto"/>
        </w:rPr>
      </w:pPr>
    </w:p>
    <w:p>
      <w:pPr>
        <w:ind w:left="27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amended.</w:t>
      </w:r>
    </w:p>
    <w:p>
      <w:pPr>
        <w:sectPr>
          <w:pgSz w:w="11900" w:h="16838" w:orient="portrait"/>
          <w:cols w:equalWidth="0" w:num="1">
            <w:col w:w="10219"/>
          </w:cols>
          <w:pgMar w:left="240" w:top="312" w:right="1440" w:bottom="1440" w:gutter="0" w:footer="0" w:header="0"/>
          <w:type w:val="continuous"/>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312" w:right="1440" w:bottom="1440" w:gutter="0" w:footer="0" w:header="0"/>
        </w:sectPr>
      </w:pPr>
    </w:p>
    <w:p>
      <w:pPr>
        <w:spacing w:after="0" w:line="4" w:lineRule="exact"/>
        <w:rPr>
          <w:sz w:val="20"/>
          <w:szCs w:val="20"/>
          <w:color w:val="auto"/>
        </w:rPr>
      </w:pPr>
    </w:p>
    <w:p>
      <w:pPr>
        <w:ind w:right="1080"/>
        <w:spacing w:after="0" w:line="279" w:lineRule="auto"/>
        <w:rPr>
          <w:sz w:val="20"/>
          <w:szCs w:val="20"/>
          <w:color w:val="auto"/>
        </w:rPr>
      </w:pPr>
      <w:r>
        <w:rPr>
          <w:rFonts w:ascii="Courier New" w:cs="Courier New" w:eastAsia="Courier New" w:hAnsi="Courier New"/>
          <w:sz w:val="16"/>
          <w:szCs w:val="16"/>
          <w:color w:val="auto"/>
        </w:rPr>
        <w:t>- ------------------- CUSIP No. M47298100 -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13D</w:t>
      </w:r>
    </w:p>
    <w:p>
      <w:pPr>
        <w:spacing w:after="0" w:line="20" w:lineRule="exact"/>
        <w:rPr>
          <w:sz w:val="20"/>
          <w:szCs w:val="20"/>
          <w:color w:val="auto"/>
        </w:rPr>
      </w:pPr>
      <w:r>
        <w:rPr>
          <w:sz w:val="20"/>
          <w:szCs w:val="20"/>
          <w:color w:val="auto"/>
        </w:rPr>
        <w:br w:type="column"/>
      </w:r>
    </w:p>
    <w:p>
      <w:pPr>
        <w:ind w:left="20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Page 11 of 11 Pages</w:t>
      </w:r>
    </w:p>
    <w:p>
      <w:pPr>
        <w:spacing w:after="0" w:line="4"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223" w:lineRule="exact"/>
        <w:rPr>
          <w:sz w:val="20"/>
          <w:szCs w:val="20"/>
          <w:color w:val="auto"/>
        </w:rPr>
      </w:pPr>
    </w:p>
    <w:p>
      <w:pPr>
        <w:sectPr>
          <w:pgSz w:w="11900" w:h="16838" w:orient="portrait"/>
          <w:cols w:equalWidth="0" w:num="3">
            <w:col w:w="3300" w:space="720"/>
            <w:col w:w="1700" w:space="720"/>
            <w:col w:w="3779"/>
          </w:cols>
          <w:pgMar w:left="240" w:top="312" w:right="1440" w:bottom="1440" w:gutter="0" w:footer="0" w:header="0"/>
          <w:type w:val="continuous"/>
        </w:sectPr>
      </w:pPr>
    </w:p>
    <w:p>
      <w:pPr>
        <w:jc w:val="center"/>
        <w:ind w:right="1779"/>
        <w:spacing w:after="0"/>
        <w:rPr>
          <w:sz w:val="20"/>
          <w:szCs w:val="20"/>
          <w:color w:val="auto"/>
        </w:rPr>
      </w:pPr>
      <w:r>
        <w:rPr>
          <w:rFonts w:ascii="Courier New" w:cs="Courier New" w:eastAsia="Courier New" w:hAnsi="Courier New"/>
          <w:sz w:val="16"/>
          <w:szCs w:val="16"/>
          <w:color w:val="auto"/>
        </w:rPr>
        <w:t>Attachment 1</w:t>
      </w:r>
    </w:p>
    <w:p>
      <w:pPr>
        <w:spacing w:after="0" w:line="16"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to</w:t>
      </w:r>
    </w:p>
    <w:p>
      <w:pPr>
        <w:jc w:val="center"/>
        <w:ind w:right="1779"/>
        <w:spacing w:after="0" w:line="238" w:lineRule="auto"/>
        <w:rPr>
          <w:sz w:val="20"/>
          <w:szCs w:val="20"/>
          <w:color w:val="auto"/>
        </w:rPr>
      </w:pPr>
      <w:r>
        <w:rPr>
          <w:rFonts w:ascii="Courier New" w:cs="Courier New" w:eastAsia="Courier New" w:hAnsi="Courier New"/>
          <w:sz w:val="18"/>
          <w:szCs w:val="18"/>
          <w:color w:val="auto"/>
        </w:rPr>
        <w:t>Appendix A</w:t>
      </w:r>
    </w:p>
    <w:p>
      <w:pPr>
        <w:sectPr>
          <w:pgSz w:w="11900" w:h="16838" w:orient="portrait"/>
          <w:cols w:equalWidth="0" w:num="1">
            <w:col w:w="10219"/>
          </w:cols>
          <w:pgMar w:left="240" w:top="312" w:right="1440" w:bottom="1440" w:gutter="0" w:footer="0" w:header="0"/>
          <w:type w:val="continuous"/>
        </w:sectPr>
      </w:pP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Set forth below are exercises of options of the Issuer effected by Mr. George Hervey in the past 60 days. The options were granted to Mr. Hervey during the period Mr. Hervey was an officer of the Issuer from March 1997 to April 2000 and would have terminated 6 months after Mr. Hervey left his employment at the Issuer had they not been exercised. The shares of the Issuer purchased upon exercise of the options were sold on the date of exercise in broker transactions at market prices.</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1900" w:type="dxa"/>
            <w:vAlign w:val="bottom"/>
          </w:tcPr>
          <w:p>
            <w:pPr>
              <w:jc w:val="right"/>
              <w:ind w:right="552"/>
              <w:spacing w:after="0"/>
              <w:rPr>
                <w:sz w:val="20"/>
                <w:szCs w:val="20"/>
                <w:color w:val="auto"/>
              </w:rPr>
            </w:pPr>
            <w:r>
              <w:rPr>
                <w:rFonts w:ascii="Courier New" w:cs="Courier New" w:eastAsia="Courier New" w:hAnsi="Courier New"/>
                <w:sz w:val="18"/>
                <w:szCs w:val="18"/>
                <w:color w:val="auto"/>
                <w:w w:val="95"/>
              </w:rPr>
              <w:t>DATE OF SALE</w:t>
            </w:r>
          </w:p>
        </w:tc>
        <w:tc>
          <w:tcPr>
            <w:tcW w:w="2100" w:type="dxa"/>
            <w:vAlign w:val="bottom"/>
          </w:tcPr>
          <w:p>
            <w:pPr>
              <w:jc w:val="right"/>
              <w:ind w:right="532"/>
              <w:spacing w:after="0"/>
              <w:rPr>
                <w:sz w:val="20"/>
                <w:szCs w:val="20"/>
                <w:color w:val="auto"/>
              </w:rPr>
            </w:pPr>
            <w:r>
              <w:rPr>
                <w:rFonts w:ascii="Courier New" w:cs="Courier New" w:eastAsia="Courier New" w:hAnsi="Courier New"/>
                <w:sz w:val="18"/>
                <w:szCs w:val="18"/>
                <w:color w:val="auto"/>
              </w:rPr>
              <w:t>NO. SHARES</w:t>
            </w:r>
          </w:p>
        </w:tc>
        <w:tc>
          <w:tcPr>
            <w:tcW w:w="2580" w:type="dxa"/>
            <w:vAlign w:val="bottom"/>
            <w:gridSpan w:val="2"/>
          </w:tcPr>
          <w:p>
            <w:pPr>
              <w:jc w:val="right"/>
              <w:ind w:right="372"/>
              <w:spacing w:after="0"/>
              <w:rPr>
                <w:sz w:val="20"/>
                <w:szCs w:val="20"/>
                <w:color w:val="auto"/>
              </w:rPr>
            </w:pPr>
            <w:r>
              <w:rPr>
                <w:rFonts w:ascii="Courier New" w:cs="Courier New" w:eastAsia="Courier New" w:hAnsi="Courier New"/>
                <w:sz w:val="18"/>
                <w:szCs w:val="18"/>
                <w:color w:val="auto"/>
              </w:rPr>
              <w:t>EXERCISE PRICE</w:t>
            </w:r>
          </w:p>
        </w:tc>
        <w:tc>
          <w:tcPr>
            <w:tcW w:w="1540" w:type="dxa"/>
            <w:vAlign w:val="bottom"/>
          </w:tcPr>
          <w:p>
            <w:pPr>
              <w:ind w:left="480"/>
              <w:spacing w:after="0"/>
              <w:rPr>
                <w:sz w:val="20"/>
                <w:szCs w:val="20"/>
                <w:color w:val="auto"/>
              </w:rPr>
            </w:pPr>
            <w:r>
              <w:rPr>
                <w:rFonts w:ascii="Courier New" w:cs="Courier New" w:eastAsia="Courier New" w:hAnsi="Courier New"/>
                <w:sz w:val="18"/>
                <w:szCs w:val="18"/>
                <w:color w:val="auto"/>
                <w:w w:val="96"/>
              </w:rPr>
              <w:t>SALE PRICE</w:t>
            </w:r>
          </w:p>
        </w:tc>
      </w:tr>
      <w:tr>
        <w:trPr>
          <w:trHeight w:val="203"/>
        </w:trPr>
        <w:tc>
          <w:tcPr>
            <w:tcW w:w="190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w w:val="95"/>
              </w:rPr>
              <w:t>------------</w:t>
            </w:r>
          </w:p>
        </w:tc>
        <w:tc>
          <w:tcPr>
            <w:tcW w:w="210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rPr>
              <w:t>----------</w:t>
            </w:r>
          </w:p>
        </w:tc>
        <w:tc>
          <w:tcPr>
            <w:tcW w:w="2580" w:type="dxa"/>
            <w:vAlign w:val="bottom"/>
            <w:gridSpan w:val="2"/>
          </w:tcPr>
          <w:p>
            <w:pPr>
              <w:jc w:val="right"/>
              <w:ind w:right="37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405"/>
        </w:trPr>
        <w:tc>
          <w:tcPr>
            <w:tcW w:w="190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8/28/00</w:t>
            </w:r>
          </w:p>
        </w:tc>
        <w:tc>
          <w:tcPr>
            <w:tcW w:w="210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400</w:t>
            </w:r>
          </w:p>
        </w:tc>
        <w:tc>
          <w:tcPr>
            <w:tcW w:w="96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rPr>
                <w:sz w:val="20"/>
                <w:szCs w:val="20"/>
                <w:color w:val="auto"/>
              </w:rPr>
            </w:pPr>
            <w:r>
              <w:rPr>
                <w:rFonts w:ascii="Courier New" w:cs="Courier New" w:eastAsia="Courier New" w:hAnsi="Courier New"/>
                <w:sz w:val="18"/>
                <w:szCs w:val="18"/>
                <w:color w:val="auto"/>
                <w:w w:val="95"/>
              </w:rPr>
              <w:t>16.6875</w:t>
            </w:r>
          </w:p>
        </w:tc>
        <w:tc>
          <w:tcPr>
            <w:tcW w:w="1540" w:type="dxa"/>
            <w:vAlign w:val="bottom"/>
          </w:tcPr>
          <w:p>
            <w:pPr>
              <w:jc w:val="center"/>
              <w:ind w:left="392"/>
              <w:spacing w:after="0"/>
              <w:rPr>
                <w:sz w:val="20"/>
                <w:szCs w:val="20"/>
                <w:color w:val="auto"/>
              </w:rPr>
            </w:pPr>
            <w:r>
              <w:rPr>
                <w:rFonts w:ascii="Courier New" w:cs="Courier New" w:eastAsia="Courier New" w:hAnsi="Courier New"/>
                <w:sz w:val="18"/>
                <w:szCs w:val="18"/>
                <w:color w:val="auto"/>
                <w:w w:val="99"/>
              </w:rPr>
              <w:t>$27.2500</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8/28/00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3,498</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w w:val="95"/>
              </w:rPr>
              <w:t>16.6875</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$26.8750</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8/28/00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4,000</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rPr>
              <w:t>5.6250</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$26.8750</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9/7/00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3,000</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rPr>
              <w:t>5.6250</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$28.3125</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9/7/00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2,000</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w w:val="95"/>
              </w:rPr>
              <w:t>16.6875</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$28.3125</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9/11/00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24,330</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rPr>
              <w:t>3.5000</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$27.0000</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9/13/00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3,500</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rPr>
              <w:t>3.5000</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$26.0000</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9/13/00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6,000</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w w:val="95"/>
              </w:rPr>
              <w:t>16.6875</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$26.0000</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9/13/00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18,670</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w w:val="95"/>
              </w:rPr>
              <w:t>16.6875</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$25.6875</w:t>
            </w:r>
          </w:p>
        </w:tc>
      </w:tr>
      <w:tr>
        <w:trPr>
          <w:trHeight w:val="203"/>
        </w:trPr>
        <w:tc>
          <w:tcPr>
            <w:tcW w:w="19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9/18/00</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12,000</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620" w:type="dxa"/>
            <w:vAlign w:val="bottom"/>
          </w:tcPr>
          <w:p>
            <w:pPr>
              <w:jc w:val="right"/>
              <w:ind w:right="792"/>
              <w:spacing w:after="0" w:line="203" w:lineRule="exact"/>
              <w:rPr>
                <w:sz w:val="20"/>
                <w:szCs w:val="20"/>
                <w:color w:val="auto"/>
              </w:rPr>
            </w:pPr>
            <w:r>
              <w:rPr>
                <w:rFonts w:ascii="Courier New" w:cs="Courier New" w:eastAsia="Courier New" w:hAnsi="Courier New"/>
                <w:sz w:val="18"/>
                <w:szCs w:val="18"/>
                <w:color w:val="auto"/>
              </w:rPr>
              <w:t>5.6250</w:t>
            </w:r>
          </w:p>
        </w:tc>
        <w:tc>
          <w:tcPr>
            <w:tcW w:w="154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9"/>
              </w:rPr>
              <w:t>$26.4375</w:t>
            </w:r>
          </w:p>
        </w:tc>
      </w:tr>
      <w:tr>
        <w:trPr>
          <w:trHeight w:val="203"/>
        </w:trPr>
        <w:tc>
          <w:tcPr>
            <w:tcW w:w="1900" w:type="dxa"/>
            <w:vAlign w:val="bottom"/>
          </w:tcPr>
          <w:p>
            <w:pPr>
              <w:spacing w:after="0"/>
              <w:rPr>
                <w:sz w:val="17"/>
                <w:szCs w:val="17"/>
                <w:color w:val="auto"/>
              </w:rPr>
            </w:pP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1540" w:type="dxa"/>
            <w:vAlign w:val="bottom"/>
          </w:tcPr>
          <w:p>
            <w:pPr>
              <w:spacing w:after="0"/>
              <w:rPr>
                <w:sz w:val="17"/>
                <w:szCs w:val="17"/>
                <w:color w:val="auto"/>
              </w:rPr>
            </w:pPr>
          </w:p>
        </w:tc>
      </w:tr>
      <w:tr>
        <w:trPr>
          <w:trHeight w:val="203"/>
        </w:trPr>
        <w:tc>
          <w:tcPr>
            <w:tcW w:w="19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Totals</w:t>
            </w: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77,398</w:t>
            </w:r>
          </w:p>
        </w:tc>
        <w:tc>
          <w:tcPr>
            <w:tcW w:w="96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1540" w:type="dxa"/>
            <w:vAlign w:val="bottom"/>
          </w:tcPr>
          <w:p>
            <w:pPr>
              <w:spacing w:after="0"/>
              <w:rPr>
                <w:sz w:val="17"/>
                <w:szCs w:val="17"/>
                <w:color w:val="auto"/>
              </w:rPr>
            </w:pPr>
          </w:p>
        </w:tc>
      </w:tr>
      <w:tr>
        <w:trPr>
          <w:trHeight w:val="203"/>
        </w:trPr>
        <w:tc>
          <w:tcPr>
            <w:tcW w:w="1900" w:type="dxa"/>
            <w:vAlign w:val="bottom"/>
          </w:tcPr>
          <w:p>
            <w:pPr>
              <w:spacing w:after="0"/>
              <w:rPr>
                <w:sz w:val="17"/>
                <w:szCs w:val="17"/>
                <w:color w:val="auto"/>
              </w:rPr>
            </w:pPr>
          </w:p>
        </w:tc>
        <w:tc>
          <w:tcPr>
            <w:tcW w:w="21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1540" w:type="dxa"/>
            <w:vAlign w:val="bottom"/>
          </w:tcPr>
          <w:p>
            <w:pPr>
              <w:spacing w:after="0"/>
              <w:rPr>
                <w:sz w:val="17"/>
                <w:szCs w:val="17"/>
                <w:color w:val="auto"/>
              </w:rPr>
            </w:pP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Mr. Hervey no longer holds any options to purchase shares of the Issuer.</w:t>
      </w:r>
    </w:p>
    <w:sectPr>
      <w:pgSz w:w="11900" w:h="16838" w:orient="portrait"/>
      <w:cols w:equalWidth="0" w:num="1">
        <w:col w:w="10219"/>
      </w:cols>
      <w:pgMar w:left="240" w:top="31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2200854"/>
    <w:multiLevelType w:val="hybridMultilevel"/>
    <w:lvl w:ilvl="0">
      <w:lvlJc w:val="left"/>
      <w:lvlText w:val="-"/>
      <w:numFmt w:val="bullet"/>
      <w:start w:val="1"/>
    </w:lvl>
    <w:lvl w:ilvl="1">
      <w:lvlJc w:val="left"/>
      <w:lvlText w:val="(%2)"/>
      <w:numFmt w:val="decimal"/>
      <w:start w:val="1"/>
    </w:lvl>
    <w:lvl w:ilvl="2">
      <w:lvlJc w:val="left"/>
      <w:lvlText w:val="%3"/>
      <w:numFmt w:val="lowerLetter"/>
      <w:start w:val="1"/>
    </w:lvl>
  </w:abstractNum>
  <w:abstractNum w:abstractNumId="1">
    <w:nsid w:val="4DB127F8"/>
    <w:multiLevelType w:val="hybridMultilevel"/>
    <w:lvl w:ilvl="0">
      <w:lvlJc w:val="left"/>
      <w:lvlText w:val="-"/>
      <w:numFmt w:val="bullet"/>
      <w:start w:val="1"/>
    </w:lvl>
    <w:lvl w:ilvl="1">
      <w:lvlJc w:val="left"/>
      <w:lvlText w:val="(%2)"/>
      <w:numFmt w:val="decimal"/>
      <w:start w:val="2"/>
    </w:lvl>
    <w:lvl w:ilvl="2">
      <w:lvlJc w:val="left"/>
      <w:lvlText w:val="(%3)"/>
      <w:numFmt w:val="lowerLetter"/>
      <w:start w:val="1"/>
    </w:lvl>
  </w:abstractNum>
  <w:abstractNum w:abstractNumId="2">
    <w:nsid w:val="216231B"/>
    <w:multiLevelType w:val="hybridMultilevel"/>
    <w:lvl w:ilvl="0">
      <w:lvlJc w:val="left"/>
      <w:lvlText w:val="-"/>
      <w:numFmt w:val="bullet"/>
      <w:start w:val="1"/>
    </w:lvl>
    <w:lvl w:ilvl="1">
      <w:lvlJc w:val="left"/>
      <w:lvlText w:val="(%2)"/>
      <w:numFmt w:val="decimal"/>
      <w:start w:val="3"/>
    </w:lvl>
    <w:lvl w:ilvl="2">
      <w:lvlJc w:val="left"/>
      <w:lvlText w:val="%3"/>
      <w:numFmt w:val="lowerLetter"/>
      <w:start w:val="1"/>
    </w:lvl>
  </w:abstractNum>
  <w:abstractNum w:abstractNumId="3">
    <w:nsid w:val="1F16E9E8"/>
    <w:multiLevelType w:val="hybridMultilevel"/>
    <w:lvl w:ilvl="0">
      <w:lvlJc w:val="left"/>
      <w:lvlText w:val="-"/>
      <w:numFmt w:val="bullet"/>
      <w:start w:val="1"/>
    </w:lvl>
    <w:lvl w:ilvl="1">
      <w:lvlJc w:val="left"/>
      <w:lvlText w:val="(%2)"/>
      <w:numFmt w:val="decimal"/>
      <w:start w:val="4"/>
    </w:lvl>
    <w:lvl w:ilvl="2">
      <w:lvlJc w:val="left"/>
      <w:lvlText w:val="%3"/>
      <w:numFmt w:val="lowerLetter"/>
      <w:start w:val="1"/>
    </w:lvl>
  </w:abstractNum>
  <w:abstractNum w:abstractNumId="4">
    <w:nsid w:val="1190CDE7"/>
    <w:multiLevelType w:val="hybridMultilevel"/>
    <w:lvl w:ilvl="0">
      <w:lvlJc w:val="left"/>
      <w:lvlText w:val="-"/>
      <w:numFmt w:val="bullet"/>
      <w:start w:val="1"/>
    </w:lvl>
    <w:lvl w:ilvl="1">
      <w:lvlJc w:val="left"/>
      <w:lvlText w:val="(%2)"/>
      <w:numFmt w:val="decimal"/>
      <w:start w:val="5"/>
    </w:lvl>
  </w:abstractNum>
  <w:abstractNum w:abstractNumId="5">
    <w:nsid w:val="66EF438D"/>
    <w:multiLevelType w:val="hybridMultilevel"/>
    <w:lvl w:ilvl="0">
      <w:lvlJc w:val="left"/>
      <w:lvlText w:val="-"/>
      <w:numFmt w:val="bullet"/>
      <w:start w:val="1"/>
    </w:lvl>
    <w:lvl w:ilvl="1">
      <w:lvlJc w:val="left"/>
      <w:lvlText w:val="(%2)"/>
      <w:numFmt w:val="decimal"/>
      <w:start w:val="6"/>
    </w:lvl>
  </w:abstractNum>
  <w:abstractNum w:abstractNumId="6">
    <w:nsid w:val="140E0F76"/>
    <w:multiLevelType w:val="hybridMultilevel"/>
    <w:lvl w:ilvl="0">
      <w:lvlJc w:val="left"/>
      <w:lvlText w:val="-"/>
      <w:numFmt w:val="bullet"/>
      <w:start w:val="1"/>
    </w:lvl>
    <w:lvl w:ilvl="1">
      <w:lvlJc w:val="left"/>
      <w:lvlText w:val="(%2)"/>
      <w:numFmt w:val="decimal"/>
      <w:start w:val="11"/>
    </w:lvl>
  </w:abstractNum>
  <w:abstractNum w:abstractNumId="7">
    <w:nsid w:val="3352255A"/>
    <w:multiLevelType w:val="hybridMultilevel"/>
    <w:lvl w:ilvl="0">
      <w:lvlJc w:val="left"/>
      <w:lvlText w:val="-"/>
      <w:numFmt w:val="bullet"/>
      <w:start w:val="1"/>
    </w:lvl>
    <w:lvl w:ilvl="1">
      <w:lvlJc w:val="left"/>
      <w:lvlText w:val="(%2)"/>
      <w:numFmt w:val="decimal"/>
      <w:start w:val="12"/>
    </w:lvl>
  </w:abstractNum>
  <w:abstractNum w:abstractNumId="8">
    <w:nsid w:val="109CF92E"/>
    <w:multiLevelType w:val="hybridMultilevel"/>
    <w:lvl w:ilvl="0">
      <w:lvlJc w:val="left"/>
      <w:lvlText w:val="-"/>
      <w:numFmt w:val="bullet"/>
      <w:start w:val="1"/>
    </w:lvl>
    <w:lvl w:ilvl="1">
      <w:lvlJc w:val="left"/>
      <w:lvlText w:val="(%2)"/>
      <w:numFmt w:val="decimal"/>
      <w:start w:val="13"/>
    </w:lvl>
  </w:abstractNum>
  <w:abstractNum w:abstractNumId="9">
    <w:nsid w:val="DED7263"/>
    <w:multiLevelType w:val="hybridMultilevel"/>
    <w:lvl w:ilvl="0">
      <w:lvlJc w:val="left"/>
      <w:lvlText w:val="-"/>
      <w:numFmt w:val="bullet"/>
      <w:start w:val="1"/>
    </w:lvl>
    <w:lvl w:ilvl="1">
      <w:lvlJc w:val="left"/>
      <w:lvlText w:val="(%2)"/>
      <w:numFmt w:val="decimal"/>
      <w:start w:val="14"/>
    </w:lvl>
  </w:abstractNum>
  <w:abstractNum w:abstractNumId="10">
    <w:nsid w:val="7FDCC233"/>
    <w:multiLevelType w:val="hybridMultilevel"/>
    <w:lvl w:ilvl="0">
      <w:lvlJc w:val="left"/>
      <w:lvlText w:val="*"/>
      <w:numFmt w:val="bullet"/>
      <w:start w:val="1"/>
    </w:lvl>
  </w:abstractNum>
  <w:abstractNum w:abstractNumId="11">
    <w:nsid w:val="1BEFD79F"/>
    <w:multiLevelType w:val="hybridMultilevel"/>
    <w:lvl w:ilvl="0">
      <w:lvlJc w:val="left"/>
      <w:lvlText w:val="(%1)"/>
      <w:numFmt w:val="lowerLetter"/>
      <w:start w:val="4"/>
    </w:lvl>
  </w:abstractNum>
  <w:abstractNum w:abstractNumId="12">
    <w:nsid w:val="41A7C4C9"/>
    <w:multiLevelType w:val="hybridMultilevel"/>
    <w:lvl w:ilvl="0">
      <w:lvlJc w:val="left"/>
      <w:lvlText w:val="(%1)"/>
      <w:numFmt w:val="lowerLetter"/>
      <w:start w:val="1"/>
    </w:lvl>
  </w:abstractNum>
  <w:abstractNum w:abstractNumId="13">
    <w:nsid w:val="6B68079A"/>
    <w:multiLevelType w:val="hybridMultilevel"/>
    <w:lvl w:ilvl="0">
      <w:lvlJc w:val="left"/>
      <w:lvlText w:val="(%1)"/>
      <w:numFmt w:val="lowerLetter"/>
      <w:start w:val="5"/>
    </w:lvl>
  </w:abstractNum>
  <w:abstractNum w:abstractNumId="14">
    <w:nsid w:val="4E6AFB66"/>
    <w:multiLevelType w:val="hybridMultilevel"/>
    <w:lvl w:ilvl="0">
      <w:lvlJc w:val="left"/>
      <w:lvlText w:val="(%1)"/>
      <w:numFmt w:val="lowerLetter"/>
      <w:start w:val="1"/>
    </w:lvl>
  </w:abstractNum>
  <w:abstractNum w:abstractNumId="15">
    <w:nsid w:val="25E45D32"/>
    <w:multiLevelType w:val="hybridMultilevel"/>
    <w:lvl w:ilvl="0">
      <w:lvlJc w:val="left"/>
      <w:lvlText w:val="(%1)"/>
      <w:numFmt w:val="lowerLetter"/>
      <w:start w:val="4"/>
    </w:lvl>
  </w:abstractNum>
  <w:abstractNum w:abstractNumId="16">
    <w:nsid w:val="519B500D"/>
    <w:multiLevelType w:val="hybridMultilevel"/>
    <w:lvl w:ilvl="0">
      <w:lvlJc w:val="left"/>
      <w:lvlText w:val="1"/>
      <w:numFmt w:val="bullet"/>
      <w:start w:val="1"/>
    </w:lvl>
  </w:abstractNum>
  <w:abstractNum w:abstractNumId="17">
    <w:nsid w:val="431BD7B7"/>
    <w:multiLevelType w:val="hybridMultilevel"/>
    <w:lvl w:ilvl="0">
      <w:lvlJc w:val="left"/>
      <w:lvlText w:val="2"/>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2019-12-16T20:49:04Z</dcterms:created>
  <dcterms:modified xsi:type="dcterms:W3CDTF">2019-12-16T20:49:04Z</dcterms:modified>
</cp:coreProperties>
</file>