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spacing w:after="0" w:line="201" w:lineRule="exact"/>
        <w:rPr>
          <w:sz w:val="24"/>
          <w:szCs w:val="24"/>
          <w:color w:val="auto"/>
        </w:rPr>
      </w:pPr>
    </w:p>
    <w:p>
      <w:pPr>
        <w:jc w:val="center"/>
        <w:ind w:right="1879"/>
        <w:spacing w:after="0"/>
        <w:rPr>
          <w:sz w:val="20"/>
          <w:szCs w:val="20"/>
          <w:color w:val="auto"/>
        </w:rPr>
      </w:pPr>
      <w:r>
        <w:rPr>
          <w:rFonts w:ascii="Courier New" w:cs="Courier New" w:eastAsia="Courier New" w:hAnsi="Courier New"/>
          <w:sz w:val="18"/>
          <w:szCs w:val="18"/>
          <w:color w:val="auto"/>
        </w:rPr>
        <w:t>UNITED STATES</w:t>
      </w:r>
    </w:p>
    <w:p>
      <w:pPr>
        <w:jc w:val="center"/>
        <w:ind w:right="1779"/>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jc w:val="center"/>
        <w:ind w:right="1779"/>
        <w:spacing w:after="0"/>
        <w:rPr>
          <w:sz w:val="20"/>
          <w:szCs w:val="20"/>
          <w:color w:val="auto"/>
        </w:rPr>
      </w:pPr>
      <w:r>
        <w:rPr>
          <w:rFonts w:ascii="Courier New" w:cs="Courier New" w:eastAsia="Courier New" w:hAnsi="Courier New"/>
          <w:sz w:val="18"/>
          <w:szCs w:val="18"/>
          <w:color w:val="auto"/>
        </w:rPr>
        <w:t>WASHINGTON, D.C. 20549</w:t>
      </w:r>
    </w:p>
    <w:p>
      <w:pPr>
        <w:spacing w:after="0" w:line="200" w:lineRule="exact"/>
        <w:rPr>
          <w:sz w:val="24"/>
          <w:szCs w:val="24"/>
          <w:color w:val="auto"/>
        </w:rPr>
      </w:pPr>
    </w:p>
    <w:p>
      <w:pPr>
        <w:ind w:left="2000"/>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SCHEDULE 13D</w:t>
      </w:r>
    </w:p>
    <w:p>
      <w:pPr>
        <w:spacing w:after="0" w:line="201" w:lineRule="exact"/>
        <w:rPr>
          <w:sz w:val="24"/>
          <w:szCs w:val="24"/>
          <w:color w:val="auto"/>
        </w:rPr>
      </w:pPr>
    </w:p>
    <w:p>
      <w:pPr>
        <w:jc w:val="center"/>
        <w:ind w:right="1659"/>
        <w:spacing w:after="0"/>
        <w:rPr>
          <w:sz w:val="20"/>
          <w:szCs w:val="20"/>
          <w:color w:val="auto"/>
        </w:rPr>
      </w:pPr>
      <w:r>
        <w:rPr>
          <w:rFonts w:ascii="Courier New" w:cs="Courier New" w:eastAsia="Courier New" w:hAnsi="Courier New"/>
          <w:sz w:val="18"/>
          <w:szCs w:val="18"/>
          <w:color w:val="auto"/>
        </w:rPr>
        <w:t>UNDER THE SECURITIES EXCHANGE ACT OF 1934</w:t>
      </w:r>
    </w:p>
    <w:p>
      <w:pPr>
        <w:jc w:val="center"/>
        <w:ind w:right="1659"/>
        <w:spacing w:after="0" w:line="238" w:lineRule="auto"/>
        <w:rPr>
          <w:sz w:val="20"/>
          <w:szCs w:val="20"/>
          <w:color w:val="auto"/>
        </w:rPr>
      </w:pPr>
      <w:r>
        <w:rPr>
          <w:rFonts w:ascii="Courier New" w:cs="Courier New" w:eastAsia="Courier New" w:hAnsi="Courier New"/>
          <w:sz w:val="18"/>
          <w:szCs w:val="18"/>
          <w:color w:val="auto"/>
        </w:rPr>
        <w:t>(AMENDMENT NO. __)*</w:t>
      </w:r>
    </w:p>
    <w:p>
      <w:pPr>
        <w:ind w:left="2000"/>
        <w:spacing w:after="0"/>
        <w:rPr>
          <w:sz w:val="20"/>
          <w:szCs w:val="20"/>
          <w:color w:val="auto"/>
        </w:rPr>
      </w:pPr>
      <w:r>
        <w:rPr>
          <w:rFonts w:ascii="Courier New" w:cs="Courier New" w:eastAsia="Courier New" w:hAnsi="Courier New"/>
          <w:sz w:val="18"/>
          <w:szCs w:val="18"/>
          <w:color w:val="auto"/>
        </w:rPr>
        <w:t>-------------------------------------------</w:t>
      </w:r>
    </w:p>
    <w:p>
      <w:pPr>
        <w:spacing w:after="0" w:line="200" w:lineRule="exact"/>
        <w:rPr>
          <w:sz w:val="24"/>
          <w:szCs w:val="24"/>
          <w:color w:val="auto"/>
        </w:rPr>
      </w:pPr>
    </w:p>
    <w:p>
      <w:pPr>
        <w:ind w:left="2740"/>
        <w:spacing w:after="0"/>
        <w:rPr>
          <w:sz w:val="20"/>
          <w:szCs w:val="20"/>
          <w:color w:val="auto"/>
        </w:rPr>
      </w:pPr>
      <w:r>
        <w:rPr>
          <w:rFonts w:ascii="Courier New" w:cs="Courier New" w:eastAsia="Courier New" w:hAnsi="Courier New"/>
          <w:sz w:val="18"/>
          <w:szCs w:val="18"/>
          <w:color w:val="auto"/>
        </w:rPr>
        <w:t>Marvell Technology Group Ltd.</w:t>
      </w:r>
    </w:p>
    <w:p>
      <w:pPr>
        <w:ind w:left="3380"/>
        <w:spacing w:after="0" w:line="238" w:lineRule="auto"/>
        <w:rPr>
          <w:sz w:val="20"/>
          <w:szCs w:val="20"/>
          <w:color w:val="auto"/>
        </w:rPr>
      </w:pPr>
      <w:r>
        <w:rPr>
          <w:rFonts w:ascii="Courier New" w:cs="Courier New" w:eastAsia="Courier New" w:hAnsi="Courier New"/>
          <w:sz w:val="18"/>
          <w:szCs w:val="18"/>
          <w:color w:val="auto"/>
        </w:rPr>
        <w:t>(NAME OF ISSUER)</w:t>
      </w:r>
    </w:p>
    <w:p>
      <w:pPr>
        <w:spacing w:after="0" w:line="202"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Common Stock, par value $0.002 per share</w:t>
      </w:r>
    </w:p>
    <w:p>
      <w:pPr>
        <w:jc w:val="center"/>
        <w:ind w:right="1779"/>
        <w:spacing w:after="0" w:line="238" w:lineRule="auto"/>
        <w:rPr>
          <w:sz w:val="20"/>
          <w:szCs w:val="20"/>
          <w:color w:val="auto"/>
        </w:rPr>
      </w:pPr>
      <w:r>
        <w:rPr>
          <w:rFonts w:ascii="Courier New" w:cs="Courier New" w:eastAsia="Courier New" w:hAnsi="Courier New"/>
          <w:sz w:val="18"/>
          <w:szCs w:val="18"/>
          <w:color w:val="auto"/>
        </w:rPr>
        <w:t>(TITLE OF CLASS OF SECURITIES)</w:t>
      </w:r>
    </w:p>
    <w:p>
      <w:pPr>
        <w:spacing w:after="0" w:line="207" w:lineRule="exact"/>
        <w:rPr>
          <w:sz w:val="24"/>
          <w:szCs w:val="24"/>
          <w:color w:val="auto"/>
        </w:rPr>
      </w:pPr>
    </w:p>
    <w:p>
      <w:pPr>
        <w:ind w:left="3480" w:right="5259" w:firstLine="215"/>
        <w:spacing w:after="0" w:line="290" w:lineRule="auto"/>
        <w:tabs>
          <w:tab w:leader="none" w:pos="390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5876H105 (CUSIP NUMBER)</w:t>
      </w:r>
    </w:p>
    <w:p>
      <w:pPr>
        <w:spacing w:after="0" w:line="164" w:lineRule="exact"/>
        <w:rPr>
          <w:sz w:val="24"/>
          <w:szCs w:val="24"/>
          <w:color w:val="auto"/>
        </w:rPr>
      </w:pPr>
    </w:p>
    <w:p>
      <w:pPr>
        <w:ind w:left="3480"/>
        <w:spacing w:after="0"/>
        <w:rPr>
          <w:sz w:val="20"/>
          <w:szCs w:val="20"/>
          <w:color w:val="auto"/>
        </w:rPr>
      </w:pPr>
      <w:r>
        <w:rPr>
          <w:rFonts w:ascii="Courier New" w:cs="Courier New" w:eastAsia="Courier New" w:hAnsi="Courier New"/>
          <w:sz w:val="18"/>
          <w:szCs w:val="18"/>
          <w:color w:val="auto"/>
        </w:rPr>
        <w:t>Matthew Gloss,</w:t>
      </w:r>
    </w:p>
    <w:p>
      <w:pPr>
        <w:ind w:left="2860"/>
        <w:spacing w:after="0" w:line="238" w:lineRule="auto"/>
        <w:rPr>
          <w:sz w:val="20"/>
          <w:szCs w:val="20"/>
          <w:color w:val="auto"/>
        </w:rPr>
      </w:pPr>
      <w:r>
        <w:rPr>
          <w:rFonts w:ascii="Courier New" w:cs="Courier New" w:eastAsia="Courier New" w:hAnsi="Courier New"/>
          <w:sz w:val="18"/>
          <w:szCs w:val="18"/>
          <w:color w:val="auto"/>
        </w:rPr>
        <w:t>Marvell Semiconductor, Inc.</w:t>
      </w:r>
    </w:p>
    <w:p>
      <w:pPr>
        <w:ind w:left="3380"/>
        <w:spacing w:after="0"/>
        <w:rPr>
          <w:sz w:val="20"/>
          <w:szCs w:val="20"/>
          <w:color w:val="auto"/>
        </w:rPr>
      </w:pPr>
      <w:r>
        <w:rPr>
          <w:rFonts w:ascii="Courier New" w:cs="Courier New" w:eastAsia="Courier New" w:hAnsi="Courier New"/>
          <w:sz w:val="18"/>
          <w:szCs w:val="18"/>
          <w:color w:val="auto"/>
        </w:rPr>
        <w:t>645 Almanor Ave.,</w:t>
      </w:r>
    </w:p>
    <w:p>
      <w:pPr>
        <w:ind w:left="3280"/>
        <w:spacing w:after="0" w:line="237" w:lineRule="auto"/>
        <w:rPr>
          <w:sz w:val="20"/>
          <w:szCs w:val="20"/>
          <w:color w:val="auto"/>
        </w:rPr>
      </w:pPr>
      <w:r>
        <w:rPr>
          <w:rFonts w:ascii="Courier New" w:cs="Courier New" w:eastAsia="Courier New" w:hAnsi="Courier New"/>
          <w:sz w:val="18"/>
          <w:szCs w:val="18"/>
          <w:color w:val="auto"/>
        </w:rPr>
        <w:t>Sunnyvale, CA 94085</w:t>
      </w:r>
    </w:p>
    <w:p>
      <w:pPr>
        <w:ind w:left="3480"/>
        <w:spacing w:after="0" w:line="238" w:lineRule="auto"/>
        <w:rPr>
          <w:sz w:val="20"/>
          <w:szCs w:val="20"/>
          <w:color w:val="auto"/>
        </w:rPr>
      </w:pPr>
      <w:r>
        <w:rPr>
          <w:rFonts w:ascii="Courier New" w:cs="Courier New" w:eastAsia="Courier New" w:hAnsi="Courier New"/>
          <w:sz w:val="18"/>
          <w:szCs w:val="18"/>
          <w:color w:val="auto"/>
        </w:rPr>
        <w:t>(408) 222-2500</w:t>
      </w:r>
    </w:p>
    <w:p>
      <w:pPr>
        <w:ind w:left="1280"/>
        <w:spacing w:after="0"/>
        <w:rPr>
          <w:sz w:val="20"/>
          <w:szCs w:val="20"/>
          <w:color w:val="auto"/>
        </w:rPr>
      </w:pPr>
      <w:r>
        <w:rPr>
          <w:rFonts w:ascii="Courier New" w:cs="Courier New" w:eastAsia="Courier New" w:hAnsi="Courier New"/>
          <w:sz w:val="18"/>
          <w:szCs w:val="18"/>
          <w:color w:val="auto"/>
        </w:rPr>
        <w:t>(NAME, ADDRESS AND TELEPHONE NUMBER OF PERSON AUTHORIZED</w:t>
      </w:r>
    </w:p>
    <w:p>
      <w:pPr>
        <w:ind w:left="2220"/>
        <w:spacing w:after="0" w:line="237" w:lineRule="auto"/>
        <w:rPr>
          <w:sz w:val="20"/>
          <w:szCs w:val="20"/>
          <w:color w:val="auto"/>
        </w:rPr>
      </w:pPr>
      <w:r>
        <w:rPr>
          <w:rFonts w:ascii="Courier New" w:cs="Courier New" w:eastAsia="Courier New" w:hAnsi="Courier New"/>
          <w:sz w:val="18"/>
          <w:szCs w:val="18"/>
          <w:color w:val="auto"/>
        </w:rPr>
        <w:t>TO RECEIVE NOTICES AND COMMUNICATIONS)</w:t>
      </w:r>
    </w:p>
    <w:p>
      <w:pPr>
        <w:spacing w:after="0" w:line="202"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January 21, 2001</w:t>
      </w:r>
    </w:p>
    <w:p>
      <w:pPr>
        <w:jc w:val="center"/>
        <w:ind w:right="1659"/>
        <w:spacing w:after="0" w:line="238" w:lineRule="auto"/>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7" w:lineRule="exact"/>
        <w:rPr>
          <w:sz w:val="24"/>
          <w:szCs w:val="24"/>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If the filing person has previously filed a statement on Schedule 13D to report the acquisition that is the subject of this Schedule 13D, and is filing this schedule because of Sections 240.13d-l(e), 240.13d-l(f) or 240.13d-l(g), check the following box. [ ]</w:t>
      </w:r>
    </w:p>
    <w:p>
      <w:pPr>
        <w:spacing w:after="0" w:line="207" w:lineRule="exact"/>
        <w:rPr>
          <w:sz w:val="24"/>
          <w:szCs w:val="24"/>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NOTE: Schedules filed in paper format shall include a signed original and five copies of the schedule, including all exhibits, should be filed with the Commission. See Section 240.13d-7 for other parties to whom copies are to be sent.</w:t>
      </w:r>
    </w:p>
    <w:p>
      <w:pPr>
        <w:spacing w:after="0" w:line="207" w:lineRule="exact"/>
        <w:rPr>
          <w:sz w:val="24"/>
          <w:szCs w:val="24"/>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207" w:lineRule="exact"/>
        <w:rPr>
          <w:sz w:val="24"/>
          <w:szCs w:val="24"/>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The information required on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 (Continued on following pages)</w:t>
      </w:r>
    </w:p>
    <w:p>
      <w:pPr>
        <w:spacing w:after="0" w:line="203" w:lineRule="exact"/>
        <w:rPr>
          <w:sz w:val="24"/>
          <w:szCs w:val="24"/>
          <w:color w:val="auto"/>
        </w:rPr>
      </w:pPr>
    </w:p>
    <w:p>
      <w:pPr>
        <w:jc w:val="center"/>
        <w:ind w:right="1659"/>
        <w:spacing w:after="0"/>
        <w:rPr>
          <w:sz w:val="20"/>
          <w:szCs w:val="20"/>
          <w:color w:val="auto"/>
        </w:rPr>
      </w:pPr>
      <w:r>
        <w:rPr>
          <w:rFonts w:ascii="Courier New" w:cs="Courier New" w:eastAsia="Courier New" w:hAnsi="Courier New"/>
          <w:sz w:val="18"/>
          <w:szCs w:val="18"/>
          <w:color w:val="auto"/>
        </w:rPr>
        <w:t>(Page 1 of 9 Pages)</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10219"/>
          </w:cols>
          <w:pgMar w:left="240" w:top="244" w:right="1440" w:bottom="1440" w:gutter="0" w:footer="0" w:header="0"/>
        </w:sectPr>
      </w:pPr>
    </w:p>
    <w:bookmarkStart w:id="1" w:name="page2"/>
    <w:bookmarkEnd w:id="1"/>
    <w:tbl>
      <w:tblPr>
        <w:tblLayout w:type="fixed"/>
        <w:tblInd w:w="0" w:type="dxa"/>
        <w:tblCellMar>
          <w:top w:w="0" w:type="dxa"/>
          <w:left w:w="0" w:type="dxa"/>
          <w:bottom w:w="0" w:type="dxa"/>
          <w:right w:w="0" w:type="dxa"/>
        </w:tblCellMar>
      </w:tblPr>
      <w:tr>
        <w:trPr>
          <w:trHeight w:val="204"/>
        </w:trPr>
        <w:tc>
          <w:tcPr>
            <w:tcW w:w="160" w:type="dxa"/>
            <w:vAlign w:val="bottom"/>
          </w:tcPr>
          <w:p>
            <w:pPr>
              <w:spacing w:after="0"/>
              <w:rPr>
                <w:sz w:val="17"/>
                <w:szCs w:val="17"/>
                <w:color w:val="auto"/>
              </w:rPr>
            </w:pPr>
          </w:p>
        </w:tc>
        <w:tc>
          <w:tcPr>
            <w:tcW w:w="3580" w:type="dxa"/>
            <w:vAlign w:val="bottom"/>
          </w:tcPr>
          <w:p>
            <w:pPr>
              <w:jc w:val="right"/>
              <w:ind w:right="3232"/>
              <w:spacing w:after="0"/>
              <w:rPr>
                <w:sz w:val="20"/>
                <w:szCs w:val="20"/>
                <w:color w:val="auto"/>
              </w:rPr>
            </w:pPr>
            <w:r>
              <w:rPr>
                <w:rFonts w:ascii="Courier New" w:cs="Courier New" w:eastAsia="Courier New" w:hAnsi="Courier New"/>
                <w:sz w:val="18"/>
                <w:szCs w:val="18"/>
                <w:color w:val="auto"/>
              </w:rPr>
              <w:t>2</w:t>
            </w:r>
          </w:p>
        </w:tc>
        <w:tc>
          <w:tcPr>
            <w:tcW w:w="1220" w:type="dxa"/>
            <w:vAlign w:val="bottom"/>
          </w:tcPr>
          <w:p>
            <w:pPr>
              <w:spacing w:after="0"/>
              <w:rPr>
                <w:sz w:val="17"/>
                <w:szCs w:val="17"/>
                <w:color w:val="auto"/>
              </w:rPr>
            </w:pPr>
          </w:p>
        </w:tc>
        <w:tc>
          <w:tcPr>
            <w:tcW w:w="3580" w:type="dxa"/>
            <w:vAlign w:val="bottom"/>
          </w:tcPr>
          <w:p>
            <w:pPr>
              <w:spacing w:after="0"/>
              <w:rPr>
                <w:sz w:val="17"/>
                <w:szCs w:val="17"/>
                <w:color w:val="auto"/>
              </w:rPr>
            </w:pPr>
          </w:p>
        </w:tc>
      </w:tr>
      <w:tr>
        <w:trPr>
          <w:trHeight w:val="608"/>
        </w:trPr>
        <w:tc>
          <w:tcPr>
            <w:tcW w:w="160" w:type="dxa"/>
            <w:vAlign w:val="bottom"/>
          </w:tcPr>
          <w:p>
            <w:pPr>
              <w:jc w:val="right"/>
              <w:spacing w:after="0"/>
              <w:rPr>
                <w:sz w:val="20"/>
                <w:szCs w:val="20"/>
                <w:color w:val="auto"/>
              </w:rPr>
            </w:pPr>
            <w:r>
              <w:rPr>
                <w:rFonts w:ascii="Courier New" w:cs="Courier New" w:eastAsia="Courier New" w:hAnsi="Courier New"/>
                <w:sz w:val="18"/>
                <w:szCs w:val="18"/>
                <w:color w:val="auto"/>
                <w:w w:val="92"/>
              </w:rPr>
              <w:t>-</w:t>
            </w:r>
          </w:p>
        </w:tc>
        <w:tc>
          <w:tcPr>
            <w:tcW w:w="3580" w:type="dxa"/>
            <w:vAlign w:val="bottom"/>
          </w:tcPr>
          <w:p>
            <w:pPr>
              <w:ind w:left="60"/>
              <w:spacing w:after="0"/>
              <w:rPr>
                <w:sz w:val="20"/>
                <w:szCs w:val="20"/>
                <w:color w:val="auto"/>
              </w:rPr>
            </w:pPr>
            <w:r>
              <w:rPr>
                <w:rFonts w:ascii="Courier New" w:cs="Courier New" w:eastAsia="Courier New" w:hAnsi="Courier New"/>
                <w:sz w:val="18"/>
                <w:szCs w:val="18"/>
                <w:color w:val="auto"/>
              </w:rPr>
              <w:t>------------------------------</w:t>
            </w:r>
          </w:p>
        </w:tc>
        <w:tc>
          <w:tcPr>
            <w:tcW w:w="1220" w:type="dxa"/>
            <w:vAlign w:val="bottom"/>
          </w:tcPr>
          <w:p>
            <w:pPr>
              <w:spacing w:after="0"/>
              <w:rPr>
                <w:sz w:val="24"/>
                <w:szCs w:val="24"/>
                <w:color w:val="auto"/>
              </w:rPr>
            </w:pPr>
          </w:p>
        </w:tc>
        <w:tc>
          <w:tcPr>
            <w:tcW w:w="358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r>
      <w:tr>
        <w:trPr>
          <w:trHeight w:val="203"/>
        </w:trPr>
        <w:tc>
          <w:tcPr>
            <w:tcW w:w="160" w:type="dxa"/>
            <w:vAlign w:val="bottom"/>
          </w:tcPr>
          <w:p>
            <w:pPr>
              <w:spacing w:after="0"/>
              <w:rPr>
                <w:sz w:val="17"/>
                <w:szCs w:val="17"/>
                <w:color w:val="auto"/>
              </w:rPr>
            </w:pPr>
          </w:p>
        </w:tc>
        <w:tc>
          <w:tcPr>
            <w:tcW w:w="35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CUSIP No. G 5876H105</w:t>
            </w:r>
          </w:p>
        </w:tc>
        <w:tc>
          <w:tcPr>
            <w:tcW w:w="1220" w:type="dxa"/>
            <w:vAlign w:val="bottom"/>
          </w:tcPr>
          <w:p>
            <w:pPr>
              <w:ind w:left="380"/>
              <w:spacing w:after="0" w:line="203" w:lineRule="exact"/>
              <w:rPr>
                <w:sz w:val="20"/>
                <w:szCs w:val="20"/>
                <w:color w:val="auto"/>
              </w:rPr>
            </w:pPr>
            <w:r>
              <w:rPr>
                <w:rFonts w:ascii="Courier New" w:cs="Courier New" w:eastAsia="Courier New" w:hAnsi="Courier New"/>
                <w:sz w:val="18"/>
                <w:szCs w:val="18"/>
                <w:color w:val="auto"/>
              </w:rPr>
              <w:t>13D</w:t>
            </w:r>
          </w:p>
        </w:tc>
        <w:tc>
          <w:tcPr>
            <w:tcW w:w="358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Page 2 of 9 Pages</w:t>
            </w:r>
          </w:p>
        </w:tc>
      </w:tr>
      <w:tr>
        <w:trPr>
          <w:trHeight w:val="203"/>
        </w:trPr>
        <w:tc>
          <w:tcPr>
            <w:tcW w:w="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w:t>
            </w:r>
          </w:p>
        </w:tc>
        <w:tc>
          <w:tcPr>
            <w:tcW w:w="35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w:t>
            </w:r>
          </w:p>
        </w:tc>
        <w:tc>
          <w:tcPr>
            <w:tcW w:w="1220" w:type="dxa"/>
            <w:vAlign w:val="bottom"/>
          </w:tcPr>
          <w:p>
            <w:pPr>
              <w:spacing w:after="0"/>
              <w:rPr>
                <w:sz w:val="17"/>
                <w:szCs w:val="17"/>
                <w:color w:val="auto"/>
              </w:rPr>
            </w:pPr>
          </w:p>
        </w:tc>
        <w:tc>
          <w:tcPr>
            <w:tcW w:w="35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1" w:lineRule="exact"/>
        <w:rPr>
          <w:sz w:val="20"/>
          <w:szCs w:val="20"/>
          <w:color w:val="auto"/>
        </w:rPr>
      </w:pPr>
    </w:p>
    <w:p>
      <w:pPr>
        <w:ind w:left="1060" w:hanging="841"/>
        <w:spacing w:after="0"/>
        <w:tabs>
          <w:tab w:leader="none" w:pos="106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Names of Reporting Persons: Avigdor Willenz</w:t>
      </w:r>
    </w:p>
    <w:p>
      <w:pPr>
        <w:ind w:left="106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Nos. of Above Persons (entities only):</w:t>
      </w:r>
    </w:p>
    <w:p>
      <w:pPr>
        <w:spacing w:after="0" w:line="202"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580" w:type="dxa"/>
            <w:vAlign w:val="bottom"/>
          </w:tcPr>
          <w:p>
            <w:pPr>
              <w:spacing w:after="0"/>
              <w:rPr>
                <w:sz w:val="17"/>
                <w:szCs w:val="17"/>
                <w:color w:val="auto"/>
              </w:rPr>
            </w:pPr>
          </w:p>
        </w:tc>
        <w:tc>
          <w:tcPr>
            <w:tcW w:w="7540" w:type="dxa"/>
            <w:vAlign w:val="bottom"/>
            <w:gridSpan w:val="4"/>
          </w:tcPr>
          <w:p>
            <w:pPr>
              <w:ind w:left="260"/>
              <w:spacing w:after="0"/>
              <w:rPr>
                <w:sz w:val="20"/>
                <w:szCs w:val="20"/>
                <w:color w:val="auto"/>
              </w:rPr>
            </w:pPr>
            <w:r>
              <w:rPr>
                <w:rFonts w:ascii="Courier New" w:cs="Courier New" w:eastAsia="Courier New" w:hAnsi="Courier New"/>
                <w:sz w:val="18"/>
                <w:szCs w:val="18"/>
                <w:color w:val="auto"/>
                <w:w w:val="97"/>
              </w:rPr>
              <w:t>---------------------------------------------------------------------</w:t>
            </w:r>
          </w:p>
        </w:tc>
      </w:tr>
      <w:tr>
        <w:trPr>
          <w:trHeight w:val="405"/>
        </w:trPr>
        <w:tc>
          <w:tcPr>
            <w:tcW w:w="580" w:type="dxa"/>
            <w:vAlign w:val="bottom"/>
          </w:tcPr>
          <w:p>
            <w:pPr>
              <w:jc w:val="right"/>
              <w:ind w:right="172"/>
              <w:spacing w:after="0"/>
              <w:rPr>
                <w:sz w:val="20"/>
                <w:szCs w:val="20"/>
                <w:color w:val="auto"/>
              </w:rPr>
            </w:pPr>
            <w:r>
              <w:rPr>
                <w:rFonts w:ascii="Courier New" w:cs="Courier New" w:eastAsia="Courier New" w:hAnsi="Courier New"/>
                <w:sz w:val="18"/>
                <w:szCs w:val="18"/>
                <w:color w:val="auto"/>
                <w:w w:val="92"/>
              </w:rPr>
              <w:t>(2)</w:t>
            </w:r>
          </w:p>
        </w:tc>
        <w:tc>
          <w:tcPr>
            <w:tcW w:w="5900" w:type="dxa"/>
            <w:vAlign w:val="bottom"/>
          </w:tcPr>
          <w:p>
            <w:pPr>
              <w:ind w:left="260"/>
              <w:spacing w:after="0"/>
              <w:rPr>
                <w:sz w:val="20"/>
                <w:szCs w:val="20"/>
                <w:color w:val="auto"/>
              </w:rPr>
            </w:pPr>
            <w:r>
              <w:rPr>
                <w:rFonts w:ascii="Courier New" w:cs="Courier New" w:eastAsia="Courier New" w:hAnsi="Courier New"/>
                <w:sz w:val="18"/>
                <w:szCs w:val="18"/>
                <w:color w:val="auto"/>
              </w:rPr>
              <w:t>Check the Appropriate Box if a Member of a Group*</w:t>
            </w:r>
          </w:p>
        </w:tc>
        <w:tc>
          <w:tcPr>
            <w:tcW w:w="940" w:type="dxa"/>
            <w:vAlign w:val="bottom"/>
          </w:tcPr>
          <w:p>
            <w:pPr>
              <w:ind w:left="480"/>
              <w:spacing w:after="0"/>
              <w:rPr>
                <w:sz w:val="20"/>
                <w:szCs w:val="20"/>
                <w:color w:val="auto"/>
              </w:rPr>
            </w:pPr>
            <w:r>
              <w:rPr>
                <w:rFonts w:ascii="Courier New" w:cs="Courier New" w:eastAsia="Courier New" w:hAnsi="Courier New"/>
                <w:sz w:val="18"/>
                <w:szCs w:val="18"/>
                <w:color w:val="auto"/>
              </w:rPr>
              <w:t>(a)</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38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w:t>
            </w:r>
          </w:p>
        </w:tc>
      </w:tr>
      <w:tr>
        <w:trPr>
          <w:trHeight w:val="203"/>
        </w:trPr>
        <w:tc>
          <w:tcPr>
            <w:tcW w:w="580" w:type="dxa"/>
            <w:vAlign w:val="bottom"/>
          </w:tcPr>
          <w:p>
            <w:pPr>
              <w:spacing w:after="0"/>
              <w:rPr>
                <w:sz w:val="17"/>
                <w:szCs w:val="17"/>
                <w:color w:val="auto"/>
              </w:rPr>
            </w:pPr>
          </w:p>
        </w:tc>
        <w:tc>
          <w:tcPr>
            <w:tcW w:w="590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(See Instructions)</w:t>
            </w:r>
          </w:p>
        </w:tc>
        <w:tc>
          <w:tcPr>
            <w:tcW w:w="94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rPr>
              <w:t>(b)</w:t>
            </w:r>
          </w:p>
        </w:tc>
        <w:tc>
          <w:tcPr>
            <w:tcW w:w="3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ind w:left="1060" w:hanging="841"/>
        <w:spacing w:after="0"/>
        <w:tabs>
          <w:tab w:leader="none" w:pos="106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1" w:lineRule="exact"/>
        <w:rPr>
          <w:rFonts w:ascii="Courier New" w:cs="Courier New" w:eastAsia="Courier New" w:hAnsi="Courier New"/>
          <w:sz w:val="18"/>
          <w:szCs w:val="18"/>
          <w:color w:val="auto"/>
        </w:rPr>
      </w:pPr>
    </w:p>
    <w:p>
      <w:pPr>
        <w:ind w:left="106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01" w:lineRule="exact"/>
        <w:rPr>
          <w:rFonts w:ascii="Courier New" w:cs="Courier New" w:eastAsia="Courier New" w:hAnsi="Courier New"/>
          <w:sz w:val="18"/>
          <w:szCs w:val="18"/>
          <w:color w:val="auto"/>
        </w:rPr>
      </w:pPr>
    </w:p>
    <w:p>
      <w:pPr>
        <w:ind w:left="1060" w:hanging="841"/>
        <w:spacing w:after="0"/>
        <w:tabs>
          <w:tab w:leader="none" w:pos="106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SOURCE OF FUNDS* (See Instructions)</w:t>
      </w:r>
    </w:p>
    <w:p>
      <w:pPr>
        <w:ind w:left="4220"/>
        <w:spacing w:after="0" w:line="238" w:lineRule="auto"/>
        <w:rPr>
          <w:sz w:val="20"/>
          <w:szCs w:val="20"/>
          <w:color w:val="auto"/>
        </w:rPr>
      </w:pPr>
      <w:r>
        <w:rPr>
          <w:rFonts w:ascii="Courier New" w:cs="Courier New" w:eastAsia="Courier New" w:hAnsi="Courier New"/>
          <w:sz w:val="18"/>
          <w:szCs w:val="18"/>
          <w:color w:val="auto"/>
        </w:rPr>
        <w:t>OO</w:t>
      </w:r>
    </w:p>
    <w:p>
      <w:pPr>
        <w:ind w:left="1060"/>
        <w:spacing w:after="0"/>
        <w:rPr>
          <w:sz w:val="20"/>
          <w:szCs w:val="20"/>
          <w:color w:val="auto"/>
        </w:rPr>
      </w:pPr>
      <w:r>
        <w:rPr>
          <w:rFonts w:ascii="Courier New" w:cs="Courier New" w:eastAsia="Courier New" w:hAnsi="Courier New"/>
          <w:sz w:val="18"/>
          <w:szCs w:val="18"/>
          <w:color w:val="auto"/>
        </w:rPr>
        <w:t>---------------------------------------------------------------------</w:t>
      </w:r>
    </w:p>
    <w:p>
      <w:pPr>
        <w:spacing w:after="0" w:line="200" w:lineRule="exact"/>
        <w:rPr>
          <w:sz w:val="20"/>
          <w:szCs w:val="20"/>
          <w:color w:val="auto"/>
        </w:rPr>
      </w:pPr>
    </w:p>
    <w:p>
      <w:pPr>
        <w:ind w:left="1060" w:hanging="841"/>
        <w:spacing w:after="0"/>
        <w:tabs>
          <w:tab w:leader="none" w:pos="106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BOX IF DISCLOSURE OF LEGAL PROCEEDINGS</w:t>
      </w:r>
    </w:p>
    <w:p>
      <w:pPr>
        <w:sectPr>
          <w:pgSz w:w="11900" w:h="16838" w:orient="portrait"/>
          <w:cols w:equalWidth="0" w:num="1">
            <w:col w:w="10219"/>
          </w:cols>
          <w:pgMar w:left="240" w:top="312" w:right="1440" w:bottom="1440" w:gutter="0" w:footer="0" w:header="0"/>
        </w:sectPr>
      </w:pPr>
    </w:p>
    <w:p>
      <w:pPr>
        <w:spacing w:after="0" w:line="4"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IS REQUIRED PURSUANT TO ITEMS 2(d) OR 2(e)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 ]</w:t>
      </w:r>
    </w:p>
    <w:p>
      <w:pPr>
        <w:spacing w:after="0" w:line="200" w:lineRule="exact"/>
        <w:rPr>
          <w:sz w:val="20"/>
          <w:szCs w:val="20"/>
          <w:color w:val="auto"/>
        </w:rPr>
      </w:pPr>
    </w:p>
    <w:p>
      <w:pPr>
        <w:sectPr>
          <w:pgSz w:w="11900" w:h="16838" w:orient="portrait"/>
          <w:cols w:equalWidth="0" w:num="2">
            <w:col w:w="5480" w:space="420"/>
            <w:col w:w="4319"/>
          </w:cols>
          <w:pgMar w:left="240" w:top="312" w:right="1440" w:bottom="1440" w:gutter="0" w:footer="0" w:header="0"/>
          <w:type w:val="continuous"/>
        </w:sectPr>
      </w:pPr>
    </w:p>
    <w:p>
      <w:pPr>
        <w:spacing w:after="0" w:line="24"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w:t>
      </w:r>
    </w:p>
    <w:p>
      <w:pPr>
        <w:spacing w:after="0" w:line="218" w:lineRule="exact"/>
        <w:rPr>
          <w:sz w:val="20"/>
          <w:szCs w:val="20"/>
          <w:color w:val="auto"/>
        </w:rPr>
      </w:pPr>
    </w:p>
    <w:p>
      <w:pPr>
        <w:ind w:left="220"/>
        <w:spacing w:after="0"/>
        <w:tabs>
          <w:tab w:leader="none" w:pos="1040" w:val="left"/>
        </w:tabs>
        <w:rPr>
          <w:sz w:val="20"/>
          <w:szCs w:val="20"/>
          <w:color w:val="auto"/>
        </w:rPr>
      </w:pPr>
      <w:r>
        <w:rPr>
          <w:rFonts w:ascii="Courier New" w:cs="Courier New" w:eastAsia="Courier New" w:hAnsi="Courier New"/>
          <w:sz w:val="18"/>
          <w:szCs w:val="18"/>
          <w:color w:val="auto"/>
        </w:rPr>
        <w:t>(6)</w:t>
      </w:r>
      <w:r>
        <w:rPr>
          <w:sz w:val="20"/>
          <w:szCs w:val="20"/>
          <w:color w:val="auto"/>
        </w:rPr>
        <w:tab/>
      </w:r>
      <w:r>
        <w:rPr>
          <w:rFonts w:ascii="Courier New" w:cs="Courier New" w:eastAsia="Courier New" w:hAnsi="Courier New"/>
          <w:sz w:val="18"/>
          <w:szCs w:val="18"/>
          <w:color w:val="auto"/>
        </w:rPr>
        <w:t>Citizenship or Place of Organization</w:t>
      </w:r>
    </w:p>
    <w:p>
      <w:pPr>
        <w:ind w:left="5280"/>
        <w:spacing w:after="0" w:line="238" w:lineRule="auto"/>
        <w:rPr>
          <w:sz w:val="20"/>
          <w:szCs w:val="20"/>
          <w:color w:val="auto"/>
        </w:rPr>
      </w:pPr>
      <w:r>
        <w:rPr>
          <w:rFonts w:ascii="Courier New" w:cs="Courier New" w:eastAsia="Courier New" w:hAnsi="Courier New"/>
          <w:sz w:val="18"/>
          <w:szCs w:val="18"/>
          <w:color w:val="auto"/>
        </w:rPr>
        <w:t>Israel</w:t>
      </w:r>
    </w:p>
    <w:p>
      <w:pPr>
        <w:spacing w:after="0" w:line="5"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w:t>
      </w:r>
    </w:p>
    <w:p>
      <w:pPr>
        <w:spacing w:after="0" w:line="218" w:lineRule="exact"/>
        <w:rPr>
          <w:sz w:val="20"/>
          <w:szCs w:val="20"/>
          <w:color w:val="auto"/>
        </w:rPr>
      </w:pPr>
    </w:p>
    <w:p>
      <w:pPr>
        <w:ind w:left="2440"/>
        <w:spacing w:after="0"/>
        <w:tabs>
          <w:tab w:leader="none" w:pos="3260" w:val="left"/>
        </w:tabs>
        <w:rPr>
          <w:sz w:val="20"/>
          <w:szCs w:val="20"/>
          <w:color w:val="auto"/>
        </w:rPr>
      </w:pPr>
      <w:r>
        <w:rPr>
          <w:rFonts w:ascii="Courier New" w:cs="Courier New" w:eastAsia="Courier New" w:hAnsi="Courier New"/>
          <w:sz w:val="18"/>
          <w:szCs w:val="18"/>
          <w:color w:val="auto"/>
        </w:rPr>
        <w:t>(7)</w:t>
      </w:r>
      <w:r>
        <w:rPr>
          <w:sz w:val="20"/>
          <w:szCs w:val="20"/>
          <w:color w:val="auto"/>
        </w:rPr>
        <w:tab/>
      </w:r>
      <w:r>
        <w:rPr>
          <w:rFonts w:ascii="Courier New" w:cs="Courier New" w:eastAsia="Courier New" w:hAnsi="Courier New"/>
          <w:sz w:val="18"/>
          <w:szCs w:val="18"/>
          <w:color w:val="auto"/>
        </w:rPr>
        <w:t>Sole Voting Power</w:t>
      </w:r>
    </w:p>
    <w:p>
      <w:pPr>
        <w:sectPr>
          <w:pgSz w:w="11900" w:h="16838" w:orient="portrait"/>
          <w:cols w:equalWidth="0" w:num="1">
            <w:col w:w="10219"/>
          </w:cols>
          <w:pgMar w:left="240" w:top="312" w:right="1440" w:bottom="1440" w:gutter="0" w:footer="0" w:header="0"/>
          <w:type w:val="continuous"/>
        </w:sectPr>
      </w:pPr>
    </w:p>
    <w:p>
      <w:pPr>
        <w:spacing w:after="0" w:line="4" w:lineRule="exact"/>
        <w:rPr>
          <w:sz w:val="20"/>
          <w:szCs w:val="20"/>
          <w:color w:val="auto"/>
        </w:rPr>
      </w:pPr>
    </w:p>
    <w:p>
      <w:pPr>
        <w:ind w:left="120" w:right="340" w:firstLine="105"/>
        <w:spacing w:after="0" w:line="268" w:lineRule="auto"/>
        <w:rPr>
          <w:sz w:val="20"/>
          <w:szCs w:val="20"/>
          <w:color w:val="auto"/>
        </w:rPr>
      </w:pPr>
      <w:r>
        <w:rPr>
          <w:rFonts w:ascii="Courier New" w:cs="Courier New" w:eastAsia="Courier New" w:hAnsi="Courier New"/>
          <w:sz w:val="16"/>
          <w:szCs w:val="16"/>
          <w:color w:val="auto"/>
        </w:rPr>
        <w:t>Number of Shares Beneficially</w:t>
      </w:r>
    </w:p>
    <w:p>
      <w:pPr>
        <w:spacing w:after="0" w:line="20" w:lineRule="exact"/>
        <w:rPr>
          <w:sz w:val="20"/>
          <w:szCs w:val="20"/>
          <w:color w:val="auto"/>
        </w:rPr>
      </w:pPr>
      <w:r>
        <w:rPr>
          <w:sz w:val="20"/>
          <w:szCs w:val="20"/>
          <w:color w:val="auto"/>
        </w:rPr>
        <w:br w:type="column"/>
      </w:r>
    </w:p>
    <w:p>
      <w:pPr>
        <w:ind w:left="3360"/>
        <w:spacing w:after="0" w:line="238" w:lineRule="auto"/>
        <w:rPr>
          <w:sz w:val="20"/>
          <w:szCs w:val="20"/>
          <w:color w:val="auto"/>
        </w:rPr>
      </w:pPr>
      <w:r>
        <w:rPr>
          <w:rFonts w:ascii="Courier New" w:cs="Courier New" w:eastAsia="Courier New" w:hAnsi="Courier New"/>
          <w:sz w:val="18"/>
          <w:szCs w:val="18"/>
          <w:color w:val="auto"/>
        </w:rPr>
        <w:t>6,142,794</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spacing w:after="0"/>
        <w:tabs>
          <w:tab w:leader="none" w:pos="820" w:val="left"/>
        </w:tabs>
        <w:rPr>
          <w:sz w:val="20"/>
          <w:szCs w:val="20"/>
          <w:color w:val="auto"/>
        </w:rPr>
      </w:pPr>
      <w:r>
        <w:rPr>
          <w:rFonts w:ascii="Courier New" w:cs="Courier New" w:eastAsia="Courier New" w:hAnsi="Courier New"/>
          <w:sz w:val="18"/>
          <w:szCs w:val="18"/>
          <w:color w:val="auto"/>
        </w:rPr>
        <w:t>(8)</w:t>
      </w:r>
      <w:r>
        <w:rPr>
          <w:sz w:val="20"/>
          <w:szCs w:val="20"/>
          <w:color w:val="auto"/>
        </w:rPr>
        <w:tab/>
      </w:r>
      <w:r>
        <w:rPr>
          <w:rFonts w:ascii="Courier New" w:cs="Courier New" w:eastAsia="Courier New" w:hAnsi="Courier New"/>
          <w:sz w:val="18"/>
          <w:szCs w:val="18"/>
          <w:color w:val="auto"/>
        </w:rPr>
        <w:t>Shared Voting Power</w:t>
      </w:r>
    </w:p>
    <w:p>
      <w:pPr>
        <w:spacing w:after="0" w:line="4" w:lineRule="exact"/>
        <w:rPr>
          <w:sz w:val="20"/>
          <w:szCs w:val="20"/>
          <w:color w:val="auto"/>
        </w:rPr>
      </w:pPr>
    </w:p>
    <w:p>
      <w:pPr>
        <w:sectPr>
          <w:pgSz w:w="11900" w:h="16838" w:orient="portrait"/>
          <w:cols w:equalWidth="0" w:num="2">
            <w:col w:w="1720" w:space="720"/>
            <w:col w:w="7779"/>
          </w:cols>
          <w:pgMar w:left="240" w:top="312" w:right="1440" w:bottom="1440" w:gutter="0" w:footer="0" w:header="0"/>
          <w:type w:val="continuous"/>
        </w:sectPr>
      </w:pPr>
    </w:p>
    <w:p>
      <w:pPr>
        <w:ind w:left="220"/>
        <w:spacing w:after="0" w:line="233" w:lineRule="auto"/>
        <w:rPr>
          <w:sz w:val="20"/>
          <w:szCs w:val="20"/>
          <w:color w:val="auto"/>
        </w:rPr>
      </w:pPr>
      <w:r>
        <w:rPr>
          <w:rFonts w:ascii="Courier New" w:cs="Courier New" w:eastAsia="Courier New" w:hAnsi="Courier New"/>
          <w:sz w:val="18"/>
          <w:szCs w:val="18"/>
          <w:color w:val="auto"/>
        </w:rPr>
        <w:t>Owned by</w:t>
      </w:r>
    </w:p>
    <w:p>
      <w:pPr>
        <w:ind w:left="420"/>
        <w:spacing w:after="0"/>
        <w:rPr>
          <w:sz w:val="20"/>
          <w:szCs w:val="20"/>
          <w:color w:val="auto"/>
        </w:rPr>
      </w:pPr>
      <w:r>
        <w:rPr>
          <w:rFonts w:ascii="Courier New" w:cs="Courier New" w:eastAsia="Courier New" w:hAnsi="Courier New"/>
          <w:sz w:val="18"/>
          <w:szCs w:val="18"/>
          <w:color w:val="auto"/>
        </w:rPr>
        <w:t>Each</w:t>
      </w:r>
    </w:p>
    <w:p>
      <w:pPr>
        <w:spacing w:after="0" w:line="4"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Reporting</w:t>
      </w:r>
    </w:p>
    <w:p>
      <w:pPr>
        <w:spacing w:after="0" w:line="20" w:lineRule="exact"/>
        <w:rPr>
          <w:sz w:val="20"/>
          <w:szCs w:val="20"/>
          <w:color w:val="auto"/>
        </w:rPr>
      </w:pPr>
      <w:r>
        <w:rPr>
          <w:sz w:val="20"/>
          <w:szCs w:val="20"/>
          <w:color w:val="auto"/>
        </w:rPr>
        <w:br w:type="column"/>
      </w:r>
    </w:p>
    <w:p>
      <w:pPr>
        <w:ind w:left="3260"/>
        <w:spacing w:after="0" w:line="233" w:lineRule="auto"/>
        <w:rPr>
          <w:sz w:val="20"/>
          <w:szCs w:val="20"/>
          <w:color w:val="auto"/>
        </w:rPr>
      </w:pPr>
      <w:r>
        <w:rPr>
          <w:rFonts w:ascii="Courier New" w:cs="Courier New" w:eastAsia="Courier New" w:hAnsi="Courier New"/>
          <w:sz w:val="18"/>
          <w:szCs w:val="18"/>
          <w:color w:val="auto"/>
        </w:rPr>
        <w:t>N/A</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spacing w:after="0"/>
        <w:tabs>
          <w:tab w:leader="none" w:pos="820" w:val="left"/>
        </w:tabs>
        <w:rPr>
          <w:sz w:val="20"/>
          <w:szCs w:val="20"/>
          <w:color w:val="auto"/>
        </w:rPr>
      </w:pPr>
      <w:r>
        <w:rPr>
          <w:rFonts w:ascii="Courier New" w:cs="Courier New" w:eastAsia="Courier New" w:hAnsi="Courier New"/>
          <w:sz w:val="18"/>
          <w:szCs w:val="18"/>
          <w:color w:val="auto"/>
        </w:rPr>
        <w:t>(9)</w:t>
      </w:r>
      <w:r>
        <w:rPr>
          <w:sz w:val="20"/>
          <w:szCs w:val="20"/>
          <w:color w:val="auto"/>
        </w:rPr>
        <w:tab/>
      </w:r>
      <w:r>
        <w:rPr>
          <w:rFonts w:ascii="Courier New" w:cs="Courier New" w:eastAsia="Courier New" w:hAnsi="Courier New"/>
          <w:sz w:val="18"/>
          <w:szCs w:val="18"/>
          <w:color w:val="auto"/>
        </w:rPr>
        <w:t>Sole Dispositive Power</w:t>
      </w:r>
    </w:p>
    <w:p>
      <w:pPr>
        <w:spacing w:after="0" w:line="1" w:lineRule="exact"/>
        <w:rPr>
          <w:sz w:val="20"/>
          <w:szCs w:val="20"/>
          <w:color w:val="auto"/>
        </w:rPr>
      </w:pPr>
    </w:p>
    <w:p>
      <w:pPr>
        <w:sectPr>
          <w:pgSz w:w="11900" w:h="16838" w:orient="portrait"/>
          <w:cols w:equalWidth="0" w:num="2">
            <w:col w:w="1720" w:space="720"/>
            <w:col w:w="7779"/>
          </w:cols>
          <w:pgMar w:left="240" w:top="312" w:right="1440" w:bottom="1440" w:gutter="0" w:footer="0" w:header="0"/>
          <w:type w:val="continuous"/>
        </w:sectPr>
      </w:pPr>
    </w:p>
    <w:p>
      <w:pPr>
        <w:spacing w:after="0" w:line="3" w:lineRule="exact"/>
        <w:rPr>
          <w:sz w:val="20"/>
          <w:szCs w:val="20"/>
          <w:color w:val="auto"/>
        </w:rPr>
      </w:pPr>
    </w:p>
    <w:p>
      <w:pPr>
        <w:ind w:left="120"/>
        <w:spacing w:after="0"/>
        <w:rPr>
          <w:sz w:val="20"/>
          <w:szCs w:val="20"/>
          <w:color w:val="auto"/>
        </w:rPr>
      </w:pPr>
      <w:r>
        <w:rPr>
          <w:rFonts w:ascii="Courier New" w:cs="Courier New" w:eastAsia="Courier New" w:hAnsi="Courier New"/>
          <w:sz w:val="16"/>
          <w:szCs w:val="16"/>
          <w:color w:val="auto"/>
        </w:rPr>
        <w:t>Person With</w:t>
      </w:r>
    </w:p>
    <w:p>
      <w:pPr>
        <w:spacing w:after="0" w:line="20" w:lineRule="exact"/>
        <w:rPr>
          <w:sz w:val="20"/>
          <w:szCs w:val="20"/>
          <w:color w:val="auto"/>
        </w:rPr>
      </w:pPr>
      <w:r>
        <w:rPr>
          <w:sz w:val="20"/>
          <w:szCs w:val="20"/>
          <w:color w:val="auto"/>
        </w:rPr>
        <w:br w:type="column"/>
      </w:r>
    </w:p>
    <w:p>
      <w:pPr>
        <w:ind w:left="3360"/>
        <w:spacing w:after="0" w:line="238" w:lineRule="auto"/>
        <w:rPr>
          <w:sz w:val="20"/>
          <w:szCs w:val="20"/>
          <w:color w:val="auto"/>
        </w:rPr>
      </w:pPr>
      <w:r>
        <w:rPr>
          <w:rFonts w:ascii="Courier New" w:cs="Courier New" w:eastAsia="Courier New" w:hAnsi="Courier New"/>
          <w:sz w:val="18"/>
          <w:szCs w:val="18"/>
          <w:color w:val="auto"/>
        </w:rPr>
        <w:t>6,142,794</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spacing w:after="0"/>
        <w:tabs>
          <w:tab w:leader="none" w:pos="820" w:val="left"/>
        </w:tabs>
        <w:rPr>
          <w:sz w:val="20"/>
          <w:szCs w:val="20"/>
          <w:color w:val="auto"/>
        </w:rPr>
      </w:pPr>
      <w:r>
        <w:rPr>
          <w:rFonts w:ascii="Courier New" w:cs="Courier New" w:eastAsia="Courier New" w:hAnsi="Courier New"/>
          <w:sz w:val="18"/>
          <w:szCs w:val="18"/>
          <w:color w:val="auto"/>
        </w:rPr>
        <w:t>(10)</w:t>
      </w:r>
      <w:r>
        <w:rPr>
          <w:sz w:val="20"/>
          <w:szCs w:val="20"/>
          <w:color w:val="auto"/>
        </w:rPr>
        <w:tab/>
      </w:r>
      <w:r>
        <w:rPr>
          <w:rFonts w:ascii="Courier New" w:cs="Courier New" w:eastAsia="Courier New" w:hAnsi="Courier New"/>
          <w:sz w:val="18"/>
          <w:szCs w:val="18"/>
          <w:color w:val="auto"/>
        </w:rPr>
        <w:t>Shared Dispositive Power</w:t>
      </w:r>
    </w:p>
    <w:p>
      <w:pPr>
        <w:ind w:left="3260"/>
        <w:spacing w:after="0" w:line="238" w:lineRule="auto"/>
        <w:rPr>
          <w:sz w:val="20"/>
          <w:szCs w:val="20"/>
          <w:color w:val="auto"/>
        </w:rPr>
      </w:pPr>
      <w:r>
        <w:rPr>
          <w:rFonts w:ascii="Courier New" w:cs="Courier New" w:eastAsia="Courier New" w:hAnsi="Courier New"/>
          <w:sz w:val="18"/>
          <w:szCs w:val="18"/>
          <w:color w:val="auto"/>
        </w:rPr>
        <w:t>N/A</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2">
            <w:col w:w="1720" w:space="720"/>
            <w:col w:w="7779"/>
          </w:cols>
          <w:pgMar w:left="240" w:top="312" w:right="1440" w:bottom="1440" w:gutter="0" w:footer="0" w:header="0"/>
          <w:type w:val="continuous"/>
        </w:sectPr>
      </w:pPr>
    </w:p>
    <w:p>
      <w:pPr>
        <w:spacing w:after="0" w:line="18" w:lineRule="exact"/>
        <w:rPr>
          <w:sz w:val="20"/>
          <w:szCs w:val="20"/>
          <w:color w:val="auto"/>
        </w:rPr>
      </w:pPr>
    </w:p>
    <w:p>
      <w:pPr>
        <w:ind w:left="1060" w:hanging="947"/>
        <w:spacing w:after="0"/>
        <w:tabs>
          <w:tab w:leader="none" w:pos="106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w:t>
      </w:r>
    </w:p>
    <w:p>
      <w:pPr>
        <w:ind w:left="6320"/>
        <w:spacing w:after="0" w:line="238" w:lineRule="auto"/>
        <w:rPr>
          <w:sz w:val="20"/>
          <w:szCs w:val="20"/>
          <w:color w:val="auto"/>
        </w:rPr>
      </w:pPr>
      <w:r>
        <w:rPr>
          <w:rFonts w:ascii="Courier New" w:cs="Courier New" w:eastAsia="Courier New" w:hAnsi="Courier New"/>
          <w:sz w:val="18"/>
          <w:szCs w:val="18"/>
          <w:color w:val="auto"/>
        </w:rPr>
        <w:t>6,142,794</w:t>
      </w:r>
    </w:p>
    <w:p>
      <w:pPr>
        <w:spacing w:after="0" w:line="5"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w:t>
      </w:r>
    </w:p>
    <w:p>
      <w:pPr>
        <w:spacing w:after="0" w:line="224" w:lineRule="exact"/>
        <w:rPr>
          <w:sz w:val="20"/>
          <w:szCs w:val="20"/>
          <w:color w:val="auto"/>
        </w:rPr>
      </w:pPr>
    </w:p>
    <w:p>
      <w:pPr>
        <w:ind w:left="1060" w:right="2619" w:hanging="947"/>
        <w:spacing w:after="0" w:line="235" w:lineRule="auto"/>
        <w:tabs>
          <w:tab w:leader="none" w:pos="106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Box if the Aggregate Amount in Row (11) Excludes Certain Shares* (See Instructions): [ ]</w:t>
      </w:r>
    </w:p>
    <w:p>
      <w:pPr>
        <w:spacing w:after="0" w:line="208" w:lineRule="exact"/>
        <w:rPr>
          <w:rFonts w:ascii="Courier New" w:cs="Courier New" w:eastAsia="Courier New" w:hAnsi="Courier New"/>
          <w:sz w:val="18"/>
          <w:szCs w:val="18"/>
          <w:color w:val="auto"/>
        </w:rPr>
      </w:pPr>
    </w:p>
    <w:p>
      <w:pPr>
        <w:ind w:left="1060"/>
        <w:spacing w:after="0"/>
        <w:rPr>
          <w:rFonts w:ascii="Courier New" w:cs="Courier New" w:eastAsia="Courier New" w:hAnsi="Courier New"/>
          <w:sz w:val="18"/>
          <w:szCs w:val="18"/>
          <w:color w:val="auto"/>
        </w:rPr>
      </w:pPr>
      <w:r>
        <w:rPr>
          <w:rFonts w:ascii="Courier New" w:cs="Courier New" w:eastAsia="Courier New" w:hAnsi="Courier New"/>
          <w:sz w:val="16"/>
          <w:szCs w:val="16"/>
          <w:color w:val="auto"/>
        </w:rPr>
        <w:t>---------------------------------------------------------------------</w:t>
      </w:r>
    </w:p>
    <w:p>
      <w:pPr>
        <w:spacing w:after="0" w:line="218" w:lineRule="exact"/>
        <w:rPr>
          <w:rFonts w:ascii="Courier New" w:cs="Courier New" w:eastAsia="Courier New" w:hAnsi="Courier New"/>
          <w:sz w:val="18"/>
          <w:szCs w:val="18"/>
          <w:color w:val="auto"/>
        </w:rPr>
      </w:pPr>
    </w:p>
    <w:p>
      <w:pPr>
        <w:ind w:left="1060" w:hanging="947"/>
        <w:spacing w:after="0"/>
        <w:tabs>
          <w:tab w:leader="none" w:pos="106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(11)</w:t>
      </w:r>
    </w:p>
    <w:p>
      <w:pPr>
        <w:ind w:left="6320"/>
        <w:spacing w:after="0" w:line="238" w:lineRule="auto"/>
        <w:rPr>
          <w:sz w:val="20"/>
          <w:szCs w:val="20"/>
          <w:color w:val="auto"/>
        </w:rPr>
      </w:pPr>
      <w:r>
        <w:rPr>
          <w:rFonts w:ascii="Courier New" w:cs="Courier New" w:eastAsia="Courier New" w:hAnsi="Courier New"/>
          <w:sz w:val="18"/>
          <w:szCs w:val="18"/>
          <w:color w:val="auto"/>
        </w:rPr>
        <w:t>5.3%</w:t>
      </w:r>
    </w:p>
    <w:p>
      <w:pPr>
        <w:spacing w:after="0" w:line="5"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w:t>
      </w:r>
    </w:p>
    <w:p>
      <w:pPr>
        <w:spacing w:after="0" w:line="218" w:lineRule="exact"/>
        <w:rPr>
          <w:sz w:val="20"/>
          <w:szCs w:val="20"/>
          <w:color w:val="auto"/>
        </w:rPr>
      </w:pPr>
    </w:p>
    <w:p>
      <w:pPr>
        <w:ind w:left="120"/>
        <w:spacing w:after="0"/>
        <w:tabs>
          <w:tab w:leader="none" w:pos="1040" w:val="left"/>
        </w:tabs>
        <w:rPr>
          <w:sz w:val="20"/>
          <w:szCs w:val="20"/>
          <w:color w:val="auto"/>
        </w:rPr>
      </w:pPr>
      <w:r>
        <w:rPr>
          <w:rFonts w:ascii="Courier New" w:cs="Courier New" w:eastAsia="Courier New" w:hAnsi="Courier New"/>
          <w:sz w:val="18"/>
          <w:szCs w:val="18"/>
          <w:color w:val="auto"/>
        </w:rPr>
        <w:t>(14)</w:t>
      </w:r>
      <w:r>
        <w:rPr>
          <w:sz w:val="20"/>
          <w:szCs w:val="20"/>
          <w:color w:val="auto"/>
        </w:rPr>
        <w:tab/>
      </w:r>
      <w:r>
        <w:rPr>
          <w:rFonts w:ascii="Courier New" w:cs="Courier New" w:eastAsia="Courier New" w:hAnsi="Courier New"/>
          <w:sz w:val="18"/>
          <w:szCs w:val="18"/>
          <w:color w:val="auto"/>
        </w:rPr>
        <w:t>Type of Reporting Person*</w:t>
      </w:r>
    </w:p>
    <w:p>
      <w:pPr>
        <w:ind w:left="4220"/>
        <w:spacing w:after="0" w:line="238" w:lineRule="auto"/>
        <w:rPr>
          <w:sz w:val="20"/>
          <w:szCs w:val="20"/>
          <w:color w:val="auto"/>
        </w:rPr>
      </w:pPr>
      <w:r>
        <w:rPr>
          <w:rFonts w:ascii="Courier New" w:cs="Courier New" w:eastAsia="Courier New" w:hAnsi="Courier New"/>
          <w:sz w:val="18"/>
          <w:szCs w:val="18"/>
          <w:color w:val="auto"/>
        </w:rPr>
        <w:t>IN</w:t>
      </w:r>
    </w:p>
    <w:p>
      <w:pPr>
        <w:spacing w:after="0" w:line="5"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jc w:val="center"/>
        <w:ind w:left="113" w:right="2093"/>
        <w:spacing w:after="0" w:line="236" w:lineRule="auto"/>
        <w:rPr>
          <w:sz w:val="20"/>
          <w:szCs w:val="20"/>
          <w:color w:val="auto"/>
        </w:rPr>
      </w:pPr>
      <w:r>
        <w:rPr>
          <w:rFonts w:ascii="Courier New" w:cs="Courier New" w:eastAsia="Courier New" w:hAnsi="Courier New"/>
          <w:sz w:val="18"/>
          <w:szCs w:val="18"/>
          <w:color w:val="auto"/>
        </w:rPr>
        <w:t>*SEE INSTRUCTIONS BEFORE FILLING OUT! INCLUDE BOTH SIDES OF THE COVER PAGE, RESPONSES TO ITEMS 1-7 (INCLUDING EXHIBITS) OF THE SCHEDULE, AND THE SIGNATURE ATTESTATION.</w:t>
      </w:r>
    </w:p>
    <w:p>
      <w:pPr>
        <w:sectPr>
          <w:pgSz w:w="11900" w:h="16838" w:orient="portrait"/>
          <w:cols w:equalWidth="0" w:num="1">
            <w:col w:w="10219"/>
          </w:cols>
          <w:pgMar w:left="240" w:top="312" w:right="1440" w:bottom="1440" w:gutter="0" w:footer="0" w:header="0"/>
          <w:type w:val="continuous"/>
        </w:sectPr>
      </w:pPr>
    </w:p>
    <w:bookmarkStart w:id="2" w:name="page3"/>
    <w:bookmarkEnd w:id="2"/>
    <w:tbl>
      <w:tblPr>
        <w:tblLayout w:type="fixed"/>
        <w:tblInd w:w="0" w:type="dxa"/>
        <w:tblCellMar>
          <w:top w:w="0" w:type="dxa"/>
          <w:left w:w="0" w:type="dxa"/>
          <w:bottom w:w="0" w:type="dxa"/>
          <w:right w:w="0" w:type="dxa"/>
        </w:tblCellMar>
      </w:tblPr>
      <w:tr>
        <w:trPr>
          <w:trHeight w:val="204"/>
        </w:trPr>
        <w:tc>
          <w:tcPr>
            <w:tcW w:w="160" w:type="dxa"/>
            <w:vAlign w:val="bottom"/>
          </w:tcPr>
          <w:p>
            <w:pPr>
              <w:spacing w:after="0"/>
              <w:rPr>
                <w:sz w:val="17"/>
                <w:szCs w:val="17"/>
                <w:color w:val="auto"/>
              </w:rPr>
            </w:pPr>
          </w:p>
        </w:tc>
        <w:tc>
          <w:tcPr>
            <w:tcW w:w="3580" w:type="dxa"/>
            <w:vAlign w:val="bottom"/>
          </w:tcPr>
          <w:p>
            <w:pPr>
              <w:jc w:val="right"/>
              <w:ind w:right="3232"/>
              <w:spacing w:after="0"/>
              <w:rPr>
                <w:sz w:val="20"/>
                <w:szCs w:val="20"/>
                <w:color w:val="auto"/>
              </w:rPr>
            </w:pPr>
            <w:r>
              <w:rPr>
                <w:rFonts w:ascii="Courier New" w:cs="Courier New" w:eastAsia="Courier New" w:hAnsi="Courier New"/>
                <w:sz w:val="18"/>
                <w:szCs w:val="18"/>
                <w:color w:val="auto"/>
              </w:rPr>
              <w:t>3</w:t>
            </w:r>
          </w:p>
        </w:tc>
        <w:tc>
          <w:tcPr>
            <w:tcW w:w="1220" w:type="dxa"/>
            <w:vAlign w:val="bottom"/>
          </w:tcPr>
          <w:p>
            <w:pPr>
              <w:spacing w:after="0"/>
              <w:rPr>
                <w:sz w:val="17"/>
                <w:szCs w:val="17"/>
                <w:color w:val="auto"/>
              </w:rPr>
            </w:pPr>
          </w:p>
        </w:tc>
        <w:tc>
          <w:tcPr>
            <w:tcW w:w="3580" w:type="dxa"/>
            <w:vAlign w:val="bottom"/>
          </w:tcPr>
          <w:p>
            <w:pPr>
              <w:spacing w:after="0"/>
              <w:rPr>
                <w:sz w:val="17"/>
                <w:szCs w:val="17"/>
                <w:color w:val="auto"/>
              </w:rPr>
            </w:pPr>
          </w:p>
        </w:tc>
      </w:tr>
      <w:tr>
        <w:trPr>
          <w:trHeight w:val="405"/>
        </w:trPr>
        <w:tc>
          <w:tcPr>
            <w:tcW w:w="160" w:type="dxa"/>
            <w:vAlign w:val="bottom"/>
          </w:tcPr>
          <w:p>
            <w:pPr>
              <w:jc w:val="right"/>
              <w:spacing w:after="0"/>
              <w:rPr>
                <w:sz w:val="20"/>
                <w:szCs w:val="20"/>
                <w:color w:val="auto"/>
              </w:rPr>
            </w:pPr>
            <w:r>
              <w:rPr>
                <w:rFonts w:ascii="Courier New" w:cs="Courier New" w:eastAsia="Courier New" w:hAnsi="Courier New"/>
                <w:sz w:val="18"/>
                <w:szCs w:val="18"/>
                <w:color w:val="auto"/>
                <w:w w:val="92"/>
              </w:rPr>
              <w:t>-</w:t>
            </w:r>
          </w:p>
        </w:tc>
        <w:tc>
          <w:tcPr>
            <w:tcW w:w="3580" w:type="dxa"/>
            <w:vAlign w:val="bottom"/>
          </w:tcPr>
          <w:p>
            <w:pPr>
              <w:ind w:left="60"/>
              <w:spacing w:after="0"/>
              <w:rPr>
                <w:sz w:val="20"/>
                <w:szCs w:val="20"/>
                <w:color w:val="auto"/>
              </w:rPr>
            </w:pPr>
            <w:r>
              <w:rPr>
                <w:rFonts w:ascii="Courier New" w:cs="Courier New" w:eastAsia="Courier New" w:hAnsi="Courier New"/>
                <w:sz w:val="18"/>
                <w:szCs w:val="18"/>
                <w:color w:val="auto"/>
              </w:rPr>
              <w:t>------------------------------</w:t>
            </w:r>
          </w:p>
        </w:tc>
        <w:tc>
          <w:tcPr>
            <w:tcW w:w="1220" w:type="dxa"/>
            <w:vAlign w:val="bottom"/>
          </w:tcPr>
          <w:p>
            <w:pPr>
              <w:spacing w:after="0"/>
              <w:rPr>
                <w:sz w:val="24"/>
                <w:szCs w:val="24"/>
                <w:color w:val="auto"/>
              </w:rPr>
            </w:pPr>
          </w:p>
        </w:tc>
        <w:tc>
          <w:tcPr>
            <w:tcW w:w="358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r>
      <w:tr>
        <w:trPr>
          <w:trHeight w:val="203"/>
        </w:trPr>
        <w:tc>
          <w:tcPr>
            <w:tcW w:w="160" w:type="dxa"/>
            <w:vAlign w:val="bottom"/>
          </w:tcPr>
          <w:p>
            <w:pPr>
              <w:spacing w:after="0"/>
              <w:rPr>
                <w:sz w:val="17"/>
                <w:szCs w:val="17"/>
                <w:color w:val="auto"/>
              </w:rPr>
            </w:pPr>
          </w:p>
        </w:tc>
        <w:tc>
          <w:tcPr>
            <w:tcW w:w="35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CUSIP No. G 5876H105</w:t>
            </w:r>
          </w:p>
        </w:tc>
        <w:tc>
          <w:tcPr>
            <w:tcW w:w="1220" w:type="dxa"/>
            <w:vAlign w:val="bottom"/>
          </w:tcPr>
          <w:p>
            <w:pPr>
              <w:ind w:left="380"/>
              <w:spacing w:after="0" w:line="203" w:lineRule="exact"/>
              <w:rPr>
                <w:sz w:val="20"/>
                <w:szCs w:val="20"/>
                <w:color w:val="auto"/>
              </w:rPr>
            </w:pPr>
            <w:r>
              <w:rPr>
                <w:rFonts w:ascii="Courier New" w:cs="Courier New" w:eastAsia="Courier New" w:hAnsi="Courier New"/>
                <w:sz w:val="18"/>
                <w:szCs w:val="18"/>
                <w:color w:val="auto"/>
              </w:rPr>
              <w:t>13D</w:t>
            </w:r>
          </w:p>
        </w:tc>
        <w:tc>
          <w:tcPr>
            <w:tcW w:w="358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Page 3 of 9 Pages</w:t>
            </w:r>
          </w:p>
        </w:tc>
      </w:tr>
      <w:tr>
        <w:trPr>
          <w:trHeight w:val="203"/>
        </w:trPr>
        <w:tc>
          <w:tcPr>
            <w:tcW w:w="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w:t>
            </w:r>
          </w:p>
        </w:tc>
        <w:tc>
          <w:tcPr>
            <w:tcW w:w="35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w:t>
            </w:r>
          </w:p>
        </w:tc>
        <w:tc>
          <w:tcPr>
            <w:tcW w:w="1220" w:type="dxa"/>
            <w:vAlign w:val="bottom"/>
          </w:tcPr>
          <w:p>
            <w:pPr>
              <w:spacing w:after="0"/>
              <w:rPr>
                <w:sz w:val="17"/>
                <w:szCs w:val="17"/>
                <w:color w:val="auto"/>
              </w:rPr>
            </w:pPr>
          </w:p>
        </w:tc>
        <w:tc>
          <w:tcPr>
            <w:tcW w:w="35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w:t>
      </w:r>
      <w:r>
        <w:rPr>
          <w:sz w:val="20"/>
          <w:szCs w:val="20"/>
          <w:color w:val="auto"/>
        </w:rPr>
        <w:tab/>
      </w:r>
      <w:r>
        <w:rPr>
          <w:rFonts w:ascii="Courier New" w:cs="Courier New" w:eastAsia="Courier New" w:hAnsi="Courier New"/>
          <w:sz w:val="16"/>
          <w:szCs w:val="16"/>
          <w:color w:val="auto"/>
        </w:rPr>
        <w:t>SECURITY AND ISSUER</w:t>
      </w:r>
    </w:p>
    <w:p>
      <w:pPr>
        <w:spacing w:after="0" w:line="207" w:lineRule="exact"/>
        <w:rPr>
          <w:sz w:val="20"/>
          <w:szCs w:val="20"/>
          <w:color w:val="auto"/>
        </w:rPr>
      </w:pPr>
    </w:p>
    <w:p>
      <w:pPr>
        <w:ind w:left="1700" w:right="1879"/>
        <w:spacing w:after="0" w:line="237" w:lineRule="auto"/>
        <w:rPr>
          <w:sz w:val="20"/>
          <w:szCs w:val="20"/>
          <w:color w:val="auto"/>
        </w:rPr>
      </w:pPr>
      <w:r>
        <w:rPr>
          <w:rFonts w:ascii="Courier New" w:cs="Courier New" w:eastAsia="Courier New" w:hAnsi="Courier New"/>
          <w:sz w:val="18"/>
          <w:szCs w:val="18"/>
          <w:color w:val="auto"/>
        </w:rPr>
        <w:t>This Statement on Schedule 13D (the "Statement") relates to common stock, par value $0.002 per share ("Marvell Shares"), of Marvell Technology Group Ltd., a Bermuda corporation ("Marvell").</w:t>
      </w:r>
    </w:p>
    <w:p>
      <w:pPr>
        <w:spacing w:after="0" w:line="202" w:lineRule="exact"/>
        <w:rPr>
          <w:sz w:val="20"/>
          <w:szCs w:val="20"/>
          <w:color w:val="auto"/>
        </w:rPr>
      </w:pPr>
    </w:p>
    <w:p>
      <w:pPr>
        <w:ind w:left="1700"/>
        <w:spacing w:after="0"/>
        <w:rPr>
          <w:sz w:val="20"/>
          <w:szCs w:val="20"/>
          <w:color w:val="auto"/>
        </w:rPr>
      </w:pPr>
      <w:r>
        <w:rPr>
          <w:rFonts w:ascii="Courier New" w:cs="Courier New" w:eastAsia="Courier New" w:hAnsi="Courier New"/>
          <w:sz w:val="18"/>
          <w:szCs w:val="18"/>
          <w:color w:val="auto"/>
        </w:rPr>
        <w:t>The address of Marvell's principal executive offices:</w:t>
      </w:r>
    </w:p>
    <w:p>
      <w:pPr>
        <w:spacing w:after="0" w:line="201" w:lineRule="exact"/>
        <w:rPr>
          <w:sz w:val="20"/>
          <w:szCs w:val="20"/>
          <w:color w:val="auto"/>
        </w:rPr>
      </w:pPr>
    </w:p>
    <w:p>
      <w:pPr>
        <w:ind w:left="2320"/>
        <w:spacing w:after="0"/>
        <w:rPr>
          <w:sz w:val="20"/>
          <w:szCs w:val="20"/>
          <w:color w:val="auto"/>
        </w:rPr>
      </w:pPr>
      <w:r>
        <w:rPr>
          <w:rFonts w:ascii="Courier New" w:cs="Courier New" w:eastAsia="Courier New" w:hAnsi="Courier New"/>
          <w:sz w:val="18"/>
          <w:szCs w:val="18"/>
          <w:color w:val="auto"/>
        </w:rPr>
        <w:t>Marvell Technology Group Ltd.</w:t>
      </w:r>
    </w:p>
    <w:p>
      <w:pPr>
        <w:ind w:left="2320"/>
        <w:spacing w:after="0" w:line="238" w:lineRule="auto"/>
        <w:rPr>
          <w:sz w:val="20"/>
          <w:szCs w:val="20"/>
          <w:color w:val="auto"/>
        </w:rPr>
      </w:pPr>
      <w:r>
        <w:rPr>
          <w:rFonts w:ascii="Courier New" w:cs="Courier New" w:eastAsia="Courier New" w:hAnsi="Courier New"/>
          <w:sz w:val="18"/>
          <w:szCs w:val="18"/>
          <w:color w:val="auto"/>
        </w:rPr>
        <w:t>Richmond House</w:t>
      </w:r>
    </w:p>
    <w:p>
      <w:pPr>
        <w:ind w:left="2320"/>
        <w:spacing w:after="0"/>
        <w:rPr>
          <w:sz w:val="20"/>
          <w:szCs w:val="20"/>
          <w:color w:val="auto"/>
        </w:rPr>
      </w:pPr>
      <w:r>
        <w:rPr>
          <w:rFonts w:ascii="Courier New" w:cs="Courier New" w:eastAsia="Courier New" w:hAnsi="Courier New"/>
          <w:sz w:val="18"/>
          <w:szCs w:val="18"/>
          <w:color w:val="auto"/>
        </w:rPr>
        <w:t>3rd Floor</w:t>
      </w:r>
    </w:p>
    <w:p>
      <w:pPr>
        <w:ind w:left="2320"/>
        <w:spacing w:after="0" w:line="237" w:lineRule="auto"/>
        <w:rPr>
          <w:sz w:val="20"/>
          <w:szCs w:val="20"/>
          <w:color w:val="auto"/>
        </w:rPr>
      </w:pPr>
      <w:r>
        <w:rPr>
          <w:rFonts w:ascii="Courier New" w:cs="Courier New" w:eastAsia="Courier New" w:hAnsi="Courier New"/>
          <w:sz w:val="18"/>
          <w:szCs w:val="18"/>
          <w:color w:val="auto"/>
        </w:rPr>
        <w:t>Par la Ville Road</w:t>
      </w:r>
    </w:p>
    <w:p>
      <w:pPr>
        <w:ind w:left="2320"/>
        <w:spacing w:after="0" w:line="238" w:lineRule="auto"/>
        <w:rPr>
          <w:sz w:val="20"/>
          <w:szCs w:val="20"/>
          <w:color w:val="auto"/>
        </w:rPr>
      </w:pPr>
      <w:r>
        <w:rPr>
          <w:rFonts w:ascii="Courier New" w:cs="Courier New" w:eastAsia="Courier New" w:hAnsi="Courier New"/>
          <w:sz w:val="18"/>
          <w:szCs w:val="18"/>
          <w:color w:val="auto"/>
        </w:rPr>
        <w:t>Hamilton HM DX</w:t>
      </w:r>
    </w:p>
    <w:p>
      <w:pPr>
        <w:ind w:left="2320"/>
        <w:spacing w:after="0"/>
        <w:rPr>
          <w:sz w:val="20"/>
          <w:szCs w:val="20"/>
          <w:color w:val="auto"/>
        </w:rPr>
      </w:pPr>
      <w:r>
        <w:rPr>
          <w:rFonts w:ascii="Courier New" w:cs="Courier New" w:eastAsia="Courier New" w:hAnsi="Courier New"/>
          <w:sz w:val="18"/>
          <w:szCs w:val="18"/>
          <w:color w:val="auto"/>
        </w:rPr>
        <w:t>Bermuda</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w:t>
      </w:r>
      <w:r>
        <w:rPr>
          <w:sz w:val="20"/>
          <w:szCs w:val="20"/>
          <w:color w:val="auto"/>
        </w:rPr>
        <w:tab/>
      </w:r>
      <w:r>
        <w:rPr>
          <w:rFonts w:ascii="Courier New" w:cs="Courier New" w:eastAsia="Courier New" w:hAnsi="Courier New"/>
          <w:sz w:val="16"/>
          <w:szCs w:val="16"/>
          <w:color w:val="auto"/>
        </w:rPr>
        <w:t>IDENTITY AND BACKGROUND</w:t>
      </w:r>
    </w:p>
    <w:p>
      <w:pPr>
        <w:spacing w:after="0" w:line="207" w:lineRule="exact"/>
        <w:rPr>
          <w:sz w:val="20"/>
          <w:szCs w:val="20"/>
          <w:color w:val="auto"/>
        </w:rPr>
      </w:pPr>
    </w:p>
    <w:p>
      <w:pPr>
        <w:ind w:left="1700" w:right="2099" w:hanging="7"/>
        <w:spacing w:after="0" w:line="235" w:lineRule="auto"/>
        <w:tabs>
          <w:tab w:leader="none" w:pos="2121"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 Avigdor Willenz (the "Reporting Person")</w:t>
      </w:r>
    </w:p>
    <w:p>
      <w:pPr>
        <w:spacing w:after="0" w:line="208" w:lineRule="exact"/>
        <w:rPr>
          <w:rFonts w:ascii="Courier New" w:cs="Courier New" w:eastAsia="Courier New" w:hAnsi="Courier New"/>
          <w:sz w:val="18"/>
          <w:szCs w:val="18"/>
          <w:color w:val="auto"/>
        </w:rPr>
      </w:pPr>
    </w:p>
    <w:p>
      <w:pPr>
        <w:ind w:left="1700" w:right="1879" w:hanging="7"/>
        <w:spacing w:after="0" w:line="235" w:lineRule="auto"/>
        <w:tabs>
          <w:tab w:leader="none" w:pos="2121"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and (c) Occupation, Principal Business and Business Address of Reporting Person:</w:t>
      </w:r>
    </w:p>
    <w:p>
      <w:pPr>
        <w:spacing w:after="0" w:line="208" w:lineRule="exact"/>
        <w:rPr>
          <w:sz w:val="20"/>
          <w:szCs w:val="20"/>
          <w:color w:val="auto"/>
        </w:rPr>
      </w:pPr>
    </w:p>
    <w:p>
      <w:pPr>
        <w:ind w:left="1700" w:right="1779"/>
        <w:spacing w:after="0" w:line="237" w:lineRule="auto"/>
        <w:rPr>
          <w:sz w:val="20"/>
          <w:szCs w:val="20"/>
          <w:color w:val="auto"/>
        </w:rPr>
      </w:pPr>
      <w:r>
        <w:rPr>
          <w:rFonts w:ascii="Courier New" w:cs="Courier New" w:eastAsia="Courier New" w:hAnsi="Courier New"/>
          <w:sz w:val="18"/>
          <w:szCs w:val="18"/>
          <w:color w:val="auto"/>
        </w:rPr>
        <w:t>The Reporting Person is President and Chief Executive Officer of Galileo Technology Ltd., a company organized under the laws of Israel and a wholly-owned subsidiary of Marvell ("Galileo"). Galileo is a supplier of communications-related semiconductor devices. The Reporting Person is also a director of Marvell, as of January 21, 2001.</w:t>
      </w:r>
    </w:p>
    <w:p>
      <w:pPr>
        <w:spacing w:after="0" w:line="210" w:lineRule="exact"/>
        <w:rPr>
          <w:sz w:val="20"/>
          <w:szCs w:val="20"/>
          <w:color w:val="auto"/>
        </w:rPr>
      </w:pPr>
    </w:p>
    <w:p>
      <w:pPr>
        <w:ind w:left="1700" w:right="2419"/>
        <w:spacing w:after="0" w:line="235" w:lineRule="auto"/>
        <w:rPr>
          <w:sz w:val="20"/>
          <w:szCs w:val="20"/>
          <w:color w:val="auto"/>
        </w:rPr>
      </w:pPr>
      <w:r>
        <w:rPr>
          <w:rFonts w:ascii="Courier New" w:cs="Courier New" w:eastAsia="Courier New" w:hAnsi="Courier New"/>
          <w:sz w:val="18"/>
          <w:szCs w:val="18"/>
          <w:color w:val="auto"/>
        </w:rPr>
        <w:t>The address of Galileo and the Reporting Person's business address:</w:t>
      </w:r>
    </w:p>
    <w:p>
      <w:pPr>
        <w:spacing w:after="0" w:line="203" w:lineRule="exact"/>
        <w:rPr>
          <w:sz w:val="20"/>
          <w:szCs w:val="20"/>
          <w:color w:val="auto"/>
        </w:rPr>
      </w:pPr>
    </w:p>
    <w:p>
      <w:pPr>
        <w:ind w:left="2320"/>
        <w:spacing w:after="0"/>
        <w:rPr>
          <w:sz w:val="20"/>
          <w:szCs w:val="20"/>
          <w:color w:val="auto"/>
        </w:rPr>
      </w:pPr>
      <w:r>
        <w:rPr>
          <w:rFonts w:ascii="Courier New" w:cs="Courier New" w:eastAsia="Courier New" w:hAnsi="Courier New"/>
          <w:sz w:val="18"/>
          <w:szCs w:val="18"/>
          <w:color w:val="auto"/>
        </w:rPr>
        <w:t>Galileo Technology Ltd.</w:t>
      </w:r>
    </w:p>
    <w:p>
      <w:pPr>
        <w:ind w:left="2320"/>
        <w:spacing w:after="0" w:line="238" w:lineRule="auto"/>
        <w:rPr>
          <w:sz w:val="20"/>
          <w:szCs w:val="20"/>
          <w:color w:val="auto"/>
        </w:rPr>
      </w:pPr>
      <w:r>
        <w:rPr>
          <w:rFonts w:ascii="Courier New" w:cs="Courier New" w:eastAsia="Courier New" w:hAnsi="Courier New"/>
          <w:sz w:val="18"/>
          <w:szCs w:val="18"/>
          <w:color w:val="auto"/>
        </w:rPr>
        <w:t>Moshav Manof</w:t>
      </w:r>
    </w:p>
    <w:p>
      <w:pPr>
        <w:ind w:left="2320"/>
        <w:spacing w:after="0"/>
        <w:rPr>
          <w:sz w:val="20"/>
          <w:szCs w:val="20"/>
          <w:color w:val="auto"/>
        </w:rPr>
      </w:pPr>
      <w:r>
        <w:rPr>
          <w:rFonts w:ascii="Courier New" w:cs="Courier New" w:eastAsia="Courier New" w:hAnsi="Courier New"/>
          <w:sz w:val="18"/>
          <w:szCs w:val="18"/>
          <w:color w:val="auto"/>
        </w:rPr>
        <w:t>D.N. Misgav 20184</w:t>
      </w:r>
    </w:p>
    <w:p>
      <w:pPr>
        <w:ind w:left="2320"/>
        <w:spacing w:after="0" w:line="237" w:lineRule="auto"/>
        <w:rPr>
          <w:sz w:val="20"/>
          <w:szCs w:val="20"/>
          <w:color w:val="auto"/>
        </w:rPr>
      </w:pPr>
      <w:r>
        <w:rPr>
          <w:rFonts w:ascii="Courier New" w:cs="Courier New" w:eastAsia="Courier New" w:hAnsi="Courier New"/>
          <w:sz w:val="18"/>
          <w:szCs w:val="18"/>
          <w:color w:val="auto"/>
        </w:rPr>
        <w:t>Israel</w:t>
      </w:r>
    </w:p>
    <w:p>
      <w:pPr>
        <w:spacing w:after="0" w:line="207" w:lineRule="exact"/>
        <w:rPr>
          <w:sz w:val="20"/>
          <w:szCs w:val="20"/>
          <w:color w:val="auto"/>
        </w:rPr>
      </w:pPr>
    </w:p>
    <w:p>
      <w:pPr>
        <w:ind w:left="1700" w:right="1779" w:hanging="7"/>
        <w:spacing w:after="0" w:line="237" w:lineRule="auto"/>
        <w:tabs>
          <w:tab w:leader="none" w:pos="2121"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and (e). During the last five years, the Reporting Person has not (i) been convicted in a criminal proceeding (excluding traffic violations or similar misdemeanors) or (ii) been a party to a civil proceeding of a judicial or administrative body of competent jurisdiction the result of which proceeding was a judgment, decree or final order enjoining future violations of, or prohibiting or mandating activities subject to, Federal or State securities laws or the finding of any violation with respect to such laws.</w:t>
      </w:r>
    </w:p>
    <w:p>
      <w:pPr>
        <w:spacing w:after="0" w:line="208" w:lineRule="exact"/>
        <w:rPr>
          <w:sz w:val="20"/>
          <w:szCs w:val="20"/>
          <w:color w:val="auto"/>
        </w:rPr>
      </w:pPr>
    </w:p>
    <w:p>
      <w:pPr>
        <w:ind w:left="1700"/>
        <w:spacing w:after="0"/>
        <w:rPr>
          <w:sz w:val="20"/>
          <w:szCs w:val="20"/>
          <w:color w:val="auto"/>
        </w:rPr>
      </w:pPr>
      <w:r>
        <w:rPr>
          <w:rFonts w:ascii="Courier New" w:cs="Courier New" w:eastAsia="Courier New" w:hAnsi="Courier New"/>
          <w:sz w:val="18"/>
          <w:szCs w:val="18"/>
          <w:color w:val="auto"/>
        </w:rPr>
        <w:t>(f) Citizenship: Israel.</w:t>
      </w:r>
    </w:p>
    <w:p>
      <w:pPr>
        <w:sectPr>
          <w:pgSz w:w="11900" w:h="16838" w:orient="portrait"/>
          <w:cols w:equalWidth="0" w:num="1">
            <w:col w:w="10219"/>
          </w:cols>
          <w:pgMar w:left="240" w:top="312" w:right="1440" w:bottom="1440" w:gutter="0" w:footer="0" w:header="0"/>
        </w:sectPr>
      </w:pPr>
    </w:p>
    <w:bookmarkStart w:id="3" w:name="page4"/>
    <w:bookmarkEnd w:id="3"/>
    <w:tbl>
      <w:tblPr>
        <w:tblLayout w:type="fixed"/>
        <w:tblInd w:w="0" w:type="dxa"/>
        <w:tblCellMar>
          <w:top w:w="0" w:type="dxa"/>
          <w:left w:w="0" w:type="dxa"/>
          <w:bottom w:w="0" w:type="dxa"/>
          <w:right w:w="0" w:type="dxa"/>
        </w:tblCellMar>
      </w:tblPr>
      <w:tr>
        <w:trPr>
          <w:trHeight w:val="204"/>
        </w:trPr>
        <w:tc>
          <w:tcPr>
            <w:tcW w:w="160" w:type="dxa"/>
            <w:vAlign w:val="bottom"/>
          </w:tcPr>
          <w:p>
            <w:pPr>
              <w:spacing w:after="0"/>
              <w:rPr>
                <w:sz w:val="17"/>
                <w:szCs w:val="17"/>
                <w:color w:val="auto"/>
              </w:rPr>
            </w:pPr>
          </w:p>
        </w:tc>
        <w:tc>
          <w:tcPr>
            <w:tcW w:w="3580" w:type="dxa"/>
            <w:vAlign w:val="bottom"/>
          </w:tcPr>
          <w:p>
            <w:pPr>
              <w:jc w:val="right"/>
              <w:ind w:right="3232"/>
              <w:spacing w:after="0"/>
              <w:rPr>
                <w:sz w:val="20"/>
                <w:szCs w:val="20"/>
                <w:color w:val="auto"/>
              </w:rPr>
            </w:pPr>
            <w:r>
              <w:rPr>
                <w:rFonts w:ascii="Courier New" w:cs="Courier New" w:eastAsia="Courier New" w:hAnsi="Courier New"/>
                <w:sz w:val="18"/>
                <w:szCs w:val="18"/>
                <w:color w:val="auto"/>
              </w:rPr>
              <w:t>4</w:t>
            </w:r>
          </w:p>
        </w:tc>
        <w:tc>
          <w:tcPr>
            <w:tcW w:w="1220" w:type="dxa"/>
            <w:vAlign w:val="bottom"/>
          </w:tcPr>
          <w:p>
            <w:pPr>
              <w:spacing w:after="0"/>
              <w:rPr>
                <w:sz w:val="17"/>
                <w:szCs w:val="17"/>
                <w:color w:val="auto"/>
              </w:rPr>
            </w:pPr>
          </w:p>
        </w:tc>
        <w:tc>
          <w:tcPr>
            <w:tcW w:w="3580" w:type="dxa"/>
            <w:vAlign w:val="bottom"/>
          </w:tcPr>
          <w:p>
            <w:pPr>
              <w:spacing w:after="0"/>
              <w:rPr>
                <w:sz w:val="17"/>
                <w:szCs w:val="17"/>
                <w:color w:val="auto"/>
              </w:rPr>
            </w:pPr>
          </w:p>
        </w:tc>
      </w:tr>
      <w:tr>
        <w:trPr>
          <w:trHeight w:val="405"/>
        </w:trPr>
        <w:tc>
          <w:tcPr>
            <w:tcW w:w="160" w:type="dxa"/>
            <w:vAlign w:val="bottom"/>
          </w:tcPr>
          <w:p>
            <w:pPr>
              <w:jc w:val="right"/>
              <w:spacing w:after="0"/>
              <w:rPr>
                <w:sz w:val="20"/>
                <w:szCs w:val="20"/>
                <w:color w:val="auto"/>
              </w:rPr>
            </w:pPr>
            <w:r>
              <w:rPr>
                <w:rFonts w:ascii="Courier New" w:cs="Courier New" w:eastAsia="Courier New" w:hAnsi="Courier New"/>
                <w:sz w:val="18"/>
                <w:szCs w:val="18"/>
                <w:color w:val="auto"/>
                <w:w w:val="92"/>
              </w:rPr>
              <w:t>-</w:t>
            </w:r>
          </w:p>
        </w:tc>
        <w:tc>
          <w:tcPr>
            <w:tcW w:w="3580" w:type="dxa"/>
            <w:vAlign w:val="bottom"/>
          </w:tcPr>
          <w:p>
            <w:pPr>
              <w:ind w:left="60"/>
              <w:spacing w:after="0"/>
              <w:rPr>
                <w:sz w:val="20"/>
                <w:szCs w:val="20"/>
                <w:color w:val="auto"/>
              </w:rPr>
            </w:pPr>
            <w:r>
              <w:rPr>
                <w:rFonts w:ascii="Courier New" w:cs="Courier New" w:eastAsia="Courier New" w:hAnsi="Courier New"/>
                <w:sz w:val="18"/>
                <w:szCs w:val="18"/>
                <w:color w:val="auto"/>
              </w:rPr>
              <w:t>------------------------------</w:t>
            </w:r>
          </w:p>
        </w:tc>
        <w:tc>
          <w:tcPr>
            <w:tcW w:w="1220" w:type="dxa"/>
            <w:vAlign w:val="bottom"/>
          </w:tcPr>
          <w:p>
            <w:pPr>
              <w:spacing w:after="0"/>
              <w:rPr>
                <w:sz w:val="24"/>
                <w:szCs w:val="24"/>
                <w:color w:val="auto"/>
              </w:rPr>
            </w:pPr>
          </w:p>
        </w:tc>
        <w:tc>
          <w:tcPr>
            <w:tcW w:w="358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r>
      <w:tr>
        <w:trPr>
          <w:trHeight w:val="203"/>
        </w:trPr>
        <w:tc>
          <w:tcPr>
            <w:tcW w:w="160" w:type="dxa"/>
            <w:vAlign w:val="bottom"/>
          </w:tcPr>
          <w:p>
            <w:pPr>
              <w:spacing w:after="0"/>
              <w:rPr>
                <w:sz w:val="17"/>
                <w:szCs w:val="17"/>
                <w:color w:val="auto"/>
              </w:rPr>
            </w:pPr>
          </w:p>
        </w:tc>
        <w:tc>
          <w:tcPr>
            <w:tcW w:w="35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CUSIP No. G 5876H105</w:t>
            </w:r>
          </w:p>
        </w:tc>
        <w:tc>
          <w:tcPr>
            <w:tcW w:w="1220" w:type="dxa"/>
            <w:vAlign w:val="bottom"/>
          </w:tcPr>
          <w:p>
            <w:pPr>
              <w:ind w:left="380"/>
              <w:spacing w:after="0" w:line="203" w:lineRule="exact"/>
              <w:rPr>
                <w:sz w:val="20"/>
                <w:szCs w:val="20"/>
                <w:color w:val="auto"/>
              </w:rPr>
            </w:pPr>
            <w:r>
              <w:rPr>
                <w:rFonts w:ascii="Courier New" w:cs="Courier New" w:eastAsia="Courier New" w:hAnsi="Courier New"/>
                <w:sz w:val="18"/>
                <w:szCs w:val="18"/>
                <w:color w:val="auto"/>
              </w:rPr>
              <w:t>13D</w:t>
            </w:r>
          </w:p>
        </w:tc>
        <w:tc>
          <w:tcPr>
            <w:tcW w:w="358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Page 4 of 9 Pages</w:t>
            </w:r>
          </w:p>
        </w:tc>
      </w:tr>
      <w:tr>
        <w:trPr>
          <w:trHeight w:val="203"/>
        </w:trPr>
        <w:tc>
          <w:tcPr>
            <w:tcW w:w="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w:t>
            </w:r>
          </w:p>
        </w:tc>
        <w:tc>
          <w:tcPr>
            <w:tcW w:w="35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w:t>
            </w:r>
          </w:p>
        </w:tc>
        <w:tc>
          <w:tcPr>
            <w:tcW w:w="1220" w:type="dxa"/>
            <w:vAlign w:val="bottom"/>
          </w:tcPr>
          <w:p>
            <w:pPr>
              <w:spacing w:after="0"/>
              <w:rPr>
                <w:sz w:val="17"/>
                <w:szCs w:val="17"/>
                <w:color w:val="auto"/>
              </w:rPr>
            </w:pPr>
          </w:p>
        </w:tc>
        <w:tc>
          <w:tcPr>
            <w:tcW w:w="35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3.</w:t>
      </w:r>
      <w:r>
        <w:rPr>
          <w:sz w:val="20"/>
          <w:szCs w:val="20"/>
          <w:color w:val="auto"/>
        </w:rPr>
        <w:tab/>
      </w:r>
      <w:r>
        <w:rPr>
          <w:rFonts w:ascii="Courier New" w:cs="Courier New" w:eastAsia="Courier New" w:hAnsi="Courier New"/>
          <w:sz w:val="16"/>
          <w:szCs w:val="16"/>
          <w:color w:val="auto"/>
        </w:rPr>
        <w:t>SOURCE AND AMOUNT OF FUNDS OR OTHER CONSIDERATION</w:t>
      </w:r>
    </w:p>
    <w:p>
      <w:pPr>
        <w:spacing w:after="0" w:line="207" w:lineRule="exact"/>
        <w:rPr>
          <w:sz w:val="20"/>
          <w:szCs w:val="20"/>
          <w:color w:val="auto"/>
        </w:rPr>
      </w:pPr>
    </w:p>
    <w:p>
      <w:pPr>
        <w:ind w:left="1700" w:right="1779"/>
        <w:spacing w:after="0" w:line="238" w:lineRule="auto"/>
        <w:rPr>
          <w:sz w:val="20"/>
          <w:szCs w:val="20"/>
          <w:color w:val="auto"/>
        </w:rPr>
      </w:pPr>
      <w:r>
        <w:rPr>
          <w:rFonts w:ascii="Courier New" w:cs="Courier New" w:eastAsia="Courier New" w:hAnsi="Courier New"/>
          <w:sz w:val="18"/>
          <w:szCs w:val="18"/>
          <w:color w:val="auto"/>
        </w:rPr>
        <w:t>The Marvell Shares reported on this Statement were acquired by the Reporting Person as a result of the merger of Toshack Acquisitions Ltd., a company organized under the laws of Israel and a direct wholly-owned subsidiary of Marvell ("Toshack"), with and into Galileo (the "Merger"), completed on January 21, 2001. The Merger was pursuant to an Agreement of Merger by and among Marvell, Galileo and Toshack, dated October 16, 2000, as amended (the "Merger Agreement"). As a result of the Merger, Galileo became a direct wholly-owned subsidiary of Marvell and each outstanding ordinary share of Galileo and each outstanding option to purchase an ordinary share of Galileo were converted into the right to receive, respectively, 0.674 Marvell Shares and an option to purchase 0.674 Marvell Shares. Ordinary shares of Galileo and options to purchase ordinary shares of Galileo held by the Reporting Person at the effective time of the Merger were converted into the right to receive, respectively, the Marvell Shares and options to purchase Marvell Shares reported on this Statement.</w:t>
      </w:r>
    </w:p>
    <w:p>
      <w:pPr>
        <w:spacing w:after="0" w:line="204"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4.</w:t>
      </w:r>
      <w:r>
        <w:rPr>
          <w:sz w:val="20"/>
          <w:szCs w:val="20"/>
          <w:color w:val="auto"/>
        </w:rPr>
        <w:tab/>
      </w:r>
      <w:r>
        <w:rPr>
          <w:rFonts w:ascii="Courier New" w:cs="Courier New" w:eastAsia="Courier New" w:hAnsi="Courier New"/>
          <w:sz w:val="16"/>
          <w:szCs w:val="16"/>
          <w:color w:val="auto"/>
        </w:rPr>
        <w:t>PURPOSE OF TRANSACTION</w:t>
      </w:r>
    </w:p>
    <w:p>
      <w:pPr>
        <w:spacing w:after="0" w:line="207" w:lineRule="exact"/>
        <w:rPr>
          <w:sz w:val="20"/>
          <w:szCs w:val="20"/>
          <w:color w:val="auto"/>
        </w:rPr>
      </w:pPr>
    </w:p>
    <w:p>
      <w:pPr>
        <w:ind w:left="1700" w:right="1779"/>
        <w:spacing w:after="0" w:line="237" w:lineRule="auto"/>
        <w:rPr>
          <w:sz w:val="20"/>
          <w:szCs w:val="20"/>
          <w:color w:val="auto"/>
        </w:rPr>
      </w:pPr>
      <w:r>
        <w:rPr>
          <w:rFonts w:ascii="Courier New" w:cs="Courier New" w:eastAsia="Courier New" w:hAnsi="Courier New"/>
          <w:sz w:val="18"/>
          <w:szCs w:val="18"/>
          <w:color w:val="auto"/>
        </w:rPr>
        <w:t>The information contained in Item 3 above is hereby incorporated into this Item 4 by reference. The Reporting Person does not have any plans or proposals which relate to or would result in any of the matters described in paragraphs (a) through (j) of Item 4. The Reporting Person may, from time to time, purchase additional securities of Marvell, through the exercise of stock options or otherwise.</w:t>
      </w:r>
    </w:p>
    <w:p>
      <w:pPr>
        <w:spacing w:after="0" w:line="205"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5.</w:t>
      </w:r>
      <w:r>
        <w:rPr>
          <w:sz w:val="20"/>
          <w:szCs w:val="20"/>
          <w:color w:val="auto"/>
        </w:rPr>
        <w:tab/>
      </w:r>
      <w:r>
        <w:rPr>
          <w:rFonts w:ascii="Courier New" w:cs="Courier New" w:eastAsia="Courier New" w:hAnsi="Courier New"/>
          <w:sz w:val="16"/>
          <w:szCs w:val="16"/>
          <w:color w:val="auto"/>
        </w:rPr>
        <w:t>INTEREST IN SECURITIES OF THE ISSUER</w:t>
      </w:r>
    </w:p>
    <w:p>
      <w:pPr>
        <w:spacing w:after="0" w:line="207" w:lineRule="exact"/>
        <w:rPr>
          <w:sz w:val="20"/>
          <w:szCs w:val="20"/>
          <w:color w:val="auto"/>
        </w:rPr>
      </w:pPr>
    </w:p>
    <w:p>
      <w:pPr>
        <w:ind w:left="1700" w:right="2099"/>
        <w:spacing w:after="0" w:line="235" w:lineRule="auto"/>
        <w:rPr>
          <w:sz w:val="20"/>
          <w:szCs w:val="20"/>
          <w:color w:val="auto"/>
        </w:rPr>
      </w:pPr>
      <w:r>
        <w:rPr>
          <w:rFonts w:ascii="Courier New" w:cs="Courier New" w:eastAsia="Courier New" w:hAnsi="Courier New"/>
          <w:sz w:val="18"/>
          <w:szCs w:val="18"/>
          <w:color w:val="auto"/>
        </w:rPr>
        <w:t>The information contained in Item 4 is incorporated herein by this reference.</w:t>
      </w:r>
    </w:p>
    <w:p>
      <w:pPr>
        <w:spacing w:after="0" w:line="208" w:lineRule="exact"/>
        <w:rPr>
          <w:sz w:val="20"/>
          <w:szCs w:val="20"/>
          <w:color w:val="auto"/>
        </w:rPr>
      </w:pPr>
    </w:p>
    <w:p>
      <w:pPr>
        <w:ind w:left="2540" w:right="1779" w:hanging="847"/>
        <w:spacing w:after="0" w:line="271" w:lineRule="auto"/>
        <w:tabs>
          <w:tab w:leader="none" w:pos="254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Reporting Person beneficially owns 6,142,794 Marvell Shares, or approximately 5.3% of the outstanding Marvell Shares. The total number of Marvell Shares outstanding at the time of the Merger was approximately 115,238,734. The Reporting Person owns 5,935,566 Marvell Shares and has options to purchase 207,228 Marvell Shares which are exercisable within the next 60 days.</w:t>
      </w:r>
    </w:p>
    <w:p>
      <w:pPr>
        <w:spacing w:after="0" w:line="187" w:lineRule="exact"/>
        <w:rPr>
          <w:rFonts w:ascii="Courier New" w:cs="Courier New" w:eastAsia="Courier New" w:hAnsi="Courier New"/>
          <w:sz w:val="16"/>
          <w:szCs w:val="16"/>
          <w:color w:val="auto"/>
        </w:rPr>
      </w:pPr>
    </w:p>
    <w:p>
      <w:pPr>
        <w:ind w:left="2540" w:right="1879" w:hanging="847"/>
        <w:spacing w:after="0" w:line="236" w:lineRule="auto"/>
        <w:tabs>
          <w:tab w:leader="none" w:pos="25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Reporting Person has the sole power to vote or direct the vote of each of the 6,142,794 Marvell Shares beneficially owned by him.</w:t>
      </w:r>
    </w:p>
    <w:p>
      <w:pPr>
        <w:spacing w:after="0" w:line="208" w:lineRule="exact"/>
        <w:rPr>
          <w:rFonts w:ascii="Courier New" w:cs="Courier New" w:eastAsia="Courier New" w:hAnsi="Courier New"/>
          <w:sz w:val="18"/>
          <w:szCs w:val="18"/>
          <w:color w:val="auto"/>
        </w:rPr>
      </w:pPr>
    </w:p>
    <w:p>
      <w:pPr>
        <w:ind w:left="2540" w:right="1879" w:hanging="847"/>
        <w:spacing w:after="0" w:line="237" w:lineRule="auto"/>
        <w:tabs>
          <w:tab w:leader="none" w:pos="25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information contained in Item 3 above is hereby incorporated into this Item 5(c) by reference. Other than the transaction described in Item 3 above, the Reporting Person has not engaged in any transactions in Marvell Shares in the past 60 days.</w:t>
      </w:r>
    </w:p>
    <w:p>
      <w:pPr>
        <w:sectPr>
          <w:pgSz w:w="11900" w:h="16838" w:orient="portrait"/>
          <w:cols w:equalWidth="0" w:num="1">
            <w:col w:w="10219"/>
          </w:cols>
          <w:pgMar w:left="240" w:top="312" w:right="1440" w:bottom="1440" w:gutter="0" w:footer="0" w:header="0"/>
        </w:sectPr>
      </w:pPr>
    </w:p>
    <w:bookmarkStart w:id="4" w:name="page5"/>
    <w:bookmarkEnd w:id="4"/>
    <w:tbl>
      <w:tblPr>
        <w:tblLayout w:type="fixed"/>
        <w:tblInd w:w="0" w:type="dxa"/>
        <w:tblCellMar>
          <w:top w:w="0" w:type="dxa"/>
          <w:left w:w="0" w:type="dxa"/>
          <w:bottom w:w="0" w:type="dxa"/>
          <w:right w:w="0" w:type="dxa"/>
        </w:tblCellMar>
      </w:tblPr>
      <w:tr>
        <w:trPr>
          <w:trHeight w:val="204"/>
        </w:trPr>
        <w:tc>
          <w:tcPr>
            <w:tcW w:w="160" w:type="dxa"/>
            <w:vAlign w:val="bottom"/>
          </w:tcPr>
          <w:p>
            <w:pPr>
              <w:spacing w:after="0"/>
              <w:rPr>
                <w:sz w:val="17"/>
                <w:szCs w:val="17"/>
                <w:color w:val="auto"/>
              </w:rPr>
            </w:pPr>
          </w:p>
        </w:tc>
        <w:tc>
          <w:tcPr>
            <w:tcW w:w="3580" w:type="dxa"/>
            <w:vAlign w:val="bottom"/>
          </w:tcPr>
          <w:p>
            <w:pPr>
              <w:jc w:val="right"/>
              <w:ind w:right="3232"/>
              <w:spacing w:after="0"/>
              <w:rPr>
                <w:sz w:val="20"/>
                <w:szCs w:val="20"/>
                <w:color w:val="auto"/>
              </w:rPr>
            </w:pPr>
            <w:r>
              <w:rPr>
                <w:rFonts w:ascii="Courier New" w:cs="Courier New" w:eastAsia="Courier New" w:hAnsi="Courier New"/>
                <w:sz w:val="18"/>
                <w:szCs w:val="18"/>
                <w:color w:val="auto"/>
              </w:rPr>
              <w:t>5</w:t>
            </w:r>
          </w:p>
        </w:tc>
        <w:tc>
          <w:tcPr>
            <w:tcW w:w="1220" w:type="dxa"/>
            <w:vAlign w:val="bottom"/>
          </w:tcPr>
          <w:p>
            <w:pPr>
              <w:spacing w:after="0"/>
              <w:rPr>
                <w:sz w:val="17"/>
                <w:szCs w:val="17"/>
                <w:color w:val="auto"/>
              </w:rPr>
            </w:pPr>
          </w:p>
        </w:tc>
        <w:tc>
          <w:tcPr>
            <w:tcW w:w="3580" w:type="dxa"/>
            <w:vAlign w:val="bottom"/>
          </w:tcPr>
          <w:p>
            <w:pPr>
              <w:spacing w:after="0"/>
              <w:rPr>
                <w:sz w:val="17"/>
                <w:szCs w:val="17"/>
                <w:color w:val="auto"/>
              </w:rPr>
            </w:pPr>
          </w:p>
        </w:tc>
      </w:tr>
      <w:tr>
        <w:trPr>
          <w:trHeight w:val="405"/>
        </w:trPr>
        <w:tc>
          <w:tcPr>
            <w:tcW w:w="160" w:type="dxa"/>
            <w:vAlign w:val="bottom"/>
          </w:tcPr>
          <w:p>
            <w:pPr>
              <w:jc w:val="right"/>
              <w:spacing w:after="0"/>
              <w:rPr>
                <w:sz w:val="20"/>
                <w:szCs w:val="20"/>
                <w:color w:val="auto"/>
              </w:rPr>
            </w:pPr>
            <w:r>
              <w:rPr>
                <w:rFonts w:ascii="Courier New" w:cs="Courier New" w:eastAsia="Courier New" w:hAnsi="Courier New"/>
                <w:sz w:val="18"/>
                <w:szCs w:val="18"/>
                <w:color w:val="auto"/>
                <w:w w:val="92"/>
              </w:rPr>
              <w:t>-</w:t>
            </w:r>
          </w:p>
        </w:tc>
        <w:tc>
          <w:tcPr>
            <w:tcW w:w="3580" w:type="dxa"/>
            <w:vAlign w:val="bottom"/>
          </w:tcPr>
          <w:p>
            <w:pPr>
              <w:ind w:left="60"/>
              <w:spacing w:after="0"/>
              <w:rPr>
                <w:sz w:val="20"/>
                <w:szCs w:val="20"/>
                <w:color w:val="auto"/>
              </w:rPr>
            </w:pPr>
            <w:r>
              <w:rPr>
                <w:rFonts w:ascii="Courier New" w:cs="Courier New" w:eastAsia="Courier New" w:hAnsi="Courier New"/>
                <w:sz w:val="18"/>
                <w:szCs w:val="18"/>
                <w:color w:val="auto"/>
              </w:rPr>
              <w:t>------------------------------</w:t>
            </w:r>
          </w:p>
        </w:tc>
        <w:tc>
          <w:tcPr>
            <w:tcW w:w="1220" w:type="dxa"/>
            <w:vAlign w:val="bottom"/>
          </w:tcPr>
          <w:p>
            <w:pPr>
              <w:spacing w:after="0"/>
              <w:rPr>
                <w:sz w:val="24"/>
                <w:szCs w:val="24"/>
                <w:color w:val="auto"/>
              </w:rPr>
            </w:pPr>
          </w:p>
        </w:tc>
        <w:tc>
          <w:tcPr>
            <w:tcW w:w="358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r>
      <w:tr>
        <w:trPr>
          <w:trHeight w:val="203"/>
        </w:trPr>
        <w:tc>
          <w:tcPr>
            <w:tcW w:w="160" w:type="dxa"/>
            <w:vAlign w:val="bottom"/>
          </w:tcPr>
          <w:p>
            <w:pPr>
              <w:spacing w:after="0"/>
              <w:rPr>
                <w:sz w:val="17"/>
                <w:szCs w:val="17"/>
                <w:color w:val="auto"/>
              </w:rPr>
            </w:pPr>
          </w:p>
        </w:tc>
        <w:tc>
          <w:tcPr>
            <w:tcW w:w="35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CUSIP No. G 5876H105</w:t>
            </w:r>
          </w:p>
        </w:tc>
        <w:tc>
          <w:tcPr>
            <w:tcW w:w="1220" w:type="dxa"/>
            <w:vAlign w:val="bottom"/>
          </w:tcPr>
          <w:p>
            <w:pPr>
              <w:ind w:left="380"/>
              <w:spacing w:after="0" w:line="203" w:lineRule="exact"/>
              <w:rPr>
                <w:sz w:val="20"/>
                <w:szCs w:val="20"/>
                <w:color w:val="auto"/>
              </w:rPr>
            </w:pPr>
            <w:r>
              <w:rPr>
                <w:rFonts w:ascii="Courier New" w:cs="Courier New" w:eastAsia="Courier New" w:hAnsi="Courier New"/>
                <w:sz w:val="18"/>
                <w:szCs w:val="18"/>
                <w:color w:val="auto"/>
              </w:rPr>
              <w:t>13D</w:t>
            </w:r>
          </w:p>
        </w:tc>
        <w:tc>
          <w:tcPr>
            <w:tcW w:w="358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Page 5 of 9 Pages</w:t>
            </w:r>
          </w:p>
        </w:tc>
      </w:tr>
      <w:tr>
        <w:trPr>
          <w:trHeight w:val="203"/>
        </w:trPr>
        <w:tc>
          <w:tcPr>
            <w:tcW w:w="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w:t>
            </w:r>
          </w:p>
        </w:tc>
        <w:tc>
          <w:tcPr>
            <w:tcW w:w="35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w:t>
            </w:r>
          </w:p>
        </w:tc>
        <w:tc>
          <w:tcPr>
            <w:tcW w:w="1220" w:type="dxa"/>
            <w:vAlign w:val="bottom"/>
          </w:tcPr>
          <w:p>
            <w:pPr>
              <w:spacing w:after="0"/>
              <w:rPr>
                <w:sz w:val="17"/>
                <w:szCs w:val="17"/>
                <w:color w:val="auto"/>
              </w:rPr>
            </w:pPr>
          </w:p>
        </w:tc>
        <w:tc>
          <w:tcPr>
            <w:tcW w:w="35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7" w:lineRule="exact"/>
        <w:rPr>
          <w:sz w:val="20"/>
          <w:szCs w:val="20"/>
          <w:color w:val="auto"/>
        </w:rPr>
      </w:pPr>
    </w:p>
    <w:p>
      <w:pPr>
        <w:jc w:val="both"/>
        <w:ind w:left="2540" w:right="1779" w:hanging="847"/>
        <w:spacing w:after="0" w:line="279" w:lineRule="auto"/>
        <w:tabs>
          <w:tab w:leader="none" w:pos="254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 other person has the right to receive or the power to direct the receipt of dividends from, or the proceeds of sale of, securities covered by this Statement.</w:t>
      </w:r>
    </w:p>
    <w:p>
      <w:pPr>
        <w:spacing w:after="0" w:line="172" w:lineRule="exact"/>
        <w:rPr>
          <w:rFonts w:ascii="Courier New" w:cs="Courier New" w:eastAsia="Courier New" w:hAnsi="Courier New"/>
          <w:sz w:val="16"/>
          <w:szCs w:val="16"/>
          <w:color w:val="auto"/>
        </w:rPr>
      </w:pPr>
    </w:p>
    <w:p>
      <w:pPr>
        <w:ind w:left="2540" w:hanging="847"/>
        <w:spacing w:after="0"/>
        <w:tabs>
          <w:tab w:leader="none" w:pos="25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left="1700" w:right="2099" w:hanging="1684"/>
        <w:spacing w:after="0" w:line="235" w:lineRule="auto"/>
        <w:tabs>
          <w:tab w:leader="none" w:pos="1680" w:val="left"/>
        </w:tabs>
        <w:rPr>
          <w:sz w:val="20"/>
          <w:szCs w:val="20"/>
          <w:color w:val="auto"/>
        </w:rPr>
      </w:pPr>
      <w:r>
        <w:rPr>
          <w:rFonts w:ascii="Courier New" w:cs="Courier New" w:eastAsia="Courier New" w:hAnsi="Courier New"/>
          <w:sz w:val="18"/>
          <w:szCs w:val="18"/>
          <w:color w:val="auto"/>
        </w:rPr>
        <w:t>ITEM 6.</w:t>
      </w:r>
      <w:r>
        <w:rPr>
          <w:sz w:val="20"/>
          <w:szCs w:val="20"/>
          <w:color w:val="auto"/>
        </w:rPr>
        <w:tab/>
      </w:r>
      <w:r>
        <w:rPr>
          <w:rFonts w:ascii="Courier New" w:cs="Courier New" w:eastAsia="Courier New" w:hAnsi="Courier New"/>
          <w:sz w:val="18"/>
          <w:szCs w:val="18"/>
          <w:color w:val="auto"/>
        </w:rPr>
        <w:t>CONTRACTS, ARRANGEMENTS, UNDERSTANDINGS OR RELATIONSHIPS WITH RESPECT TO SECURITIES OF THE ISSUER</w:t>
      </w:r>
    </w:p>
    <w:p>
      <w:pPr>
        <w:spacing w:after="0" w:line="208" w:lineRule="exact"/>
        <w:rPr>
          <w:sz w:val="20"/>
          <w:szCs w:val="20"/>
          <w:color w:val="auto"/>
        </w:rPr>
      </w:pPr>
    </w:p>
    <w:p>
      <w:pPr>
        <w:ind w:left="1700" w:right="1779"/>
        <w:spacing w:after="0" w:line="237" w:lineRule="auto"/>
        <w:rPr>
          <w:sz w:val="20"/>
          <w:szCs w:val="20"/>
          <w:color w:val="auto"/>
        </w:rPr>
      </w:pPr>
      <w:r>
        <w:rPr>
          <w:rFonts w:ascii="Courier New" w:cs="Courier New" w:eastAsia="Courier New" w:hAnsi="Courier New"/>
          <w:sz w:val="18"/>
          <w:szCs w:val="18"/>
          <w:color w:val="auto"/>
        </w:rPr>
        <w:t>In consideration of the execution of the Merger Agreement, the Reporting Person and Marvell entered into a Lock-Up Letter Agreement (the "Lock-Up Agreement") on October 16, 2000. The Lock-Up Agreement restricts the Reporting Person, without the prior approval of Marvell, from selling, pledging, hypothecating or otherwise disposing of any of his Marvell Shares or disposing of any economic interest in his Marvell Shares for a period of 45 days after completion of the Merger.</w:t>
      </w:r>
    </w:p>
    <w:p>
      <w:pPr>
        <w:spacing w:after="0" w:line="212" w:lineRule="exact"/>
        <w:rPr>
          <w:sz w:val="20"/>
          <w:szCs w:val="20"/>
          <w:color w:val="auto"/>
        </w:rPr>
      </w:pPr>
    </w:p>
    <w:p>
      <w:pPr>
        <w:ind w:left="1700" w:right="2099"/>
        <w:spacing w:after="0" w:line="236" w:lineRule="auto"/>
        <w:rPr>
          <w:sz w:val="20"/>
          <w:szCs w:val="20"/>
          <w:color w:val="auto"/>
        </w:rPr>
      </w:pPr>
      <w:r>
        <w:rPr>
          <w:rFonts w:ascii="Courier New" w:cs="Courier New" w:eastAsia="Courier New" w:hAnsi="Courier New"/>
          <w:sz w:val="18"/>
          <w:szCs w:val="18"/>
          <w:color w:val="auto"/>
        </w:rPr>
        <w:t>The Reporting Person also holds options to purchase 240,395 Marvell Shares which are not currently exercisable, but which will become exercisable in the future.</w:t>
      </w:r>
    </w:p>
    <w:p>
      <w:pPr>
        <w:spacing w:after="0" w:line="203"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7.</w:t>
      </w:r>
      <w:r>
        <w:rPr>
          <w:sz w:val="20"/>
          <w:szCs w:val="20"/>
          <w:color w:val="auto"/>
        </w:rPr>
        <w:tab/>
      </w:r>
      <w:r>
        <w:rPr>
          <w:rFonts w:ascii="Courier New" w:cs="Courier New" w:eastAsia="Courier New" w:hAnsi="Courier New"/>
          <w:sz w:val="16"/>
          <w:szCs w:val="16"/>
          <w:color w:val="auto"/>
        </w:rPr>
        <w:t>MATERIAL TO BE FILED AS EXHIBITS</w:t>
      </w:r>
    </w:p>
    <w:p>
      <w:pPr>
        <w:spacing w:after="0" w:line="207" w:lineRule="exact"/>
        <w:rPr>
          <w:sz w:val="20"/>
          <w:szCs w:val="20"/>
          <w:color w:val="auto"/>
        </w:rPr>
      </w:pPr>
    </w:p>
    <w:p>
      <w:pPr>
        <w:jc w:val="both"/>
        <w:ind w:left="2860" w:right="2099" w:hanging="1158"/>
        <w:spacing w:after="0" w:line="236" w:lineRule="auto"/>
        <w:rPr>
          <w:sz w:val="20"/>
          <w:szCs w:val="20"/>
          <w:color w:val="auto"/>
        </w:rPr>
      </w:pPr>
      <w:r>
        <w:rPr>
          <w:rFonts w:ascii="Courier New" w:cs="Courier New" w:eastAsia="Courier New" w:hAnsi="Courier New"/>
          <w:sz w:val="18"/>
          <w:szCs w:val="18"/>
          <w:color w:val="auto"/>
        </w:rPr>
        <w:t>Exhibit 1. Lock-Up Letter Agreement, dated as of October 16, 2000, by and between Marvell Technology Group Ltd. and Avigdor Willenz.</w:t>
      </w:r>
    </w:p>
    <w:p>
      <w:pPr>
        <w:spacing w:after="0" w:line="209" w:lineRule="exact"/>
        <w:rPr>
          <w:sz w:val="20"/>
          <w:szCs w:val="20"/>
          <w:color w:val="auto"/>
        </w:rPr>
      </w:pPr>
    </w:p>
    <w:p>
      <w:pPr>
        <w:ind w:left="1700" w:right="1879"/>
        <w:spacing w:after="0" w:line="235" w:lineRule="auto"/>
        <w:rPr>
          <w:sz w:val="20"/>
          <w:szCs w:val="20"/>
          <w:color w:val="auto"/>
        </w:rPr>
      </w:pPr>
      <w:r>
        <w:rPr>
          <w:rFonts w:ascii="Courier New" w:cs="Courier New" w:eastAsia="Courier New" w:hAnsi="Courier New"/>
          <w:sz w:val="18"/>
          <w:szCs w:val="18"/>
          <w:color w:val="auto"/>
        </w:rPr>
        <w:t>Responses to each item of this Statement are qualified in their entirety by the provisions of the Exhibit hereto.</w:t>
      </w:r>
    </w:p>
    <w:p>
      <w:pPr>
        <w:sectPr>
          <w:pgSz w:w="11900" w:h="16838" w:orient="portrait"/>
          <w:cols w:equalWidth="0" w:num="1">
            <w:col w:w="10219"/>
          </w:cols>
          <w:pgMar w:left="240" w:top="312" w:right="1440" w:bottom="1440" w:gutter="0" w:footer="0" w:header="0"/>
        </w:sectPr>
      </w:pPr>
    </w:p>
    <w:bookmarkStart w:id="5" w:name="page6"/>
    <w:bookmarkEnd w:id="5"/>
    <w:p>
      <w:pPr>
        <w:ind w:left="320"/>
        <w:spacing w:after="0"/>
        <w:rPr>
          <w:sz w:val="20"/>
          <w:szCs w:val="20"/>
          <w:color w:val="auto"/>
        </w:rPr>
      </w:pPr>
      <w:r>
        <w:rPr>
          <w:rFonts w:ascii="Courier New" w:cs="Courier New" w:eastAsia="Courier New" w:hAnsi="Courier New"/>
          <w:sz w:val="16"/>
          <w:szCs w:val="16"/>
          <w:color w:val="auto"/>
        </w:rPr>
        <w:t>6</w:t>
      </w:r>
    </w:p>
    <w:p>
      <w:pPr>
        <w:sectPr>
          <w:pgSz w:w="11900" w:h="16838" w:orient="portrait"/>
          <w:cols w:equalWidth="0" w:num="1">
            <w:col w:w="10219"/>
          </w:cols>
          <w:pgMar w:left="240" w:top="317" w:right="1440" w:bottom="1440" w:gutter="0" w:footer="0" w:header="0"/>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CUSIP No. G 5876H105</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13D</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Page 6 of 9 Pages</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3">
            <w:col w:w="3400" w:space="720"/>
            <w:col w:w="640" w:space="720"/>
            <w:col w:w="4739"/>
          </w:cols>
          <w:pgMar w:left="240" w:top="317" w:right="1440" w:bottom="1440" w:gutter="0" w:footer="0" w:header="0"/>
          <w:type w:val="continuous"/>
        </w:sectPr>
      </w:pPr>
    </w:p>
    <w:p>
      <w:pPr>
        <w:spacing w:after="0" w:line="24" w:lineRule="exact"/>
        <w:rPr>
          <w:sz w:val="20"/>
          <w:szCs w:val="20"/>
          <w:color w:val="auto"/>
        </w:rPr>
      </w:pPr>
    </w:p>
    <w:p>
      <w:pPr>
        <w:ind w:left="3800"/>
        <w:spacing w:after="0"/>
        <w:rPr>
          <w:sz w:val="20"/>
          <w:szCs w:val="20"/>
          <w:color w:val="auto"/>
        </w:rPr>
      </w:pPr>
      <w:r>
        <w:rPr>
          <w:rFonts w:ascii="Courier New" w:cs="Courier New" w:eastAsia="Courier New" w:hAnsi="Courier New"/>
          <w:sz w:val="16"/>
          <w:szCs w:val="16"/>
          <w:color w:val="auto"/>
        </w:rPr>
        <w:t>SIGNATURE</w:t>
      </w:r>
    </w:p>
    <w:p>
      <w:pPr>
        <w:sectPr>
          <w:pgSz w:w="11900" w:h="16838" w:orient="portrait"/>
          <w:cols w:equalWidth="0" w:num="1">
            <w:col w:w="10219"/>
          </w:cols>
          <w:pgMar w:left="240" w:top="317" w:right="1440" w:bottom="1440" w:gutter="0" w:footer="0" w:header="0"/>
          <w:type w:val="continuous"/>
        </w:sectPr>
      </w:pPr>
    </w:p>
    <w:p>
      <w:pPr>
        <w:spacing w:after="0" w:line="224" w:lineRule="exact"/>
        <w:rPr>
          <w:sz w:val="20"/>
          <w:szCs w:val="20"/>
          <w:color w:val="auto"/>
        </w:rPr>
      </w:pPr>
    </w:p>
    <w:p>
      <w:pPr>
        <w:ind w:right="1879"/>
        <w:spacing w:after="0" w:line="236" w:lineRule="auto"/>
        <w:rPr>
          <w:sz w:val="20"/>
          <w:szCs w:val="20"/>
          <w:color w:val="auto"/>
        </w:rPr>
      </w:pPr>
      <w:r>
        <w:rPr>
          <w:rFonts w:ascii="Courier New" w:cs="Courier New" w:eastAsia="Courier New" w:hAnsi="Courier New"/>
          <w:sz w:val="18"/>
          <w:szCs w:val="18"/>
          <w:color w:val="auto"/>
        </w:rPr>
        <w:t>After reasonable inquiry and to the best of his knowledge and belief, the undersigned certifies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Dated as of January 30, 2001</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4960"/>
        <w:spacing w:after="0"/>
        <w:rPr>
          <w:sz w:val="20"/>
          <w:szCs w:val="20"/>
          <w:color w:val="auto"/>
        </w:rPr>
      </w:pPr>
      <w:r>
        <w:rPr>
          <w:rFonts w:ascii="Courier New" w:cs="Courier New" w:eastAsia="Courier New" w:hAnsi="Courier New"/>
          <w:sz w:val="18"/>
          <w:szCs w:val="18"/>
          <w:color w:val="auto"/>
        </w:rPr>
        <w:t>/s/ AVIGDOR WILLENZ</w:t>
      </w:r>
    </w:p>
    <w:p>
      <w:pPr>
        <w:spacing w:after="0" w:line="4" w:lineRule="exact"/>
        <w:rPr>
          <w:sz w:val="20"/>
          <w:szCs w:val="20"/>
          <w:color w:val="auto"/>
        </w:rPr>
      </w:pPr>
    </w:p>
    <w:p>
      <w:pPr>
        <w:ind w:left="496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440"/>
        <w:spacing w:after="0"/>
        <w:tabs>
          <w:tab w:leader="none" w:pos="5360" w:val="left"/>
        </w:tabs>
        <w:rPr>
          <w:sz w:val="20"/>
          <w:szCs w:val="20"/>
          <w:color w:val="auto"/>
        </w:rPr>
      </w:pPr>
      <w:r>
        <w:rPr>
          <w:rFonts w:ascii="Courier New" w:cs="Courier New" w:eastAsia="Courier New" w:hAnsi="Courier New"/>
          <w:sz w:val="18"/>
          <w:szCs w:val="18"/>
          <w:color w:val="auto"/>
        </w:rPr>
        <w:t>Name:</w:t>
      </w:r>
      <w:r>
        <w:rPr>
          <w:sz w:val="20"/>
          <w:szCs w:val="20"/>
          <w:color w:val="auto"/>
        </w:rPr>
        <w:tab/>
      </w:r>
      <w:r>
        <w:rPr>
          <w:rFonts w:ascii="Courier New" w:cs="Courier New" w:eastAsia="Courier New" w:hAnsi="Courier New"/>
          <w:sz w:val="18"/>
          <w:szCs w:val="18"/>
          <w:color w:val="auto"/>
        </w:rPr>
        <w:t>Avigdor Willenz</w:t>
      </w:r>
    </w:p>
    <w:p>
      <w:pPr>
        <w:sectPr>
          <w:pgSz w:w="11900" w:h="16838" w:orient="portrait"/>
          <w:cols w:equalWidth="0" w:num="1">
            <w:col w:w="10219"/>
          </w:cols>
          <w:pgMar w:left="240" w:top="317" w:right="1440" w:bottom="1440" w:gutter="0" w:footer="0" w:header="0"/>
          <w:type w:val="continuous"/>
        </w:sectPr>
      </w:pPr>
    </w:p>
    <w:bookmarkStart w:id="6" w:name="page7"/>
    <w:bookmarkEnd w:id="6"/>
    <w:p>
      <w:pPr>
        <w:ind w:left="320"/>
        <w:spacing w:after="0"/>
        <w:rPr>
          <w:sz w:val="20"/>
          <w:szCs w:val="20"/>
          <w:color w:val="auto"/>
        </w:rPr>
      </w:pPr>
      <w:r>
        <w:rPr>
          <w:rFonts w:ascii="Courier New" w:cs="Courier New" w:eastAsia="Courier New" w:hAnsi="Courier New"/>
          <w:sz w:val="16"/>
          <w:szCs w:val="16"/>
          <w:color w:val="auto"/>
        </w:rPr>
        <w:t>7</w:t>
      </w:r>
    </w:p>
    <w:p>
      <w:pPr>
        <w:sectPr>
          <w:pgSz w:w="11900" w:h="16838" w:orient="portrait"/>
          <w:cols w:equalWidth="0" w:num="1">
            <w:col w:w="10219"/>
          </w:cols>
          <w:pgMar w:left="240" w:top="317" w:right="1440" w:bottom="1440" w:gutter="0" w:footer="0" w:header="0"/>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CUSIP No. G 5876H105</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13D</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Page 7 of 9 Pages</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3">
            <w:col w:w="3400" w:space="720"/>
            <w:col w:w="640" w:space="720"/>
            <w:col w:w="4739"/>
          </w:cols>
          <w:pgMar w:left="240" w:top="317" w:right="1440" w:bottom="1440" w:gutter="0" w:footer="0" w:header="0"/>
          <w:type w:val="continuous"/>
        </w:sectPr>
      </w:pPr>
    </w:p>
    <w:p>
      <w:pPr>
        <w:spacing w:after="0" w:line="24" w:lineRule="exact"/>
        <w:rPr>
          <w:sz w:val="20"/>
          <w:szCs w:val="20"/>
          <w:color w:val="auto"/>
        </w:rPr>
      </w:pPr>
    </w:p>
    <w:p>
      <w:pPr>
        <w:ind w:left="3580"/>
        <w:spacing w:after="0"/>
        <w:rPr>
          <w:sz w:val="20"/>
          <w:szCs w:val="20"/>
          <w:color w:val="auto"/>
        </w:rPr>
      </w:pPr>
      <w:r>
        <w:rPr>
          <w:rFonts w:ascii="Courier New" w:cs="Courier New" w:eastAsia="Courier New" w:hAnsi="Courier New"/>
          <w:sz w:val="16"/>
          <w:szCs w:val="16"/>
          <w:color w:val="auto"/>
        </w:rPr>
        <w:t>EXHIBIT INDEX</w:t>
      </w:r>
    </w:p>
    <w:p>
      <w:pPr>
        <w:sectPr>
          <w:pgSz w:w="11900" w:h="16838" w:orient="portrait"/>
          <w:cols w:equalWidth="0" w:num="1">
            <w:col w:w="10219"/>
          </w:cols>
          <w:pgMar w:left="240" w:top="317" w:right="1440"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jc w:val="both"/>
        <w:ind w:left="320" w:right="120"/>
        <w:spacing w:after="0" w:line="290" w:lineRule="auto"/>
        <w:rPr>
          <w:sz w:val="20"/>
          <w:szCs w:val="20"/>
          <w:color w:val="auto"/>
        </w:rPr>
      </w:pPr>
      <w:r>
        <w:rPr>
          <w:rFonts w:ascii="Courier New" w:cs="Courier New" w:eastAsia="Courier New" w:hAnsi="Courier New"/>
          <w:sz w:val="16"/>
          <w:szCs w:val="16"/>
          <w:color w:val="auto"/>
        </w:rPr>
        <w:t>EXHIBIT NO.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DESCRIPTION</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24" w:lineRule="exact"/>
        <w:rPr>
          <w:sz w:val="20"/>
          <w:szCs w:val="20"/>
          <w:color w:val="auto"/>
        </w:rPr>
      </w:pPr>
    </w:p>
    <w:p>
      <w:pPr>
        <w:sectPr>
          <w:pgSz w:w="11900" w:h="16838" w:orient="portrait"/>
          <w:cols w:equalWidth="0" w:num="2">
            <w:col w:w="1600" w:space="720"/>
            <w:col w:w="7899"/>
          </w:cols>
          <w:pgMar w:left="240" w:top="317" w:right="1440" w:bottom="1440" w:gutter="0" w:footer="0" w:header="0"/>
          <w:type w:val="continuous"/>
        </w:sectPr>
      </w:pPr>
    </w:p>
    <w:p>
      <w:pPr>
        <w:ind w:left="2320" w:right="1779" w:hanging="1575"/>
        <w:spacing w:after="0" w:line="236" w:lineRule="auto"/>
        <w:tabs>
          <w:tab w:leader="none" w:pos="232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Lock-Up Letter Agreement, dated as of October 16, 2000, by and between Marvell Technology Group Ltd. and Avigdor Willenz.</w:t>
      </w:r>
    </w:p>
    <w:p>
      <w:pPr>
        <w:sectPr>
          <w:pgSz w:w="11900" w:h="16838" w:orient="portrait"/>
          <w:cols w:equalWidth="0" w:num="1">
            <w:col w:w="10219"/>
          </w:cols>
          <w:pgMar w:left="240" w:top="317" w:right="1440" w:bottom="1440" w:gutter="0" w:footer="0" w:header="0"/>
          <w:type w:val="continuous"/>
        </w:sectPr>
      </w:pPr>
    </w:p>
    <w:bookmarkStart w:id="7" w:name="page8"/>
    <w:bookmarkEnd w:id="7"/>
    <w:tbl>
      <w:tblPr>
        <w:tblLayout w:type="fixed"/>
        <w:tblInd w:w="0" w:type="dxa"/>
        <w:tblCellMar>
          <w:top w:w="0" w:type="dxa"/>
          <w:left w:w="0" w:type="dxa"/>
          <w:bottom w:w="0" w:type="dxa"/>
          <w:right w:w="0" w:type="dxa"/>
        </w:tblCellMar>
      </w:tblPr>
      <w:tr>
        <w:trPr>
          <w:trHeight w:val="204"/>
        </w:trPr>
        <w:tc>
          <w:tcPr>
            <w:tcW w:w="160" w:type="dxa"/>
            <w:vAlign w:val="bottom"/>
          </w:tcPr>
          <w:p>
            <w:pPr>
              <w:spacing w:after="0"/>
              <w:rPr>
                <w:sz w:val="17"/>
                <w:szCs w:val="17"/>
                <w:color w:val="auto"/>
              </w:rPr>
            </w:pPr>
          </w:p>
        </w:tc>
        <w:tc>
          <w:tcPr>
            <w:tcW w:w="3580" w:type="dxa"/>
            <w:vAlign w:val="bottom"/>
          </w:tcPr>
          <w:p>
            <w:pPr>
              <w:jc w:val="right"/>
              <w:ind w:right="3232"/>
              <w:spacing w:after="0"/>
              <w:rPr>
                <w:sz w:val="20"/>
                <w:szCs w:val="20"/>
                <w:color w:val="auto"/>
              </w:rPr>
            </w:pPr>
            <w:r>
              <w:rPr>
                <w:rFonts w:ascii="Courier New" w:cs="Courier New" w:eastAsia="Courier New" w:hAnsi="Courier New"/>
                <w:sz w:val="18"/>
                <w:szCs w:val="18"/>
                <w:color w:val="auto"/>
              </w:rPr>
              <w:t>8</w:t>
            </w:r>
          </w:p>
        </w:tc>
        <w:tc>
          <w:tcPr>
            <w:tcW w:w="1220" w:type="dxa"/>
            <w:vAlign w:val="bottom"/>
          </w:tcPr>
          <w:p>
            <w:pPr>
              <w:spacing w:after="0"/>
              <w:rPr>
                <w:sz w:val="17"/>
                <w:szCs w:val="17"/>
                <w:color w:val="auto"/>
              </w:rPr>
            </w:pPr>
          </w:p>
        </w:tc>
        <w:tc>
          <w:tcPr>
            <w:tcW w:w="3580" w:type="dxa"/>
            <w:vAlign w:val="bottom"/>
          </w:tcPr>
          <w:p>
            <w:pPr>
              <w:spacing w:after="0"/>
              <w:rPr>
                <w:sz w:val="17"/>
                <w:szCs w:val="17"/>
                <w:color w:val="auto"/>
              </w:rPr>
            </w:pPr>
          </w:p>
        </w:tc>
      </w:tr>
      <w:tr>
        <w:trPr>
          <w:trHeight w:val="405"/>
        </w:trPr>
        <w:tc>
          <w:tcPr>
            <w:tcW w:w="160" w:type="dxa"/>
            <w:vAlign w:val="bottom"/>
          </w:tcPr>
          <w:p>
            <w:pPr>
              <w:jc w:val="right"/>
              <w:spacing w:after="0"/>
              <w:rPr>
                <w:sz w:val="20"/>
                <w:szCs w:val="20"/>
                <w:color w:val="auto"/>
              </w:rPr>
            </w:pPr>
            <w:r>
              <w:rPr>
                <w:rFonts w:ascii="Courier New" w:cs="Courier New" w:eastAsia="Courier New" w:hAnsi="Courier New"/>
                <w:sz w:val="18"/>
                <w:szCs w:val="18"/>
                <w:color w:val="auto"/>
                <w:w w:val="92"/>
              </w:rPr>
              <w:t>-</w:t>
            </w:r>
          </w:p>
        </w:tc>
        <w:tc>
          <w:tcPr>
            <w:tcW w:w="3580" w:type="dxa"/>
            <w:vAlign w:val="bottom"/>
          </w:tcPr>
          <w:p>
            <w:pPr>
              <w:ind w:left="60"/>
              <w:spacing w:after="0"/>
              <w:rPr>
                <w:sz w:val="20"/>
                <w:szCs w:val="20"/>
                <w:color w:val="auto"/>
              </w:rPr>
            </w:pPr>
            <w:r>
              <w:rPr>
                <w:rFonts w:ascii="Courier New" w:cs="Courier New" w:eastAsia="Courier New" w:hAnsi="Courier New"/>
                <w:sz w:val="18"/>
                <w:szCs w:val="18"/>
                <w:color w:val="auto"/>
              </w:rPr>
              <w:t>------------------------------</w:t>
            </w:r>
          </w:p>
        </w:tc>
        <w:tc>
          <w:tcPr>
            <w:tcW w:w="1220" w:type="dxa"/>
            <w:vAlign w:val="bottom"/>
          </w:tcPr>
          <w:p>
            <w:pPr>
              <w:spacing w:after="0"/>
              <w:rPr>
                <w:sz w:val="24"/>
                <w:szCs w:val="24"/>
                <w:color w:val="auto"/>
              </w:rPr>
            </w:pPr>
          </w:p>
        </w:tc>
        <w:tc>
          <w:tcPr>
            <w:tcW w:w="358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r>
      <w:tr>
        <w:trPr>
          <w:trHeight w:val="203"/>
        </w:trPr>
        <w:tc>
          <w:tcPr>
            <w:tcW w:w="160" w:type="dxa"/>
            <w:vAlign w:val="bottom"/>
          </w:tcPr>
          <w:p>
            <w:pPr>
              <w:spacing w:after="0"/>
              <w:rPr>
                <w:sz w:val="17"/>
                <w:szCs w:val="17"/>
                <w:color w:val="auto"/>
              </w:rPr>
            </w:pPr>
          </w:p>
        </w:tc>
        <w:tc>
          <w:tcPr>
            <w:tcW w:w="35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CUSIP No. G 5876H105</w:t>
            </w:r>
          </w:p>
        </w:tc>
        <w:tc>
          <w:tcPr>
            <w:tcW w:w="1220" w:type="dxa"/>
            <w:vAlign w:val="bottom"/>
          </w:tcPr>
          <w:p>
            <w:pPr>
              <w:ind w:left="380"/>
              <w:spacing w:after="0" w:line="203" w:lineRule="exact"/>
              <w:rPr>
                <w:sz w:val="20"/>
                <w:szCs w:val="20"/>
                <w:color w:val="auto"/>
              </w:rPr>
            </w:pPr>
            <w:r>
              <w:rPr>
                <w:rFonts w:ascii="Courier New" w:cs="Courier New" w:eastAsia="Courier New" w:hAnsi="Courier New"/>
                <w:sz w:val="18"/>
                <w:szCs w:val="18"/>
                <w:color w:val="auto"/>
              </w:rPr>
              <w:t>13D</w:t>
            </w:r>
          </w:p>
        </w:tc>
        <w:tc>
          <w:tcPr>
            <w:tcW w:w="358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Page 8 of 9 Pages</w:t>
            </w:r>
          </w:p>
        </w:tc>
      </w:tr>
      <w:tr>
        <w:trPr>
          <w:trHeight w:val="203"/>
        </w:trPr>
        <w:tc>
          <w:tcPr>
            <w:tcW w:w="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w:t>
            </w:r>
          </w:p>
        </w:tc>
        <w:tc>
          <w:tcPr>
            <w:tcW w:w="35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w:t>
            </w:r>
          </w:p>
        </w:tc>
        <w:tc>
          <w:tcPr>
            <w:tcW w:w="1220" w:type="dxa"/>
            <w:vAlign w:val="bottom"/>
          </w:tcPr>
          <w:p>
            <w:pPr>
              <w:spacing w:after="0"/>
              <w:rPr>
                <w:sz w:val="17"/>
                <w:szCs w:val="17"/>
                <w:color w:val="auto"/>
              </w:rPr>
            </w:pPr>
          </w:p>
        </w:tc>
        <w:tc>
          <w:tcPr>
            <w:tcW w:w="35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1"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EXHIBIT 1</w:t>
      </w:r>
    </w:p>
    <w:p>
      <w:pPr>
        <w:spacing w:after="0" w:line="201" w:lineRule="exact"/>
        <w:rPr>
          <w:sz w:val="20"/>
          <w:szCs w:val="20"/>
          <w:color w:val="auto"/>
        </w:rPr>
      </w:pPr>
    </w:p>
    <w:p>
      <w:pPr>
        <w:ind w:left="2960"/>
        <w:spacing w:after="0"/>
        <w:rPr>
          <w:sz w:val="20"/>
          <w:szCs w:val="20"/>
          <w:color w:val="auto"/>
        </w:rPr>
      </w:pPr>
      <w:r>
        <w:rPr>
          <w:rFonts w:ascii="Courier New" w:cs="Courier New" w:eastAsia="Courier New" w:hAnsi="Courier New"/>
          <w:sz w:val="18"/>
          <w:szCs w:val="18"/>
          <w:color w:val="auto"/>
        </w:rPr>
        <w:t>LOCK-UP LETTER AGREEMENT</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C/o Marvell Semiconductor, Inc.</w:t>
      </w:r>
    </w:p>
    <w:p>
      <w:pPr>
        <w:spacing w:after="0"/>
        <w:rPr>
          <w:sz w:val="20"/>
          <w:szCs w:val="20"/>
          <w:color w:val="auto"/>
        </w:rPr>
      </w:pPr>
      <w:r>
        <w:rPr>
          <w:rFonts w:ascii="Courier New" w:cs="Courier New" w:eastAsia="Courier New" w:hAnsi="Courier New"/>
          <w:sz w:val="18"/>
          <w:szCs w:val="18"/>
          <w:color w:val="auto"/>
        </w:rPr>
        <w:t>645 Almanor Avenue</w:t>
      </w:r>
    </w:p>
    <w:p>
      <w:pPr>
        <w:spacing w:after="0" w:line="237" w:lineRule="auto"/>
        <w:rPr>
          <w:sz w:val="20"/>
          <w:szCs w:val="20"/>
          <w:color w:val="auto"/>
        </w:rPr>
      </w:pPr>
      <w:r>
        <w:rPr>
          <w:rFonts w:ascii="Courier New" w:cs="Courier New" w:eastAsia="Courier New" w:hAnsi="Courier New"/>
          <w:sz w:val="18"/>
          <w:szCs w:val="18"/>
          <w:color w:val="auto"/>
        </w:rPr>
        <w:t>Sunnyvale, California 94086</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Dear Sirs:</w:t>
      </w:r>
    </w:p>
    <w:p>
      <w:pPr>
        <w:spacing w:after="0" w:line="207"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Reference is made to the Agreement of Merger, dated as of October 16, 2000 (the "Merger Agreement"), among Galileo Technology Ltd., Marvell Technology Group Ltd. ("Parent") and Toshack Acquisitions Ltd. Capitalized terms used and not otherwise defined herein shall have the respective meanings ascribed to them in the Merger Agreement.</w:t>
      </w:r>
    </w:p>
    <w:p>
      <w:pPr>
        <w:spacing w:after="0" w:line="209" w:lineRule="exact"/>
        <w:rPr>
          <w:sz w:val="20"/>
          <w:szCs w:val="20"/>
          <w:color w:val="auto"/>
        </w:rPr>
      </w:pPr>
    </w:p>
    <w:p>
      <w:pPr>
        <w:ind w:right="1779" w:firstLine="843"/>
        <w:spacing w:after="0" w:line="269" w:lineRule="auto"/>
        <w:rPr>
          <w:sz w:val="20"/>
          <w:szCs w:val="20"/>
          <w:color w:val="auto"/>
        </w:rPr>
      </w:pPr>
      <w:r>
        <w:rPr>
          <w:rFonts w:ascii="Courier New" w:cs="Courier New" w:eastAsia="Courier New" w:hAnsi="Courier New"/>
          <w:sz w:val="16"/>
          <w:szCs w:val="16"/>
          <w:color w:val="auto"/>
        </w:rPr>
        <w:t>In consideration of the execution of the Merger Agreement, and for other good and valuable consideration, the undersigned hereby irrevocably agrees that, without the prior written consent of Parent, the undersigned will not, directly or indirectly, (1) offer for sale, sell, pledge, or otherwise dispose of (or enter into any transaction or device that is designed to, or could be expected to, result in the disposition by any person at any time in the future of) any shares of Parent Common Stock (including, without limitation, shares of Parent Common Stock that may be deemed to be beneficially owned by the undersigned in accordance with the rules and regulations of the Securities and Exchange Commission and shares of Parent Common Stock that may be issued upon exercise of any Company Option) or securities convertible into or exchangeable for shares of Parent Common Stock owned by the undersigned on the date of execution of this Lock-Up Letter Agreement or on the date on which the Effective Time occurs (the "Effective Date"), or (2) enter into any swap or other derivatives transaction that transfers to another, in whole or in part, any of the economic benefits or risks of ownership of such shares of Parent Common Stock, whether any such transaction described in clause (1) or (2) above is to be settled by delivery of the shares of Parent Common Stock or other securities, in cash or otherwise, for a period of 45 days after the Effective Date.</w:t>
      </w:r>
    </w:p>
    <w:p>
      <w:pPr>
        <w:spacing w:after="0" w:line="395" w:lineRule="exact"/>
        <w:rPr>
          <w:sz w:val="20"/>
          <w:szCs w:val="20"/>
          <w:color w:val="auto"/>
        </w:rPr>
      </w:pPr>
    </w:p>
    <w:p>
      <w:pPr>
        <w:ind w:right="1779" w:firstLine="843"/>
        <w:spacing w:after="0" w:line="279" w:lineRule="auto"/>
        <w:rPr>
          <w:sz w:val="20"/>
          <w:szCs w:val="20"/>
          <w:color w:val="auto"/>
        </w:rPr>
      </w:pPr>
      <w:r>
        <w:rPr>
          <w:rFonts w:ascii="Courier New" w:cs="Courier New" w:eastAsia="Courier New" w:hAnsi="Courier New"/>
          <w:sz w:val="16"/>
          <w:szCs w:val="16"/>
          <w:color w:val="auto"/>
        </w:rPr>
        <w:t>In furtherance of the foregoing, Parent and its transfer agent are hereby authorized to decline to make any transfer of securities if such transfer would constitute a violation or breach of this Lock-Up Letter Agreement.</w:t>
      </w:r>
    </w:p>
    <w:p>
      <w:pPr>
        <w:spacing w:after="0" w:line="178"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It is understood that if the Merger Agreement does not become effective, or if the Merger Agreement (other than the provisions thereof which survive termination) shall terminate or be terminated prior to payment for and delivery of the shares of Parent Common Stock, the undersigned will be released from its obligations under this Lock-Up Letter Agreement.</w:t>
      </w:r>
    </w:p>
    <w:p>
      <w:pPr>
        <w:sectPr>
          <w:pgSz w:w="11900" w:h="16838" w:orient="portrait"/>
          <w:cols w:equalWidth="0" w:num="1">
            <w:col w:w="10219"/>
          </w:cols>
          <w:pgMar w:left="240" w:top="312" w:right="1440" w:bottom="1440" w:gutter="0" w:footer="0" w:header="0"/>
        </w:sectPr>
      </w:pPr>
    </w:p>
    <w:bookmarkStart w:id="8" w:name="page9"/>
    <w:bookmarkEnd w:id="8"/>
    <w:tbl>
      <w:tblPr>
        <w:tblLayout w:type="fixed"/>
        <w:tblInd w:w="0" w:type="dxa"/>
        <w:tblCellMar>
          <w:top w:w="0" w:type="dxa"/>
          <w:left w:w="0" w:type="dxa"/>
          <w:bottom w:w="0" w:type="dxa"/>
          <w:right w:w="0" w:type="dxa"/>
        </w:tblCellMar>
      </w:tblPr>
      <w:tr>
        <w:trPr>
          <w:trHeight w:val="204"/>
        </w:trPr>
        <w:tc>
          <w:tcPr>
            <w:tcW w:w="160" w:type="dxa"/>
            <w:vAlign w:val="bottom"/>
          </w:tcPr>
          <w:p>
            <w:pPr>
              <w:spacing w:after="0"/>
              <w:rPr>
                <w:sz w:val="17"/>
                <w:szCs w:val="17"/>
                <w:color w:val="auto"/>
              </w:rPr>
            </w:pPr>
          </w:p>
        </w:tc>
        <w:tc>
          <w:tcPr>
            <w:tcW w:w="3580" w:type="dxa"/>
            <w:vAlign w:val="bottom"/>
          </w:tcPr>
          <w:p>
            <w:pPr>
              <w:jc w:val="right"/>
              <w:ind w:right="3232"/>
              <w:spacing w:after="0"/>
              <w:rPr>
                <w:sz w:val="20"/>
                <w:szCs w:val="20"/>
                <w:color w:val="auto"/>
              </w:rPr>
            </w:pPr>
            <w:r>
              <w:rPr>
                <w:rFonts w:ascii="Courier New" w:cs="Courier New" w:eastAsia="Courier New" w:hAnsi="Courier New"/>
                <w:sz w:val="18"/>
                <w:szCs w:val="18"/>
                <w:color w:val="auto"/>
              </w:rPr>
              <w:t>9</w:t>
            </w:r>
          </w:p>
        </w:tc>
        <w:tc>
          <w:tcPr>
            <w:tcW w:w="1220" w:type="dxa"/>
            <w:vAlign w:val="bottom"/>
          </w:tcPr>
          <w:p>
            <w:pPr>
              <w:spacing w:after="0"/>
              <w:rPr>
                <w:sz w:val="17"/>
                <w:szCs w:val="17"/>
                <w:color w:val="auto"/>
              </w:rPr>
            </w:pPr>
          </w:p>
        </w:tc>
        <w:tc>
          <w:tcPr>
            <w:tcW w:w="3580" w:type="dxa"/>
            <w:vAlign w:val="bottom"/>
          </w:tcPr>
          <w:p>
            <w:pPr>
              <w:spacing w:after="0"/>
              <w:rPr>
                <w:sz w:val="17"/>
                <w:szCs w:val="17"/>
                <w:color w:val="auto"/>
              </w:rPr>
            </w:pPr>
          </w:p>
        </w:tc>
      </w:tr>
      <w:tr>
        <w:trPr>
          <w:trHeight w:val="405"/>
        </w:trPr>
        <w:tc>
          <w:tcPr>
            <w:tcW w:w="160" w:type="dxa"/>
            <w:vAlign w:val="bottom"/>
          </w:tcPr>
          <w:p>
            <w:pPr>
              <w:jc w:val="right"/>
              <w:spacing w:after="0"/>
              <w:rPr>
                <w:sz w:val="20"/>
                <w:szCs w:val="20"/>
                <w:color w:val="auto"/>
              </w:rPr>
            </w:pPr>
            <w:r>
              <w:rPr>
                <w:rFonts w:ascii="Courier New" w:cs="Courier New" w:eastAsia="Courier New" w:hAnsi="Courier New"/>
                <w:sz w:val="18"/>
                <w:szCs w:val="18"/>
                <w:color w:val="auto"/>
                <w:w w:val="92"/>
              </w:rPr>
              <w:t>-</w:t>
            </w:r>
          </w:p>
        </w:tc>
        <w:tc>
          <w:tcPr>
            <w:tcW w:w="3580" w:type="dxa"/>
            <w:vAlign w:val="bottom"/>
          </w:tcPr>
          <w:p>
            <w:pPr>
              <w:ind w:left="60"/>
              <w:spacing w:after="0"/>
              <w:rPr>
                <w:sz w:val="20"/>
                <w:szCs w:val="20"/>
                <w:color w:val="auto"/>
              </w:rPr>
            </w:pPr>
            <w:r>
              <w:rPr>
                <w:rFonts w:ascii="Courier New" w:cs="Courier New" w:eastAsia="Courier New" w:hAnsi="Courier New"/>
                <w:sz w:val="18"/>
                <w:szCs w:val="18"/>
                <w:color w:val="auto"/>
              </w:rPr>
              <w:t>------------------------------</w:t>
            </w:r>
          </w:p>
        </w:tc>
        <w:tc>
          <w:tcPr>
            <w:tcW w:w="1220" w:type="dxa"/>
            <w:vAlign w:val="bottom"/>
          </w:tcPr>
          <w:p>
            <w:pPr>
              <w:spacing w:after="0"/>
              <w:rPr>
                <w:sz w:val="24"/>
                <w:szCs w:val="24"/>
                <w:color w:val="auto"/>
              </w:rPr>
            </w:pPr>
          </w:p>
        </w:tc>
        <w:tc>
          <w:tcPr>
            <w:tcW w:w="358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r>
      <w:tr>
        <w:trPr>
          <w:trHeight w:val="203"/>
        </w:trPr>
        <w:tc>
          <w:tcPr>
            <w:tcW w:w="160" w:type="dxa"/>
            <w:vAlign w:val="bottom"/>
          </w:tcPr>
          <w:p>
            <w:pPr>
              <w:spacing w:after="0"/>
              <w:rPr>
                <w:sz w:val="17"/>
                <w:szCs w:val="17"/>
                <w:color w:val="auto"/>
              </w:rPr>
            </w:pPr>
          </w:p>
        </w:tc>
        <w:tc>
          <w:tcPr>
            <w:tcW w:w="35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CUSIP No. G 5876H105</w:t>
            </w:r>
          </w:p>
        </w:tc>
        <w:tc>
          <w:tcPr>
            <w:tcW w:w="1220" w:type="dxa"/>
            <w:vAlign w:val="bottom"/>
          </w:tcPr>
          <w:p>
            <w:pPr>
              <w:ind w:left="380"/>
              <w:spacing w:after="0" w:line="203" w:lineRule="exact"/>
              <w:rPr>
                <w:sz w:val="20"/>
                <w:szCs w:val="20"/>
                <w:color w:val="auto"/>
              </w:rPr>
            </w:pPr>
            <w:r>
              <w:rPr>
                <w:rFonts w:ascii="Courier New" w:cs="Courier New" w:eastAsia="Courier New" w:hAnsi="Courier New"/>
                <w:sz w:val="18"/>
                <w:szCs w:val="18"/>
                <w:color w:val="auto"/>
              </w:rPr>
              <w:t>13D</w:t>
            </w:r>
          </w:p>
        </w:tc>
        <w:tc>
          <w:tcPr>
            <w:tcW w:w="358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Page 9 of 9 Pages</w:t>
            </w:r>
          </w:p>
        </w:tc>
      </w:tr>
      <w:tr>
        <w:trPr>
          <w:trHeight w:val="203"/>
        </w:trPr>
        <w:tc>
          <w:tcPr>
            <w:tcW w:w="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w:t>
            </w:r>
          </w:p>
        </w:tc>
        <w:tc>
          <w:tcPr>
            <w:tcW w:w="358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w:t>
            </w:r>
          </w:p>
        </w:tc>
        <w:tc>
          <w:tcPr>
            <w:tcW w:w="1220" w:type="dxa"/>
            <w:vAlign w:val="bottom"/>
          </w:tcPr>
          <w:p>
            <w:pPr>
              <w:spacing w:after="0"/>
              <w:rPr>
                <w:sz w:val="17"/>
                <w:szCs w:val="17"/>
                <w:color w:val="auto"/>
              </w:rPr>
            </w:pPr>
          </w:p>
        </w:tc>
        <w:tc>
          <w:tcPr>
            <w:tcW w:w="35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7" w:lineRule="exact"/>
        <w:rPr>
          <w:sz w:val="20"/>
          <w:szCs w:val="20"/>
          <w:color w:val="auto"/>
        </w:rPr>
      </w:pPr>
    </w:p>
    <w:p>
      <w:pPr>
        <w:ind w:right="1879" w:firstLine="843"/>
        <w:spacing w:after="0" w:line="235" w:lineRule="auto"/>
        <w:rPr>
          <w:sz w:val="20"/>
          <w:szCs w:val="20"/>
          <w:color w:val="auto"/>
        </w:rPr>
      </w:pPr>
      <w:r>
        <w:rPr>
          <w:rFonts w:ascii="Courier New" w:cs="Courier New" w:eastAsia="Courier New" w:hAnsi="Courier New"/>
          <w:sz w:val="18"/>
          <w:szCs w:val="18"/>
          <w:color w:val="auto"/>
        </w:rPr>
        <w:t>The undersigned understands that Parent will proceed with the Merger in reliance on this Lock-Up Letter Agreement.</w:t>
      </w:r>
    </w:p>
    <w:p>
      <w:pPr>
        <w:spacing w:after="0" w:line="208"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The undersigned hereby represents and warrants that the undersigned has full power and authority to enter into this Lock-Up Letter Agreement and that, upon request, the undersigned will execute any additional documents necessary in connection with the enforcement hereof. Any obligations of the undersigned shall be binding upon the heirs, personal representatives, successors and assigns of the undersigned.</w:t>
      </w:r>
    </w:p>
    <w:p>
      <w:pPr>
        <w:spacing w:after="0" w:line="204" w:lineRule="exact"/>
        <w:rPr>
          <w:sz w:val="20"/>
          <w:szCs w:val="20"/>
          <w:color w:val="auto"/>
        </w:rPr>
      </w:pPr>
    </w:p>
    <w:p>
      <w:pPr>
        <w:ind w:left="4640"/>
        <w:spacing w:after="0"/>
        <w:rPr>
          <w:sz w:val="20"/>
          <w:szCs w:val="20"/>
          <w:color w:val="auto"/>
        </w:rPr>
      </w:pPr>
      <w:r>
        <w:rPr>
          <w:rFonts w:ascii="Courier New" w:cs="Courier New" w:eastAsia="Courier New" w:hAnsi="Courier New"/>
          <w:sz w:val="18"/>
          <w:szCs w:val="18"/>
          <w:color w:val="auto"/>
        </w:rPr>
        <w:t>Very truly yours,</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4640"/>
        <w:spacing w:after="0"/>
        <w:tabs>
          <w:tab w:leader="none" w:pos="5140" w:val="left"/>
        </w:tabs>
        <w:rPr>
          <w:sz w:val="20"/>
          <w:szCs w:val="20"/>
          <w:color w:val="auto"/>
        </w:rPr>
      </w:pPr>
      <w:r>
        <w:rPr>
          <w:rFonts w:ascii="Courier New" w:cs="Courier New" w:eastAsia="Courier New" w:hAnsi="Courier New"/>
          <w:sz w:val="18"/>
          <w:szCs w:val="18"/>
          <w:color w:val="auto"/>
        </w:rPr>
        <w:t>By:</w:t>
        <w:tab/>
        <w:t>/s/ Avigdor Willenz</w:t>
      </w:r>
    </w:p>
    <w:p>
      <w:pPr>
        <w:ind w:left="5160"/>
        <w:spacing w:after="0" w:line="238" w:lineRule="auto"/>
        <w:tabs>
          <w:tab w:leader="none" w:pos="5880" w:val="left"/>
        </w:tabs>
        <w:rPr>
          <w:sz w:val="20"/>
          <w:szCs w:val="20"/>
          <w:color w:val="auto"/>
        </w:rPr>
      </w:pPr>
      <w:r>
        <w:rPr>
          <w:rFonts w:ascii="Courier New" w:cs="Courier New" w:eastAsia="Courier New" w:hAnsi="Courier New"/>
          <w:sz w:val="18"/>
          <w:szCs w:val="18"/>
          <w:color w:val="auto"/>
        </w:rPr>
        <w:t>Name:</w:t>
        <w:tab/>
        <w:t>Avigdor Willenz</w:t>
      </w:r>
    </w:p>
    <w:p>
      <w:pPr>
        <w:spacing w:after="0" w:line="202" w:lineRule="exact"/>
        <w:rPr>
          <w:sz w:val="20"/>
          <w:szCs w:val="20"/>
          <w:color w:val="auto"/>
        </w:rPr>
      </w:pPr>
    </w:p>
    <w:p>
      <w:pPr>
        <w:ind w:left="5160"/>
        <w:spacing w:after="0"/>
        <w:tabs>
          <w:tab w:leader="none" w:pos="7160" w:val="left"/>
        </w:tabs>
        <w:rPr>
          <w:sz w:val="20"/>
          <w:szCs w:val="20"/>
          <w:color w:val="auto"/>
        </w:rPr>
      </w:pPr>
      <w:r>
        <w:rPr>
          <w:rFonts w:ascii="Courier New" w:cs="Courier New" w:eastAsia="Courier New" w:hAnsi="Courier New"/>
          <w:sz w:val="18"/>
          <w:szCs w:val="18"/>
          <w:color w:val="auto"/>
        </w:rPr>
        <w:t>Number of shares:</w:t>
      </w:r>
      <w:r>
        <w:rPr>
          <w:sz w:val="20"/>
          <w:szCs w:val="20"/>
          <w:color w:val="auto"/>
        </w:rPr>
        <w:tab/>
      </w:r>
      <w:r>
        <w:rPr>
          <w:rFonts w:ascii="Courier New" w:cs="Courier New" w:eastAsia="Courier New" w:hAnsi="Courier New"/>
          <w:sz w:val="16"/>
          <w:szCs w:val="16"/>
          <w:color w:val="auto"/>
        </w:rPr>
        <w:t>8,806,478</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Dated: October 16, 2000</w:t>
      </w:r>
    </w:p>
    <w:sectPr>
      <w:pgSz w:w="11900" w:h="16838" w:orient="portrait"/>
      <w:cols w:equalWidth="0" w:num="1">
        <w:col w:w="10219"/>
      </w:cols>
      <w:pgMar w:left="240" w:top="31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507ED7AB"/>
    <w:multiLevelType w:val="hybridMultilevel"/>
    <w:lvl w:ilvl="0">
      <w:lvlJc w:val="left"/>
      <w:lvlText w:val="G"/>
      <w:numFmt w:val="bullet"/>
      <w:start w:val="1"/>
    </w:lvl>
  </w:abstractNum>
  <w:abstractNum w:abstractNumId="1">
    <w:nsid w:val="2EB141F2"/>
    <w:multiLevelType w:val="hybridMultilevel"/>
    <w:lvl w:ilvl="0">
      <w:lvlJc w:val="left"/>
      <w:lvlText w:val="(%1)"/>
      <w:numFmt w:val="decimal"/>
      <w:start w:val="1"/>
    </w:lvl>
  </w:abstractNum>
  <w:abstractNum w:abstractNumId="2">
    <w:nsid w:val="41B71EFB"/>
    <w:multiLevelType w:val="hybridMultilevel"/>
    <w:lvl w:ilvl="0">
      <w:lvlJc w:val="left"/>
      <w:lvlText w:val="(%1)"/>
      <w:numFmt w:val="decimal"/>
      <w:start w:val="3"/>
    </w:lvl>
  </w:abstractNum>
  <w:abstractNum w:abstractNumId="3">
    <w:nsid w:val="79E2A9E3"/>
    <w:multiLevelType w:val="hybridMultilevel"/>
    <w:lvl w:ilvl="0">
      <w:lvlJc w:val="left"/>
      <w:lvlText w:val="(%1)"/>
      <w:numFmt w:val="decimal"/>
      <w:start w:val="5"/>
    </w:lvl>
  </w:abstractNum>
  <w:abstractNum w:abstractNumId="4">
    <w:nsid w:val="7545E146"/>
    <w:multiLevelType w:val="hybridMultilevel"/>
    <w:lvl w:ilvl="0">
      <w:lvlJc w:val="left"/>
      <w:lvlText w:val="(%1)"/>
      <w:numFmt w:val="decimal"/>
      <w:start w:val="11"/>
    </w:lvl>
  </w:abstractNum>
  <w:abstractNum w:abstractNumId="5">
    <w:nsid w:val="515F007C"/>
    <w:multiLevelType w:val="hybridMultilevel"/>
    <w:lvl w:ilvl="0">
      <w:lvlJc w:val="left"/>
      <w:lvlText w:val="(%1)"/>
      <w:numFmt w:val="decimal"/>
      <w:start w:val="12"/>
    </w:lvl>
  </w:abstractNum>
  <w:abstractNum w:abstractNumId="6">
    <w:nsid w:val="5BD062C2"/>
    <w:multiLevelType w:val="hybridMultilevel"/>
    <w:lvl w:ilvl="0">
      <w:lvlJc w:val="left"/>
      <w:lvlText w:val="(%1)"/>
      <w:numFmt w:val="lowerLetter"/>
      <w:start w:val="1"/>
    </w:lvl>
  </w:abstractNum>
  <w:abstractNum w:abstractNumId="7">
    <w:nsid w:val="12200854"/>
    <w:multiLevelType w:val="hybridMultilevel"/>
    <w:lvl w:ilvl="0">
      <w:lvlJc w:val="left"/>
      <w:lvlText w:val="(%1)"/>
      <w:numFmt w:val="lowerLetter"/>
      <w:start w:val="4"/>
    </w:lvl>
  </w:abstractNum>
  <w:abstractNum w:abstractNumId="8">
    <w:nsid w:val="4DB127F8"/>
    <w:multiLevelType w:val="hybridMultilevel"/>
    <w:lvl w:ilvl="0">
      <w:lvlJc w:val="left"/>
      <w:lvlText w:val="(%1)"/>
      <w:numFmt w:val="lowerLetter"/>
      <w:start w:val="1"/>
    </w:lvl>
  </w:abstractNum>
  <w:abstractNum w:abstractNumId="9">
    <w:nsid w:val="216231B"/>
    <w:multiLevelType w:val="hybridMultilevel"/>
    <w:lvl w:ilvl="0">
      <w:lvlJc w:val="left"/>
      <w:lvlText w:val="(%1)"/>
      <w:numFmt w:val="lowerLetter"/>
      <w:start w:val="4"/>
    </w:lvl>
  </w:abstractNum>
  <w:abstractNum w:abstractNumId="10">
    <w:nsid w:val="1F16E9E8"/>
    <w:multiLevelType w:val="hybridMultilevel"/>
    <w:lvl w:ilvl="0">
      <w:lvlJc w:val="left"/>
      <w:lvlText w:val="1"/>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2019-12-14T19:02:16Z</dcterms:created>
  <dcterms:modified xsi:type="dcterms:W3CDTF">2019-12-14T19:02:16Z</dcterms:modified>
</cp:coreProperties>
</file>