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2740"/>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FORM 8-K</w:t>
      </w:r>
    </w:p>
    <w:p>
      <w:pPr>
        <w:spacing w:after="0" w:line="201"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CURRENT REPORT</w:t>
      </w:r>
    </w:p>
    <w:p>
      <w:pPr>
        <w:spacing w:after="0" w:line="201"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PURSUANT TO SECTION 13 OR 15(d) OF</w:t>
      </w:r>
    </w:p>
    <w:p>
      <w:pPr>
        <w:ind w:left="2440"/>
        <w:spacing w:after="0" w:line="238" w:lineRule="auto"/>
        <w:rPr>
          <w:sz w:val="20"/>
          <w:szCs w:val="20"/>
          <w:color w:val="auto"/>
        </w:rPr>
      </w:pPr>
      <w:r>
        <w:rPr>
          <w:rFonts w:ascii="Courier New" w:cs="Courier New" w:eastAsia="Courier New" w:hAnsi="Courier New"/>
          <w:sz w:val="18"/>
          <w:szCs w:val="18"/>
          <w:color w:val="auto"/>
        </w:rPr>
        <w:t>THE SECURITIES EXCHANGE ACT OF 1934</w:t>
      </w:r>
    </w:p>
    <w:p>
      <w:pPr>
        <w:spacing w:after="0" w:line="200" w:lineRule="exact"/>
        <w:rPr>
          <w:sz w:val="24"/>
          <w:szCs w:val="24"/>
          <w:color w:val="auto"/>
        </w:rPr>
      </w:pPr>
    </w:p>
    <w:p>
      <w:pPr>
        <w:spacing w:after="0" w:line="204" w:lineRule="exact"/>
        <w:rPr>
          <w:sz w:val="24"/>
          <w:szCs w:val="24"/>
          <w:color w:val="auto"/>
        </w:rPr>
      </w:pPr>
    </w:p>
    <w:p>
      <w:pPr>
        <w:ind w:left="2320"/>
        <w:spacing w:after="0"/>
        <w:rPr>
          <w:sz w:val="20"/>
          <w:szCs w:val="20"/>
          <w:color w:val="auto"/>
        </w:rPr>
      </w:pPr>
      <w:r>
        <w:rPr>
          <w:rFonts w:ascii="Courier New" w:cs="Courier New" w:eastAsia="Courier New" w:hAnsi="Courier New"/>
          <w:sz w:val="18"/>
          <w:szCs w:val="18"/>
          <w:color w:val="auto"/>
        </w:rPr>
        <w:t>FEBRUARY 22, 2001 (FEBRUARY 22, 2001)</w:t>
      </w:r>
    </w:p>
    <w:p>
      <w:pPr>
        <w:ind w:left="1700"/>
        <w:spacing w:after="0" w:line="238" w:lineRule="auto"/>
        <w:rPr>
          <w:sz w:val="20"/>
          <w:szCs w:val="20"/>
          <w:color w:val="auto"/>
        </w:rPr>
      </w:pPr>
      <w:r>
        <w:rPr>
          <w:rFonts w:ascii="Courier New" w:cs="Courier New" w:eastAsia="Courier New" w:hAnsi="Courier New"/>
          <w:sz w:val="18"/>
          <w:szCs w:val="18"/>
          <w:color w:val="auto"/>
        </w:rPr>
        <w:t>DATE OF REPORT (DATE OF EARLIEST EVENT REPORTED)</w:t>
      </w:r>
    </w:p>
    <w:p>
      <w:pPr>
        <w:spacing w:after="0" w:line="202"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740"/>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38" w:orient="portrait"/>
          <w:cols w:equalWidth="0" w:num="1">
            <w:col w:w="11180"/>
          </w:cols>
          <w:pgMar w:left="240" w:top="244" w:right="4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8"/>
          <w:szCs w:val="18"/>
          <w:color w:val="auto"/>
        </w:rPr>
        <w:t>BERMUDA</w:t>
      </w:r>
    </w:p>
    <w:p>
      <w:pPr>
        <w:spacing w:after="0" w:line="4" w:lineRule="exact"/>
        <w:rPr>
          <w:sz w:val="24"/>
          <w:szCs w:val="24"/>
          <w:color w:val="auto"/>
        </w:rPr>
      </w:pPr>
    </w:p>
    <w:p>
      <w:pPr>
        <w:jc w:val="center"/>
        <w:ind w:right="220"/>
        <w:spacing w:after="0"/>
        <w:rPr>
          <w:sz w:val="20"/>
          <w:szCs w:val="20"/>
          <w:color w:val="auto"/>
        </w:rPr>
      </w:pPr>
      <w:r>
        <w:rPr>
          <w:rFonts w:ascii="Courier New" w:cs="Courier New" w:eastAsia="Courier New" w:hAnsi="Courier New"/>
          <w:sz w:val="16"/>
          <w:szCs w:val="16"/>
          <w:color w:val="auto"/>
        </w:rPr>
        <w:t>(STATE OR OTHER JURISDICTION OF</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ind w:left="940"/>
        <w:spacing w:after="0"/>
        <w:rPr>
          <w:sz w:val="20"/>
          <w:szCs w:val="20"/>
          <w:color w:val="auto"/>
        </w:rPr>
      </w:pPr>
      <w:r>
        <w:rPr>
          <w:rFonts w:ascii="Courier New" w:cs="Courier New" w:eastAsia="Courier New" w:hAnsi="Courier New"/>
          <w:sz w:val="18"/>
          <w:szCs w:val="18"/>
          <w:color w:val="auto"/>
        </w:rPr>
        <w:t>1-10959</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7" w:lineRule="exact"/>
        <w:rPr>
          <w:sz w:val="24"/>
          <w:szCs w:val="24"/>
          <w:color w:val="auto"/>
        </w:rPr>
      </w:pPr>
    </w:p>
    <w:p>
      <w:pPr>
        <w:jc w:val="center"/>
        <w:spacing w:after="0"/>
        <w:rPr>
          <w:sz w:val="20"/>
          <w:szCs w:val="20"/>
          <w:color w:val="auto"/>
        </w:rPr>
      </w:pPr>
      <w:r>
        <w:rPr>
          <w:rFonts w:ascii="Courier New" w:cs="Courier New" w:eastAsia="Courier New" w:hAnsi="Courier New"/>
          <w:sz w:val="18"/>
          <w:szCs w:val="18"/>
          <w:color w:val="auto"/>
        </w:rPr>
        <w:t>77-0481679</w:t>
      </w:r>
    </w:p>
    <w:p>
      <w:pPr>
        <w:spacing w:after="0" w:line="4"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(I.R.S. EMPLOYER IDENTIFICATION NO.)</w:t>
      </w:r>
    </w:p>
    <w:p>
      <w:pPr>
        <w:spacing w:after="0" w:line="21" w:lineRule="exact"/>
        <w:rPr>
          <w:sz w:val="24"/>
          <w:szCs w:val="24"/>
          <w:color w:val="auto"/>
        </w:rPr>
      </w:pPr>
    </w:p>
    <w:p>
      <w:pPr>
        <w:sectPr>
          <w:pgSz w:w="11900" w:h="16838" w:orient="portrait"/>
          <w:cols w:equalWidth="0" w:num="3">
            <w:col w:w="3500" w:space="720"/>
            <w:col w:w="2520" w:space="640"/>
            <w:col w:w="3800"/>
          </w:cols>
          <w:pgMar w:left="240" w:top="244" w:right="479" w:bottom="1440" w:gutter="0" w:footer="0" w:header="0"/>
          <w:type w:val="continuous"/>
        </w:sectPr>
      </w:pPr>
    </w:p>
    <w:p>
      <w:pPr>
        <w:ind w:left="120"/>
        <w:spacing w:after="0"/>
        <w:rPr>
          <w:sz w:val="20"/>
          <w:szCs w:val="20"/>
          <w:color w:val="auto"/>
        </w:rPr>
      </w:pPr>
      <w:r>
        <w:rPr>
          <w:rFonts w:ascii="Courier New" w:cs="Courier New" w:eastAsia="Courier New" w:hAnsi="Courier New"/>
          <w:sz w:val="16"/>
          <w:szCs w:val="16"/>
          <w:color w:val="auto"/>
        </w:rPr>
        <w:t>INCORPORATION OR ORGANIZATION)</w:t>
      </w:r>
    </w:p>
    <w:p>
      <w:pPr>
        <w:sectPr>
          <w:pgSz w:w="11900" w:h="16838" w:orient="portrait"/>
          <w:cols w:equalWidth="0" w:num="1">
            <w:col w:w="11180"/>
          </w:cols>
          <w:pgMar w:left="240" w:top="244" w:right="479" w:bottom="1440" w:gutter="0" w:footer="0" w:header="0"/>
          <w:type w:val="continuous"/>
        </w:sectPr>
      </w:pPr>
    </w:p>
    <w:p>
      <w:pPr>
        <w:spacing w:after="0" w:line="200" w:lineRule="exact"/>
        <w:rPr>
          <w:sz w:val="24"/>
          <w:szCs w:val="24"/>
          <w:color w:val="auto"/>
        </w:rPr>
      </w:pPr>
    </w:p>
    <w:p>
      <w:pPr>
        <w:spacing w:after="0" w:line="221"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RICHMOND HOUSE</w:t>
      </w:r>
    </w:p>
    <w:p>
      <w:pPr>
        <w:ind w:left="3800"/>
        <w:spacing w:after="0" w:line="238" w:lineRule="auto"/>
        <w:rPr>
          <w:sz w:val="20"/>
          <w:szCs w:val="20"/>
          <w:color w:val="auto"/>
        </w:rPr>
      </w:pPr>
      <w:r>
        <w:rPr>
          <w:rFonts w:ascii="Courier New" w:cs="Courier New" w:eastAsia="Courier New" w:hAnsi="Courier New"/>
          <w:sz w:val="18"/>
          <w:szCs w:val="18"/>
          <w:color w:val="auto"/>
        </w:rPr>
        <w:t>3RD FLOOR</w:t>
      </w:r>
    </w:p>
    <w:p>
      <w:pPr>
        <w:spacing w:after="0" w:line="5" w:lineRule="exact"/>
        <w:rPr>
          <w:sz w:val="24"/>
          <w:szCs w:val="24"/>
          <w:color w:val="auto"/>
        </w:rPr>
      </w:pPr>
    </w:p>
    <w:p>
      <w:pPr>
        <w:ind w:left="3160"/>
        <w:spacing w:after="0"/>
        <w:rPr>
          <w:sz w:val="20"/>
          <w:szCs w:val="20"/>
          <w:color w:val="auto"/>
        </w:rPr>
      </w:pPr>
      <w:r>
        <w:rPr>
          <w:rFonts w:ascii="Courier New" w:cs="Courier New" w:eastAsia="Courier New" w:hAnsi="Courier New"/>
          <w:sz w:val="16"/>
          <w:szCs w:val="16"/>
          <w:color w:val="auto"/>
        </w:rPr>
        <w:t>12 PAR LA VILLE ROAD</w:t>
      </w:r>
    </w:p>
    <w:p>
      <w:pPr>
        <w:spacing w:after="0" w:line="16"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HAMILTON HM DX</w:t>
      </w:r>
    </w:p>
    <w:p>
      <w:pPr>
        <w:ind w:left="3900"/>
        <w:spacing w:after="0" w:line="238" w:lineRule="auto"/>
        <w:rPr>
          <w:sz w:val="20"/>
          <w:szCs w:val="20"/>
          <w:color w:val="auto"/>
        </w:rPr>
      </w:pPr>
      <w:r>
        <w:rPr>
          <w:rFonts w:ascii="Courier New" w:cs="Courier New" w:eastAsia="Courier New" w:hAnsi="Courier New"/>
          <w:sz w:val="18"/>
          <w:szCs w:val="18"/>
          <w:color w:val="auto"/>
        </w:rPr>
        <w:t>BERMUDA</w:t>
      </w:r>
    </w:p>
    <w:p>
      <w:pPr>
        <w:spacing w:after="0" w:line="5" w:lineRule="exact"/>
        <w:rPr>
          <w:sz w:val="24"/>
          <w:szCs w:val="24"/>
          <w:color w:val="auto"/>
        </w:rPr>
      </w:pPr>
    </w:p>
    <w:p>
      <w:pPr>
        <w:ind w:left="960"/>
        <w:spacing w:after="0"/>
        <w:rPr>
          <w:sz w:val="20"/>
          <w:szCs w:val="20"/>
          <w:color w:val="auto"/>
        </w:rPr>
      </w:pPr>
      <w:r>
        <w:rPr>
          <w:rFonts w:ascii="Courier New" w:cs="Courier New" w:eastAsia="Courier New" w:hAnsi="Courier New"/>
          <w:sz w:val="16"/>
          <w:szCs w:val="16"/>
          <w:color w:val="auto"/>
        </w:rPr>
        <w:t>(ADDRESS OF PRINCIPAL EXECUTIVE OFFICES)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(ZIP CODE)</w:t>
      </w:r>
    </w:p>
    <w:p>
      <w:pPr>
        <w:spacing w:after="0" w:line="200" w:lineRule="exact"/>
        <w:rPr>
          <w:sz w:val="24"/>
          <w:szCs w:val="24"/>
          <w:color w:val="auto"/>
        </w:rPr>
      </w:pPr>
    </w:p>
    <w:p>
      <w:pPr>
        <w:sectPr>
          <w:pgSz w:w="11900" w:h="16838" w:orient="portrait"/>
          <w:cols w:equalWidth="0" w:num="2">
            <w:col w:w="5280" w:space="520"/>
            <w:col w:w="5380"/>
          </w:cols>
          <w:pgMar w:left="240" w:top="244" w:right="479" w:bottom="1440" w:gutter="0" w:footer="0" w:header="0"/>
          <w:type w:val="continuous"/>
        </w:sectPr>
      </w:pPr>
    </w:p>
    <w:p>
      <w:pPr>
        <w:spacing w:after="0" w:line="18" w:lineRule="exact"/>
        <w:rPr>
          <w:sz w:val="24"/>
          <w:szCs w:val="24"/>
          <w:color w:val="auto"/>
        </w:rPr>
      </w:pPr>
    </w:p>
    <w:p>
      <w:pPr>
        <w:jc w:val="center"/>
        <w:ind w:right="2740"/>
        <w:spacing w:after="0"/>
        <w:rPr>
          <w:sz w:val="20"/>
          <w:szCs w:val="20"/>
          <w:color w:val="auto"/>
        </w:rPr>
      </w:pPr>
      <w:r>
        <w:rPr>
          <w:rFonts w:ascii="Courier New" w:cs="Courier New" w:eastAsia="Courier New" w:hAnsi="Courier New"/>
          <w:sz w:val="18"/>
          <w:szCs w:val="18"/>
          <w:color w:val="auto"/>
        </w:rPr>
        <w:t>REGISTRANT'S TELEPHONE NUMBER, INCLUDING AREA CODE: (441) 296-6395</w:t>
      </w:r>
    </w:p>
    <w:p>
      <w:pPr>
        <w:spacing w:after="0" w:line="201" w:lineRule="exact"/>
        <w:rPr>
          <w:sz w:val="24"/>
          <w:szCs w:val="24"/>
          <w:color w:val="auto"/>
        </w:rPr>
      </w:pPr>
    </w:p>
    <w:p>
      <w:pPr>
        <w:jc w:val="center"/>
        <w:ind w:right="2620"/>
        <w:spacing w:after="0"/>
        <w:rPr>
          <w:sz w:val="20"/>
          <w:szCs w:val="20"/>
          <w:color w:val="auto"/>
        </w:rPr>
      </w:pPr>
      <w:r>
        <w:rPr>
          <w:rFonts w:ascii="Courier New" w:cs="Courier New" w:eastAsia="Courier New" w:hAnsi="Courier New"/>
          <w:sz w:val="18"/>
          <w:szCs w:val="18"/>
          <w:color w:val="auto"/>
        </w:rPr>
        <w:t>N/A</w:t>
      </w:r>
    </w:p>
    <w:p>
      <w:pPr>
        <w:jc w:val="center"/>
        <w:ind w:right="2740"/>
        <w:spacing w:after="0" w:line="238" w:lineRule="auto"/>
        <w:rPr>
          <w:sz w:val="20"/>
          <w:szCs w:val="20"/>
          <w:color w:val="auto"/>
        </w:rPr>
      </w:pPr>
      <w:r>
        <w:rPr>
          <w:rFonts w:ascii="Courier New" w:cs="Courier New" w:eastAsia="Courier New" w:hAnsi="Courier New"/>
          <w:sz w:val="18"/>
          <w:szCs w:val="18"/>
          <w:color w:val="auto"/>
        </w:rPr>
        <w:t>(FORMER NAME AND FORMER ADDRESS, IF CHANGED SINCE LAST REPORT)</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1180"/>
          </w:cols>
          <w:pgMar w:left="240" w:top="244" w:right="479" w:bottom="1440"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0" w:lineRule="exact"/>
        <w:rPr>
          <w:sz w:val="20"/>
          <w:szCs w:val="20"/>
          <w:color w:val="auto"/>
        </w:rPr>
      </w:pPr>
    </w:p>
    <w:p>
      <w:pPr>
        <w:spacing w:after="0" w:line="204" w:lineRule="exact"/>
        <w:rPr>
          <w:sz w:val="20"/>
          <w:szCs w:val="20"/>
          <w:color w:val="auto"/>
        </w:rPr>
      </w:pPr>
    </w:p>
    <w:p>
      <w:pPr>
        <w:ind w:left="2120"/>
        <w:spacing w:after="0"/>
        <w:rPr>
          <w:sz w:val="20"/>
          <w:szCs w:val="20"/>
          <w:color w:val="auto"/>
        </w:rPr>
      </w:pPr>
      <w:r>
        <w:rPr>
          <w:rFonts w:ascii="Courier New" w:cs="Courier New" w:eastAsia="Courier New" w:hAnsi="Courier New"/>
          <w:sz w:val="18"/>
          <w:szCs w:val="18"/>
          <w:color w:val="auto"/>
        </w:rPr>
        <w:t>INFORMATION TO BE INCLUDED IN THE REPORT</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5.</w:t>
      </w:r>
      <w:r>
        <w:rPr>
          <w:sz w:val="20"/>
          <w:szCs w:val="20"/>
          <w:color w:val="auto"/>
        </w:rPr>
        <w:tab/>
      </w:r>
      <w:r>
        <w:rPr>
          <w:rFonts w:ascii="Courier New" w:cs="Courier New" w:eastAsia="Courier New" w:hAnsi="Courier New"/>
          <w:sz w:val="16"/>
          <w:szCs w:val="16"/>
          <w:color w:val="auto"/>
        </w:rPr>
        <w:t>OTHER EVENTS.</w:t>
      </w:r>
    </w:p>
    <w:p>
      <w:pPr>
        <w:spacing w:after="0" w:line="207" w:lineRule="exact"/>
        <w:rPr>
          <w:sz w:val="20"/>
          <w:szCs w:val="20"/>
          <w:color w:val="auto"/>
        </w:rPr>
      </w:pPr>
    </w:p>
    <w:p>
      <w:pPr>
        <w:ind w:right="1779" w:firstLine="948"/>
        <w:spacing w:after="0" w:line="237" w:lineRule="auto"/>
        <w:rPr>
          <w:sz w:val="20"/>
          <w:szCs w:val="20"/>
          <w:color w:val="auto"/>
        </w:rPr>
      </w:pPr>
      <w:r>
        <w:rPr>
          <w:rFonts w:ascii="Courier New" w:cs="Courier New" w:eastAsia="Courier New" w:hAnsi="Courier New"/>
          <w:sz w:val="18"/>
          <w:szCs w:val="18"/>
          <w:color w:val="auto"/>
        </w:rPr>
        <w:t>On February 22, 2001, the Registrant issued a press release announcing its 2001 fiscal year and fourth quarter results. Attached hereto as Exhibit 99.1 and incorporated by reference herein is a copy of the February 22, 2001 press release.</w:t>
      </w:r>
    </w:p>
    <w:p>
      <w:pPr>
        <w:spacing w:after="0" w:line="202"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7.</w:t>
      </w:r>
      <w:r>
        <w:rPr>
          <w:sz w:val="20"/>
          <w:szCs w:val="20"/>
          <w:color w:val="auto"/>
        </w:rPr>
        <w:tab/>
      </w:r>
      <w:r>
        <w:rPr>
          <w:rFonts w:ascii="Courier New" w:cs="Courier New" w:eastAsia="Courier New" w:hAnsi="Courier New"/>
          <w:sz w:val="16"/>
          <w:szCs w:val="16"/>
          <w:color w:val="auto"/>
        </w:rPr>
        <w:t>FINANCIAL STATEMENTS, PRO FORMA FINANCIAL INFORMATION AND EXHIBITS.</w:t>
      </w:r>
    </w:p>
    <w:p>
      <w:pPr>
        <w:spacing w:after="0" w:line="201"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Exhibit</w:t>
      </w:r>
      <w:r>
        <w:rPr>
          <w:sz w:val="20"/>
          <w:szCs w:val="20"/>
          <w:color w:val="auto"/>
        </w:rPr>
        <w:tab/>
      </w:r>
      <w:r>
        <w:rPr>
          <w:rFonts w:ascii="Courier New" w:cs="Courier New" w:eastAsia="Courier New" w:hAnsi="Courier New"/>
          <w:sz w:val="18"/>
          <w:szCs w:val="18"/>
          <w:color w:val="auto"/>
        </w:rPr>
        <w:t>Description</w:t>
      </w:r>
    </w:p>
    <w:p>
      <w:pPr>
        <w:spacing w:after="0"/>
        <w:tabs>
          <w:tab w:leader="none" w:pos="126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99.1</w:t>
      </w:r>
      <w:r>
        <w:rPr>
          <w:sz w:val="20"/>
          <w:szCs w:val="20"/>
          <w:color w:val="auto"/>
        </w:rPr>
        <w:tab/>
      </w:r>
      <w:r>
        <w:rPr>
          <w:rFonts w:ascii="Courier New" w:cs="Courier New" w:eastAsia="Courier New" w:hAnsi="Courier New"/>
          <w:sz w:val="16"/>
          <w:szCs w:val="16"/>
          <w:color w:val="auto"/>
        </w:rPr>
        <w:t>Press Release dated February 22, 2001.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779" w:firstLine="948"/>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3"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Date: February 22, 2001</w:t>
      </w:r>
    </w:p>
    <w:p>
      <w:pPr>
        <w:ind w:left="4120"/>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0"/>
          <w:szCs w:val="20"/>
          <w:color w:val="auto"/>
        </w:rPr>
      </w:pPr>
    </w:p>
    <w:p>
      <w:pPr>
        <w:jc w:val="center"/>
        <w:ind w:right="-340"/>
        <w:spacing w:after="0"/>
        <w:rPr>
          <w:sz w:val="20"/>
          <w:szCs w:val="20"/>
          <w:color w:val="auto"/>
        </w:rPr>
      </w:pPr>
      <w:r>
        <w:rPr>
          <w:rFonts w:ascii="Courier New" w:cs="Courier New" w:eastAsia="Courier New" w:hAnsi="Courier New"/>
          <w:sz w:val="18"/>
          <w:szCs w:val="18"/>
          <w:color w:val="auto"/>
        </w:rPr>
        <w:t>By: /s/ Sehat Sutardja</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Sehat Sutardja</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President and Chief Executive Officer</w:t>
      </w: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ind w:left="3580"/>
        <w:spacing w:after="0"/>
        <w:rPr>
          <w:sz w:val="20"/>
          <w:szCs w:val="20"/>
          <w:color w:val="auto"/>
        </w:rPr>
      </w:pPr>
      <w:r>
        <w:rPr>
          <w:rFonts w:ascii="Courier New" w:cs="Courier New" w:eastAsia="Courier New" w:hAnsi="Courier New"/>
          <w:sz w:val="18"/>
          <w:szCs w:val="18"/>
          <w:color w:val="auto"/>
        </w:rPr>
        <w:t>EXHIBIT INDEX</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Exhibit</w:t>
      </w:r>
      <w:r>
        <w:rPr>
          <w:sz w:val="20"/>
          <w:szCs w:val="20"/>
          <w:color w:val="auto"/>
        </w:rPr>
        <w:tab/>
      </w:r>
      <w:r>
        <w:rPr>
          <w:rFonts w:ascii="Courier New" w:cs="Courier New" w:eastAsia="Courier New" w:hAnsi="Courier New"/>
          <w:sz w:val="18"/>
          <w:szCs w:val="18"/>
          <w:color w:val="auto"/>
        </w:rPr>
        <w:t>Description</w:t>
      </w:r>
    </w:p>
    <w:p>
      <w:pPr>
        <w:spacing w:after="0"/>
        <w:tabs>
          <w:tab w:leader="none" w:pos="126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99.1</w:t>
      </w:r>
      <w:r>
        <w:rPr>
          <w:sz w:val="20"/>
          <w:szCs w:val="20"/>
          <w:color w:val="auto"/>
        </w:rPr>
        <w:tab/>
      </w:r>
      <w:r>
        <w:rPr>
          <w:rFonts w:ascii="Courier New" w:cs="Courier New" w:eastAsia="Courier New" w:hAnsi="Courier New"/>
          <w:sz w:val="16"/>
          <w:szCs w:val="16"/>
          <w:color w:val="auto"/>
        </w:rPr>
        <w:t>Press Release dated February 22, 2001.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0" w:lineRule="exact"/>
        <w:rPr>
          <w:sz w:val="20"/>
          <w:szCs w:val="20"/>
          <w:color w:val="auto"/>
        </w:rPr>
      </w:pPr>
    </w:p>
    <w:p>
      <w:pPr>
        <w:spacing w:after="0" w:line="204"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MARVELL TECHNOLOGY GROUP LTD. REPORTS RECORD FOURTH QUARTER REVENUE</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Sunnyvale, CA. (February 22, 2001) -- Marvell Technology Group Ltd. (NASDAQ: MRVL), a technology leader in the development of extreme broadband communications solutions, today reported record revenues for its fourth fiscal quarter and year ended January 27, 2001.</w:t>
      </w:r>
    </w:p>
    <w:p>
      <w:pPr>
        <w:spacing w:after="0" w:line="207" w:lineRule="exact"/>
        <w:rPr>
          <w:sz w:val="20"/>
          <w:szCs w:val="20"/>
          <w:color w:val="auto"/>
        </w:rPr>
      </w:pPr>
    </w:p>
    <w:p>
      <w:pPr>
        <w:ind w:right="1879"/>
        <w:spacing w:after="0" w:line="271" w:lineRule="auto"/>
        <w:rPr>
          <w:sz w:val="20"/>
          <w:szCs w:val="20"/>
          <w:color w:val="auto"/>
        </w:rPr>
      </w:pPr>
      <w:r>
        <w:rPr>
          <w:rFonts w:ascii="Courier New" w:cs="Courier New" w:eastAsia="Courier New" w:hAnsi="Courier New"/>
          <w:sz w:val="16"/>
          <w:szCs w:val="16"/>
          <w:color w:val="auto"/>
        </w:rPr>
        <w:t>Net sales for the fourth quarter of fiscal 2001 were a record $45.8 million, an increase of 70% over the $27.0 million for the comparable quarter in fiscal 2000. Pro forma net income for the quarter was $4.5 million, or $0.05 per share (diluted), compared with pro forma net income of $4.4 million, or $0.05 per share (diluted), for the comparable quarter in fiscal 2000. Shares used in computing earnings per share for the fourth quarter of fiscal 2001 were 98.5 million, compared to 84.8 million shares for the fourth quarter of fiscal 2000.</w:t>
      </w:r>
    </w:p>
    <w:p>
      <w:pPr>
        <w:spacing w:after="0" w:line="188"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Net sales for the year ended January 27, 2001 totaled $143.9 million, an increase of 77% over the $81.4 million for the year ended January 29, 2000. Pro forma net income for fiscal year 2001 totaled $14.0 million, or $0.15 per share (diluted), compared with $14.7 million, or $0.18 per share (diluted), for fiscal year 2000. Shares used in computing earnings per share for fiscal year 2001 were 92.6 million, compared with 81.5 million for fiscal year 2000.</w:t>
      </w:r>
    </w:p>
    <w:p>
      <w:pPr>
        <w:spacing w:after="0" w:line="210"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Marvell reports net income and diluted earnings per share on a pro forma basis, which excludes the effects of acquisition-related expenses and amortization of stock compensation. Net loss, including these charges, substantially all of which were non-cash, for the fourth quarter of fiscal year 2001 was $239.6 million, or $2.85 per share (diluted), compared with net income of $3.2 million, or $0.04 per share (diluted), for the comparable quarter of fiscal 2000. Including the charges excluded in pro forma reporting, net loss for fiscal year 2001 was $235.1 million, or $3.55 per share (diluted), compared with net income of $13.1 million, or $0.16 per share (diluted) for fiscal year 2000.</w:t>
      </w:r>
    </w:p>
    <w:p>
      <w:pPr>
        <w:spacing w:after="0" w:line="184"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In the fourth quarter, Marvell completed its acquisition of Galileo Technology Ltd., a market leader in digital communications systems on silicon for the LAN (local area network), MAN (metropolitan area network) and WAN (wide area network). The acquisition was accounted for under the purchase method of accounting.</w:t>
      </w:r>
    </w:p>
    <w:p>
      <w:pPr>
        <w:spacing w:after="0" w:line="209"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"This quarter, Marvell has achieved several industry firsts with respect to technology and product advancements," stated Dr. Sehat Sutardja, President and CEO of Marvell Technology Group Ltd. "In our storage business, we announced the industry's first read channel physical layer device to exceed Gigahertz speeds as well as the first Gigabit CMOS preamplifier available on the market today. In our communications business, we introduced the Alaska(TM) Quad transceiver, the industry's first and only quad-port DSP Gigabit transceiver, the Alaska Quad+ device, which supports both copper and fiber Gigabit interfaces, a complete chipset solution to address the high port count Gigabit Ethernet Switch market, and two system controllers for our next-generation Discovery(TM) family."</w:t>
      </w:r>
    </w:p>
    <w:p>
      <w:pPr>
        <w:sectPr>
          <w:pgSz w:w="11900" w:h="16838" w:orient="portrait"/>
          <w:cols w:equalWidth="0" w:num="1">
            <w:col w:w="10219"/>
          </w:cols>
          <w:pgMar w:left="240" w:top="136"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2</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Added Dr. Sutardja, "With the acquisition of Galileo, and the addition of its switching and internetworking products to Marvell's communications portfolio, the Company is now strategically positioned to provide end-to-end communications solutions to our networking customers."</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Marvell, a technology leader in the development of extreme broadband communications solutions, comprises Marvell Technology Group Ltd. (MTGL) and its subsidiaries, Marvell Semiconductor Inc. (MSI), Marvell Asia Pte Ltd. (MAPL), Marvell Japan K.K. (MJKK), and Galileo Technology Ltd. (GTL). On behalf of MTGL, MSI designs, develops and markets integrated circuits utilizing proprietary Communications Mixed-Signal Processing (CMSP) and digital signal processing technologies for communications signal processing markets. MAPL is headquartered in Singapore and is responsible for Marvell's production and distribution operations. GTL develops high-performance communications Internetworking and Switching products for the broadband communications market.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645 Almanor Ave., Sunnyvale, Calif., 94085; phone: (408) 222-2500, fax: (408) 328-0120.</w:t>
      </w:r>
    </w:p>
    <w:p>
      <w:pPr>
        <w:spacing w:after="0" w:line="200" w:lineRule="exact"/>
        <w:rPr>
          <w:sz w:val="20"/>
          <w:szCs w:val="20"/>
          <w:color w:val="auto"/>
        </w:rPr>
      </w:pPr>
    </w:p>
    <w:p>
      <w:pPr>
        <w:spacing w:after="0" w:line="389"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release may contain forward-looking statements based on our current expectations, estimates and projections about our products, our industry, our markets, management's beliefs, and certain assumptions made by us. Words such as "anticipates," "expects," "intends," "plans," "believes," "seeks," "estimates," "may," "will," "should," and variations of these words or similar expressions, are intended to identify forward-looking statements. In addition, any statements that refer to expectations, projections or other characterizations of future events or circumstances, including any underlying assumptions, are forward-looking statements. These statements are not guarantees of future performance and are subject to certain risks, uncertainties and assumptions that are difficult to predict. Therefore, market results may differ materially and adversely from those expressed in any forward-looking statements in this release.</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Important risks, uncertainties and assumptions that may cause such a difference for Marvell include, but are not limited to, the timing, cost and successful completion of technology and product development through volume production; the rate at which our present and future customers and end-users adopt our products; the timing and results of customer-industry qualification and certification of our products; and, the timing, pricing, rescheduling, or cancellation of significant customer orders.</w:t>
      </w:r>
    </w:p>
    <w:p>
      <w:pPr>
        <w:spacing w:after="0" w:line="211" w:lineRule="exact"/>
        <w:rPr>
          <w:sz w:val="20"/>
          <w:szCs w:val="20"/>
          <w:color w:val="auto"/>
        </w:rPr>
      </w:pPr>
    </w:p>
    <w:p>
      <w:pPr>
        <w:ind w:right="1879"/>
        <w:spacing w:after="0" w:line="275" w:lineRule="auto"/>
        <w:rPr>
          <w:sz w:val="20"/>
          <w:szCs w:val="20"/>
          <w:color w:val="auto"/>
        </w:rPr>
      </w:pPr>
      <w:r>
        <w:rPr>
          <w:rFonts w:ascii="Courier New" w:cs="Courier New" w:eastAsia="Courier New" w:hAnsi="Courier New"/>
          <w:sz w:val="16"/>
          <w:szCs w:val="16"/>
          <w:color w:val="auto"/>
        </w:rPr>
        <w:t>For other factors that could cause the Company's results to vary from expectations, please see the `Risk Factors' section of Marvell's joint proxy/prospectus on Form S-4 relating to the Company's merger and the Company's Quarterly Report on Form 10-Q for the quarter ended January 27, 2001.</w:t>
      </w:r>
    </w:p>
    <w:p>
      <w:pPr>
        <w:spacing w:after="0" w:line="182"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We undertake no obligation to revise or update publicly any forward-looking statements for any reason.</w:t>
      </w:r>
    </w:p>
    <w:p>
      <w:pPr>
        <w:sectPr>
          <w:pgSz w:w="11900" w:h="16838" w:orient="portrait"/>
          <w:cols w:equalWidth="0" w:num="1">
            <w:col w:w="10219"/>
          </w:cols>
          <w:pgMar w:left="240" w:top="312"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jc w:val="center"/>
        <w:ind w:right="210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100"/>
        <w:spacing w:after="0" w:line="238" w:lineRule="auto"/>
        <w:rPr>
          <w:sz w:val="20"/>
          <w:szCs w:val="20"/>
          <w:color w:val="auto"/>
        </w:rPr>
      </w:pPr>
      <w:r>
        <w:rPr>
          <w:rFonts w:ascii="Courier New" w:cs="Courier New" w:eastAsia="Courier New" w:hAnsi="Courier New"/>
          <w:sz w:val="18"/>
          <w:szCs w:val="18"/>
          <w:color w:val="auto"/>
        </w:rPr>
        <w:t>PRO FORMA CONDENSED CONSOLIDATED STATEMENTS OF INCOME</w:t>
      </w:r>
    </w:p>
    <w:p>
      <w:pPr>
        <w:jc w:val="center"/>
        <w:ind w:right="2100"/>
        <w:spacing w:after="0"/>
        <w:rPr>
          <w:sz w:val="20"/>
          <w:szCs w:val="20"/>
          <w:color w:val="auto"/>
        </w:rPr>
      </w:pPr>
      <w:r>
        <w:rPr>
          <w:rFonts w:ascii="Courier New" w:cs="Courier New" w:eastAsia="Courier New" w:hAnsi="Courier New"/>
          <w:sz w:val="18"/>
          <w:szCs w:val="18"/>
          <w:color w:val="auto"/>
        </w:rPr>
        <w:t>(UNAUDITED)</w:t>
      </w:r>
    </w:p>
    <w:p>
      <w:pPr>
        <w:jc w:val="center"/>
        <w:ind w:right="2100"/>
        <w:spacing w:after="0" w:line="237" w:lineRule="auto"/>
        <w:rPr>
          <w:sz w:val="20"/>
          <w:szCs w:val="20"/>
          <w:color w:val="auto"/>
        </w:rPr>
      </w:pPr>
      <w:r>
        <w:rPr>
          <w:rFonts w:ascii="Courier New" w:cs="Courier New" w:eastAsia="Courier New" w:hAnsi="Courier New"/>
          <w:sz w:val="18"/>
          <w:szCs w:val="18"/>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47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540" w:type="dxa"/>
            <w:vAlign w:val="bottom"/>
            <w:gridSpan w:val="3"/>
          </w:tcPr>
          <w:p>
            <w:pPr>
              <w:jc w:val="right"/>
              <w:ind w:right="492"/>
              <w:spacing w:after="0"/>
              <w:rPr>
                <w:sz w:val="20"/>
                <w:szCs w:val="20"/>
                <w:color w:val="auto"/>
              </w:rPr>
            </w:pPr>
            <w:r>
              <w:rPr>
                <w:rFonts w:ascii="Courier New" w:cs="Courier New" w:eastAsia="Courier New" w:hAnsi="Courier New"/>
                <w:sz w:val="18"/>
                <w:szCs w:val="18"/>
                <w:color w:val="auto"/>
                <w:w w:val="99"/>
              </w:rPr>
              <w:t>THREE MONTHS ENDED</w:t>
            </w:r>
          </w:p>
        </w:tc>
        <w:tc>
          <w:tcPr>
            <w:tcW w:w="420" w:type="dxa"/>
            <w:vAlign w:val="bottom"/>
          </w:tcPr>
          <w:p>
            <w:pPr>
              <w:spacing w:after="0"/>
              <w:rPr>
                <w:sz w:val="17"/>
                <w:szCs w:val="17"/>
                <w:color w:val="auto"/>
              </w:rPr>
            </w:pPr>
          </w:p>
        </w:tc>
        <w:tc>
          <w:tcPr>
            <w:tcW w:w="2360" w:type="dxa"/>
            <w:vAlign w:val="bottom"/>
            <w:gridSpan w:val="3"/>
          </w:tcPr>
          <w:p>
            <w:pPr>
              <w:jc w:val="right"/>
              <w:ind w:right="632"/>
              <w:spacing w:after="0"/>
              <w:rPr>
                <w:sz w:val="20"/>
                <w:szCs w:val="20"/>
                <w:color w:val="auto"/>
              </w:rPr>
            </w:pPr>
            <w:r>
              <w:rPr>
                <w:rFonts w:ascii="Courier New" w:cs="Courier New" w:eastAsia="Courier New" w:hAnsi="Courier New"/>
                <w:sz w:val="18"/>
                <w:szCs w:val="18"/>
                <w:color w:val="auto"/>
              </w:rPr>
              <w:t>YEAR ENDED</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JANUARY 27,</w:t>
            </w:r>
          </w:p>
        </w:tc>
        <w:tc>
          <w:tcPr>
            <w:tcW w:w="154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JANUARY 29,</w:t>
            </w:r>
          </w:p>
        </w:tc>
        <w:tc>
          <w:tcPr>
            <w:tcW w:w="148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JANUARY 27,</w:t>
            </w:r>
          </w:p>
        </w:tc>
        <w:tc>
          <w:tcPr>
            <w:tcW w:w="13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JANUARY 29,</w:t>
            </w:r>
          </w:p>
        </w:tc>
      </w:tr>
      <w:tr>
        <w:trPr>
          <w:trHeight w:val="203"/>
        </w:trPr>
        <w:tc>
          <w:tcPr>
            <w:tcW w:w="47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00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2001</w:t>
            </w:r>
          </w:p>
        </w:tc>
        <w:tc>
          <w:tcPr>
            <w:tcW w:w="480" w:type="dxa"/>
            <w:vAlign w:val="bottom"/>
          </w:tcPr>
          <w:p>
            <w:pPr>
              <w:spacing w:after="0"/>
              <w:rPr>
                <w:sz w:val="17"/>
                <w:szCs w:val="17"/>
                <w:color w:val="auto"/>
              </w:rPr>
            </w:pPr>
          </w:p>
        </w:tc>
        <w:tc>
          <w:tcPr>
            <w:tcW w:w="106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2000</w:t>
            </w:r>
          </w:p>
        </w:tc>
        <w:tc>
          <w:tcPr>
            <w:tcW w:w="420" w:type="dxa"/>
            <w:vAlign w:val="bottom"/>
          </w:tcPr>
          <w:p>
            <w:pPr>
              <w:spacing w:after="0"/>
              <w:rPr>
                <w:sz w:val="17"/>
                <w:szCs w:val="17"/>
                <w:color w:val="auto"/>
              </w:rPr>
            </w:pPr>
          </w:p>
        </w:tc>
        <w:tc>
          <w:tcPr>
            <w:tcW w:w="106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2001</w:t>
            </w:r>
          </w:p>
        </w:tc>
        <w:tc>
          <w:tcPr>
            <w:tcW w:w="420" w:type="dxa"/>
            <w:vAlign w:val="bottom"/>
          </w:tcPr>
          <w:p>
            <w:pPr>
              <w:spacing w:after="0"/>
              <w:rPr>
                <w:sz w:val="17"/>
                <w:szCs w:val="17"/>
                <w:color w:val="auto"/>
              </w:rPr>
            </w:pPr>
          </w:p>
        </w:tc>
        <w:tc>
          <w:tcPr>
            <w:tcW w:w="8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2000</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74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1580" w:type="dxa"/>
            <w:vAlign w:val="bottom"/>
            <w:gridSpan w:val="2"/>
          </w:tcPr>
          <w:p>
            <w:pPr>
              <w:jc w:val="right"/>
              <w:ind w:right="212"/>
              <w:spacing w:after="0"/>
              <w:rPr>
                <w:sz w:val="20"/>
                <w:szCs w:val="20"/>
                <w:color w:val="auto"/>
              </w:rPr>
            </w:pPr>
            <w:r>
              <w:rPr>
                <w:rFonts w:ascii="Courier New" w:cs="Courier New" w:eastAsia="Courier New" w:hAnsi="Courier New"/>
                <w:sz w:val="18"/>
                <w:szCs w:val="18"/>
                <w:color w:val="auto"/>
              </w:rPr>
              <w:t>$ 45,843</w:t>
            </w:r>
          </w:p>
        </w:tc>
        <w:tc>
          <w:tcPr>
            <w:tcW w:w="1540" w:type="dxa"/>
            <w:vAlign w:val="bottom"/>
            <w:gridSpan w:val="2"/>
          </w:tcPr>
          <w:p>
            <w:pPr>
              <w:jc w:val="right"/>
              <w:ind w:right="292"/>
              <w:spacing w:after="0"/>
              <w:rPr>
                <w:sz w:val="20"/>
                <w:szCs w:val="20"/>
                <w:color w:val="auto"/>
              </w:rPr>
            </w:pPr>
            <w:r>
              <w:rPr>
                <w:rFonts w:ascii="Courier New" w:cs="Courier New" w:eastAsia="Courier New" w:hAnsi="Courier New"/>
                <w:sz w:val="18"/>
                <w:szCs w:val="18"/>
                <w:color w:val="auto"/>
              </w:rPr>
              <w:t>$ 26,996</w:t>
            </w:r>
          </w:p>
        </w:tc>
        <w:tc>
          <w:tcPr>
            <w:tcW w:w="1480" w:type="dxa"/>
            <w:vAlign w:val="bottom"/>
            <w:gridSpan w:val="2"/>
          </w:tcPr>
          <w:p>
            <w:pPr>
              <w:jc w:val="right"/>
              <w:ind w:right="292"/>
              <w:spacing w:after="0"/>
              <w:rPr>
                <w:sz w:val="20"/>
                <w:szCs w:val="20"/>
                <w:color w:val="auto"/>
              </w:rPr>
            </w:pPr>
            <w:r>
              <w:rPr>
                <w:rFonts w:ascii="Courier New" w:cs="Courier New" w:eastAsia="Courier New" w:hAnsi="Courier New"/>
                <w:sz w:val="18"/>
                <w:szCs w:val="18"/>
                <w:color w:val="auto"/>
              </w:rPr>
              <w:t>$143,894</w:t>
            </w:r>
          </w:p>
        </w:tc>
        <w:tc>
          <w:tcPr>
            <w:tcW w:w="1300" w:type="dxa"/>
            <w:vAlign w:val="bottom"/>
            <w:gridSpan w:val="2"/>
          </w:tcPr>
          <w:p>
            <w:pPr>
              <w:jc w:val="right"/>
              <w:ind w:right="112"/>
              <w:spacing w:after="0"/>
              <w:rPr>
                <w:sz w:val="20"/>
                <w:szCs w:val="20"/>
                <w:color w:val="auto"/>
              </w:rPr>
            </w:pPr>
            <w:r>
              <w:rPr>
                <w:rFonts w:ascii="Courier New" w:cs="Courier New" w:eastAsia="Courier New" w:hAnsi="Courier New"/>
                <w:sz w:val="18"/>
                <w:szCs w:val="18"/>
                <w:color w:val="auto"/>
              </w:rPr>
              <w:t>$ 81,375</w:t>
            </w:r>
          </w:p>
        </w:tc>
      </w:tr>
      <w:tr>
        <w:trPr>
          <w:trHeight w:val="203"/>
        </w:trPr>
        <w:tc>
          <w:tcPr>
            <w:tcW w:w="474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21,788</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11,584</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67,047</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33,773</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74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24,055</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15,412</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76,847</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47,602</w:t>
            </w:r>
          </w:p>
        </w:tc>
      </w:tr>
      <w:tr>
        <w:trPr>
          <w:trHeight w:val="203"/>
        </w:trPr>
        <w:tc>
          <w:tcPr>
            <w:tcW w:w="474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58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203"/>
        </w:trPr>
        <w:tc>
          <w:tcPr>
            <w:tcW w:w="474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11,786</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5,368</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35,152</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14,452</w:t>
            </w:r>
          </w:p>
        </w:tc>
      </w:tr>
      <w:tr>
        <w:trPr>
          <w:trHeight w:val="203"/>
        </w:trPr>
        <w:tc>
          <w:tcPr>
            <w:tcW w:w="474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6,305</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3,180</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21,686</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10,436</w:t>
            </w:r>
          </w:p>
        </w:tc>
      </w:tr>
      <w:tr>
        <w:trPr>
          <w:trHeight w:val="203"/>
        </w:trPr>
        <w:tc>
          <w:tcPr>
            <w:tcW w:w="474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1,908</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1,215</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6,185</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3,443</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740" w:type="dxa"/>
            <w:vAlign w:val="bottom"/>
          </w:tcPr>
          <w:p>
            <w:pPr>
              <w:ind w:left="138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19,999</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9,763</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63,023</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28,331</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74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income</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4,056</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5,649</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13,824</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19,271</w:t>
            </w:r>
          </w:p>
        </w:tc>
      </w:tr>
      <w:tr>
        <w:trPr>
          <w:trHeight w:val="203"/>
        </w:trPr>
        <w:tc>
          <w:tcPr>
            <w:tcW w:w="474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income, net</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1,714</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206</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4,559</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330</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74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before income taxes</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5,770</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5,855</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18,383</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19,601</w:t>
            </w:r>
          </w:p>
        </w:tc>
      </w:tr>
      <w:tr>
        <w:trPr>
          <w:trHeight w:val="203"/>
        </w:trPr>
        <w:tc>
          <w:tcPr>
            <w:tcW w:w="474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1,251</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1,464</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4,404</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4,900</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740" w:type="dxa"/>
            <w:vAlign w:val="bottom"/>
          </w:tcPr>
          <w:p>
            <w:pPr>
              <w:spacing w:after="0" w:line="203" w:lineRule="exact"/>
              <w:rPr>
                <w:sz w:val="20"/>
                <w:szCs w:val="20"/>
                <w:color w:val="auto"/>
              </w:rPr>
            </w:pPr>
            <w:r>
              <w:rPr>
                <w:rFonts w:ascii="Courier New" w:cs="Courier New" w:eastAsia="Courier New" w:hAnsi="Courier New"/>
                <w:sz w:val="18"/>
                <w:szCs w:val="18"/>
                <w:color w:val="auto"/>
              </w:rPr>
              <w:t>Pro forma net income</w:t>
            </w:r>
          </w:p>
        </w:tc>
        <w:tc>
          <w:tcPr>
            <w:tcW w:w="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4,519</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4,391</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$ 13,979</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$ 14,701</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740" w:type="dxa"/>
            <w:vAlign w:val="bottom"/>
          </w:tcPr>
          <w:p>
            <w:pPr>
              <w:spacing w:after="0"/>
              <w:rPr>
                <w:sz w:val="20"/>
                <w:szCs w:val="20"/>
                <w:color w:val="auto"/>
              </w:rPr>
            </w:pPr>
            <w:r>
              <w:rPr>
                <w:rFonts w:ascii="Courier New" w:cs="Courier New" w:eastAsia="Courier New" w:hAnsi="Courier New"/>
                <w:sz w:val="18"/>
                <w:szCs w:val="18"/>
                <w:color w:val="auto"/>
              </w:rPr>
              <w:t>Pro forma net income per share</w:t>
            </w:r>
          </w:p>
        </w:tc>
        <w:tc>
          <w:tcPr>
            <w:tcW w:w="5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80" w:type="dxa"/>
            <w:vAlign w:val="bottom"/>
          </w:tcPr>
          <w:p>
            <w:pPr>
              <w:spacing w:after="0"/>
              <w:rPr>
                <w:sz w:val="24"/>
                <w:szCs w:val="24"/>
                <w:color w:val="auto"/>
              </w:rPr>
            </w:pPr>
          </w:p>
        </w:tc>
      </w:tr>
      <w:tr>
        <w:trPr>
          <w:trHeight w:val="203"/>
        </w:trPr>
        <w:tc>
          <w:tcPr>
            <w:tcW w:w="474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Basic</w:t>
            </w:r>
          </w:p>
        </w:tc>
        <w:tc>
          <w:tcPr>
            <w:tcW w:w="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0.05</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0.10</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0.21</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0.36</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74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Diluted</w:t>
            </w:r>
          </w:p>
        </w:tc>
        <w:tc>
          <w:tcPr>
            <w:tcW w:w="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0.05</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0.05</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0.15</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0.18</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74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common shares outstanding:</w:t>
            </w:r>
          </w:p>
        </w:tc>
        <w:tc>
          <w:tcPr>
            <w:tcW w:w="58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880" w:type="dxa"/>
            <w:vAlign w:val="bottom"/>
          </w:tcPr>
          <w:p>
            <w:pPr>
              <w:spacing w:after="0"/>
              <w:rPr>
                <w:sz w:val="17"/>
                <w:szCs w:val="17"/>
                <w:color w:val="auto"/>
              </w:rPr>
            </w:pPr>
          </w:p>
        </w:tc>
      </w:tr>
      <w:tr>
        <w:trPr>
          <w:trHeight w:val="203"/>
        </w:trPr>
        <w:tc>
          <w:tcPr>
            <w:tcW w:w="474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Basic</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84,007</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42,051</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66,259</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41,094</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74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Diluted</w:t>
            </w:r>
          </w:p>
        </w:tc>
        <w:tc>
          <w:tcPr>
            <w:tcW w:w="580" w:type="dxa"/>
            <w:vAlign w:val="bottom"/>
          </w:tcPr>
          <w:p>
            <w:pPr>
              <w:spacing w:after="0"/>
              <w:rPr>
                <w:sz w:val="17"/>
                <w:szCs w:val="17"/>
                <w:color w:val="auto"/>
              </w:rPr>
            </w:pPr>
          </w:p>
        </w:tc>
        <w:tc>
          <w:tcPr>
            <w:tcW w:w="1000" w:type="dxa"/>
            <w:vAlign w:val="bottom"/>
          </w:tcPr>
          <w:p>
            <w:pPr>
              <w:jc w:val="right"/>
              <w:ind w:right="212"/>
              <w:spacing w:after="0" w:line="203" w:lineRule="exact"/>
              <w:rPr>
                <w:sz w:val="20"/>
                <w:szCs w:val="20"/>
                <w:color w:val="auto"/>
              </w:rPr>
            </w:pPr>
            <w:r>
              <w:rPr>
                <w:rFonts w:ascii="Courier New" w:cs="Courier New" w:eastAsia="Courier New" w:hAnsi="Courier New"/>
                <w:sz w:val="18"/>
                <w:szCs w:val="18"/>
                <w:color w:val="auto"/>
              </w:rPr>
              <w:t>98,539</w:t>
            </w:r>
          </w:p>
        </w:tc>
        <w:tc>
          <w:tcPr>
            <w:tcW w:w="48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84,823</w:t>
            </w:r>
          </w:p>
        </w:tc>
        <w:tc>
          <w:tcPr>
            <w:tcW w:w="420" w:type="dxa"/>
            <w:vAlign w:val="bottom"/>
          </w:tcPr>
          <w:p>
            <w:pPr>
              <w:spacing w:after="0"/>
              <w:rPr>
                <w:sz w:val="17"/>
                <w:szCs w:val="17"/>
                <w:color w:val="auto"/>
              </w:rPr>
            </w:pPr>
          </w:p>
        </w:tc>
        <w:tc>
          <w:tcPr>
            <w:tcW w:w="106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92,635</w:t>
            </w:r>
          </w:p>
        </w:tc>
        <w:tc>
          <w:tcPr>
            <w:tcW w:w="420" w:type="dxa"/>
            <w:vAlign w:val="bottom"/>
          </w:tcPr>
          <w:p>
            <w:pPr>
              <w:spacing w:after="0"/>
              <w:rPr>
                <w:sz w:val="17"/>
                <w:szCs w:val="17"/>
                <w:color w:val="auto"/>
              </w:rPr>
            </w:pPr>
          </w:p>
        </w:tc>
        <w:tc>
          <w:tcPr>
            <w:tcW w:w="8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81,545</w:t>
            </w:r>
          </w:p>
        </w:tc>
      </w:tr>
      <w:tr>
        <w:trPr>
          <w:trHeight w:val="203"/>
        </w:trPr>
        <w:tc>
          <w:tcPr>
            <w:tcW w:w="4740" w:type="dxa"/>
            <w:vAlign w:val="bottom"/>
          </w:tcPr>
          <w:p>
            <w:pPr>
              <w:spacing w:after="0"/>
              <w:rPr>
                <w:sz w:val="17"/>
                <w:szCs w:val="17"/>
                <w:color w:val="auto"/>
              </w:rPr>
            </w:pPr>
          </w:p>
        </w:tc>
        <w:tc>
          <w:tcPr>
            <w:tcW w:w="1580" w:type="dxa"/>
            <w:vAlign w:val="bottom"/>
            <w:gridSpan w:val="2"/>
          </w:tcPr>
          <w:p>
            <w:pPr>
              <w:jc w:val="right"/>
              <w:ind w:right="21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NOTE:</w:t>
      </w:r>
    </w:p>
    <w:p>
      <w:pPr>
        <w:spacing w:after="0" w:line="207" w:lineRule="exact"/>
        <w:rPr>
          <w:sz w:val="20"/>
          <w:szCs w:val="20"/>
          <w:color w:val="auto"/>
        </w:rPr>
      </w:pPr>
    </w:p>
    <w:p>
      <w:pPr>
        <w:ind w:right="2520"/>
        <w:spacing w:after="0" w:line="236" w:lineRule="auto"/>
        <w:rPr>
          <w:sz w:val="20"/>
          <w:szCs w:val="20"/>
          <w:color w:val="auto"/>
        </w:rPr>
      </w:pPr>
      <w:r>
        <w:rPr>
          <w:rFonts w:ascii="Courier New" w:cs="Courier New" w:eastAsia="Courier New" w:hAnsi="Courier New"/>
          <w:sz w:val="18"/>
          <w:szCs w:val="18"/>
          <w:color w:val="auto"/>
        </w:rPr>
        <w:t>The above pro forma financial statements are based upon our unaudited consolidated financial statements for the periods shown, with the adjustments described below.</w:t>
      </w:r>
    </w:p>
    <w:p>
      <w:pPr>
        <w:spacing w:after="0" w:line="209" w:lineRule="exact"/>
        <w:rPr>
          <w:sz w:val="20"/>
          <w:szCs w:val="20"/>
          <w:color w:val="auto"/>
        </w:rPr>
      </w:pPr>
    </w:p>
    <w:p>
      <w:pPr>
        <w:ind w:right="2520"/>
        <w:spacing w:after="0" w:line="273" w:lineRule="auto"/>
        <w:rPr>
          <w:sz w:val="20"/>
          <w:szCs w:val="20"/>
          <w:color w:val="auto"/>
        </w:rPr>
      </w:pPr>
      <w:r>
        <w:rPr>
          <w:rFonts w:ascii="Courier New" w:cs="Courier New" w:eastAsia="Courier New" w:hAnsi="Courier New"/>
          <w:sz w:val="16"/>
          <w:szCs w:val="16"/>
          <w:color w:val="auto"/>
        </w:rPr>
        <w:t>The pro forma statement of income for the three months ended January 27, 2001 has been adjusted to eliminate $1.6 million of stock compensation expense and the related $0.4 million tax effect; $6.4 million of goodwill amortization expense; $1.6 million of purchased intangible asset amortization expense; and $234.9 million of in-process research and development expense.</w:t>
      </w:r>
    </w:p>
    <w:p>
      <w:pPr>
        <w:spacing w:after="0" w:line="185" w:lineRule="exact"/>
        <w:rPr>
          <w:sz w:val="20"/>
          <w:szCs w:val="20"/>
          <w:color w:val="auto"/>
        </w:rPr>
      </w:pPr>
    </w:p>
    <w:p>
      <w:pPr>
        <w:jc w:val="both"/>
        <w:ind w:right="2520"/>
        <w:spacing w:after="0" w:line="236" w:lineRule="auto"/>
        <w:rPr>
          <w:sz w:val="20"/>
          <w:szCs w:val="20"/>
          <w:color w:val="auto"/>
        </w:rPr>
      </w:pPr>
      <w:r>
        <w:rPr>
          <w:rFonts w:ascii="Courier New" w:cs="Courier New" w:eastAsia="Courier New" w:hAnsi="Courier New"/>
          <w:sz w:val="18"/>
          <w:szCs w:val="18"/>
          <w:color w:val="auto"/>
        </w:rPr>
        <w:t>The pro forma statement of income for the three months ended January 29, 2000 has been adjusted to eliminate $1.6 million of stock compensation expense and the related $0.4 million tax effect.</w:t>
      </w:r>
    </w:p>
    <w:p>
      <w:pPr>
        <w:spacing w:after="0" w:line="209" w:lineRule="exact"/>
        <w:rPr>
          <w:sz w:val="20"/>
          <w:szCs w:val="20"/>
          <w:color w:val="auto"/>
        </w:rPr>
      </w:pPr>
    </w:p>
    <w:p>
      <w:pPr>
        <w:ind w:right="2200"/>
        <w:spacing w:after="0" w:line="237" w:lineRule="auto"/>
        <w:rPr>
          <w:sz w:val="20"/>
          <w:szCs w:val="20"/>
          <w:color w:val="auto"/>
        </w:rPr>
      </w:pPr>
      <w:r>
        <w:rPr>
          <w:rFonts w:ascii="Courier New" w:cs="Courier New" w:eastAsia="Courier New" w:hAnsi="Courier New"/>
          <w:sz w:val="18"/>
          <w:szCs w:val="18"/>
          <w:color w:val="auto"/>
        </w:rPr>
        <w:t>The pro forma statement of income for the year ended January 27, 2001 has been adjusted to eliminate $8.3 million of stock compensation expense and the related $2.1 million tax effect; $6.4 million of goodwill amortization expense; $1.6 million of purchased intangible asset amortization expense; and $234.9 million of in-process research and development expense.</w:t>
      </w:r>
    </w:p>
    <w:p>
      <w:pPr>
        <w:spacing w:after="0" w:line="209" w:lineRule="exact"/>
        <w:rPr>
          <w:sz w:val="20"/>
          <w:szCs w:val="20"/>
          <w:color w:val="auto"/>
        </w:rPr>
      </w:pPr>
    </w:p>
    <w:p>
      <w:pPr>
        <w:ind w:right="2200"/>
        <w:spacing w:after="0" w:line="236" w:lineRule="auto"/>
        <w:rPr>
          <w:sz w:val="20"/>
          <w:szCs w:val="20"/>
          <w:color w:val="auto"/>
        </w:rPr>
      </w:pPr>
      <w:r>
        <w:rPr>
          <w:rFonts w:ascii="Courier New" w:cs="Courier New" w:eastAsia="Courier New" w:hAnsi="Courier New"/>
          <w:sz w:val="18"/>
          <w:szCs w:val="18"/>
          <w:color w:val="auto"/>
        </w:rPr>
        <w:t>The pro forma statement of income for the year ended January 29, 2000 has been adjusted to eliminate $2.2 million of stock compensation expense and the related $0.5 million tax effect.</w:t>
      </w:r>
    </w:p>
    <w:p>
      <w:pPr>
        <w:spacing w:after="0" w:line="209" w:lineRule="exact"/>
        <w:rPr>
          <w:sz w:val="20"/>
          <w:szCs w:val="20"/>
          <w:color w:val="auto"/>
        </w:rPr>
      </w:pPr>
    </w:p>
    <w:p>
      <w:pPr>
        <w:ind w:right="2520"/>
        <w:spacing w:after="0" w:line="235" w:lineRule="auto"/>
        <w:rPr>
          <w:sz w:val="20"/>
          <w:szCs w:val="20"/>
          <w:color w:val="auto"/>
        </w:rPr>
      </w:pPr>
      <w:r>
        <w:rPr>
          <w:rFonts w:ascii="Courier New" w:cs="Courier New" w:eastAsia="Courier New" w:hAnsi="Courier New"/>
          <w:sz w:val="18"/>
          <w:szCs w:val="18"/>
          <w:color w:val="auto"/>
        </w:rPr>
        <w:t>The format presented above is not intended to be in accordance with Generally Accepted Accounting Principles.</w:t>
      </w:r>
    </w:p>
    <w:p>
      <w:pPr>
        <w:sectPr>
          <w:pgSz w:w="11900" w:h="16838" w:orient="portrait"/>
          <w:cols w:equalWidth="0" w:num="1">
            <w:col w:w="10640"/>
          </w:cols>
          <w:pgMar w:left="240" w:top="312" w:right="1019" w:bottom="566"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jc w:val="center"/>
        <w:ind w:right="274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2740"/>
        <w:spacing w:after="0" w:line="238" w:lineRule="auto"/>
        <w:rPr>
          <w:sz w:val="20"/>
          <w:szCs w:val="20"/>
          <w:color w:val="auto"/>
        </w:rPr>
      </w:pPr>
      <w:r>
        <w:rPr>
          <w:rFonts w:ascii="Courier New" w:cs="Courier New" w:eastAsia="Courier New" w:hAnsi="Courier New"/>
          <w:sz w:val="18"/>
          <w:szCs w:val="18"/>
          <w:color w:val="auto"/>
        </w:rPr>
        <w:t>CONDENSED CONSOLIDATED STATEMENTS OF INCOME</w:t>
      </w:r>
    </w:p>
    <w:p>
      <w:pPr>
        <w:jc w:val="center"/>
        <w:ind w:right="2740"/>
        <w:spacing w:after="0"/>
        <w:rPr>
          <w:sz w:val="20"/>
          <w:szCs w:val="20"/>
          <w:color w:val="auto"/>
        </w:rPr>
      </w:pPr>
      <w:r>
        <w:rPr>
          <w:rFonts w:ascii="Courier New" w:cs="Courier New" w:eastAsia="Courier New" w:hAnsi="Courier New"/>
          <w:sz w:val="18"/>
          <w:szCs w:val="18"/>
          <w:color w:val="auto"/>
        </w:rPr>
        <w:t>(UNAUDITED)</w:t>
      </w:r>
    </w:p>
    <w:p>
      <w:pPr>
        <w:jc w:val="center"/>
        <w:ind w:right="2740"/>
        <w:spacing w:after="0" w:line="237" w:lineRule="auto"/>
        <w:rPr>
          <w:sz w:val="20"/>
          <w:szCs w:val="20"/>
          <w:color w:val="auto"/>
        </w:rPr>
      </w:pPr>
      <w:r>
        <w:rPr>
          <w:rFonts w:ascii="Courier New" w:cs="Courier New" w:eastAsia="Courier New" w:hAnsi="Courier New"/>
          <w:sz w:val="18"/>
          <w:szCs w:val="18"/>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48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840" w:type="dxa"/>
            <w:vAlign w:val="bottom"/>
            <w:gridSpan w:val="3"/>
          </w:tcPr>
          <w:p>
            <w:pPr>
              <w:jc w:val="right"/>
              <w:ind w:right="552"/>
              <w:spacing w:after="0"/>
              <w:rPr>
                <w:sz w:val="20"/>
                <w:szCs w:val="20"/>
                <w:color w:val="auto"/>
              </w:rPr>
            </w:pPr>
            <w:r>
              <w:rPr>
                <w:rFonts w:ascii="Courier New" w:cs="Courier New" w:eastAsia="Courier New" w:hAnsi="Courier New"/>
                <w:sz w:val="18"/>
                <w:szCs w:val="18"/>
                <w:color w:val="auto"/>
              </w:rPr>
              <w:t>THREE MONTHS ENDED</w:t>
            </w:r>
          </w:p>
        </w:tc>
        <w:tc>
          <w:tcPr>
            <w:tcW w:w="420" w:type="dxa"/>
            <w:vAlign w:val="bottom"/>
          </w:tcPr>
          <w:p>
            <w:pPr>
              <w:spacing w:after="0"/>
              <w:rPr>
                <w:sz w:val="17"/>
                <w:szCs w:val="17"/>
                <w:color w:val="auto"/>
              </w:rPr>
            </w:pPr>
          </w:p>
        </w:tc>
        <w:tc>
          <w:tcPr>
            <w:tcW w:w="1800" w:type="dxa"/>
            <w:vAlign w:val="bottom"/>
            <w:gridSpan w:val="2"/>
          </w:tcPr>
          <w:p>
            <w:pPr>
              <w:ind w:left="640"/>
              <w:spacing w:after="0"/>
              <w:rPr>
                <w:sz w:val="20"/>
                <w:szCs w:val="20"/>
                <w:color w:val="auto"/>
              </w:rPr>
            </w:pPr>
            <w:r>
              <w:rPr>
                <w:rFonts w:ascii="Courier New" w:cs="Courier New" w:eastAsia="Courier New" w:hAnsi="Courier New"/>
                <w:sz w:val="18"/>
                <w:szCs w:val="18"/>
                <w:color w:val="auto"/>
              </w:rPr>
              <w:t>YEAR ENDED</w:t>
            </w:r>
          </w:p>
        </w:tc>
        <w:tc>
          <w:tcPr>
            <w:tcW w:w="940" w:type="dxa"/>
            <w:vAlign w:val="bottom"/>
          </w:tcPr>
          <w:p>
            <w:pPr>
              <w:spacing w:after="0"/>
              <w:rPr>
                <w:sz w:val="17"/>
                <w:szCs w:val="17"/>
                <w:color w:val="auto"/>
              </w:rPr>
            </w:pP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JANUARY 27,</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JANUARY 29,</w:t>
            </w: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JANUARY 27,</w:t>
            </w:r>
          </w:p>
        </w:tc>
        <w:tc>
          <w:tcPr>
            <w:tcW w:w="14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JANUARY 29,</w:t>
            </w:r>
          </w:p>
        </w:tc>
      </w:tr>
      <w:tr>
        <w:trPr>
          <w:trHeight w:val="203"/>
        </w:trPr>
        <w:tc>
          <w:tcPr>
            <w:tcW w:w="48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60" w:type="dxa"/>
            <w:vAlign w:val="bottom"/>
          </w:tcPr>
          <w:p>
            <w:pPr>
              <w:jc w:val="right"/>
              <w:ind w:right="652"/>
              <w:spacing w:after="0" w:line="203" w:lineRule="exact"/>
              <w:rPr>
                <w:sz w:val="20"/>
                <w:szCs w:val="20"/>
                <w:color w:val="auto"/>
              </w:rPr>
            </w:pPr>
            <w:r>
              <w:rPr>
                <w:rFonts w:ascii="Courier New" w:cs="Courier New" w:eastAsia="Courier New" w:hAnsi="Courier New"/>
                <w:sz w:val="18"/>
                <w:szCs w:val="18"/>
                <w:color w:val="auto"/>
              </w:rPr>
              <w:t>2001</w:t>
            </w:r>
          </w:p>
        </w:tc>
        <w:tc>
          <w:tcPr>
            <w:tcW w:w="520" w:type="dxa"/>
            <w:vAlign w:val="bottom"/>
          </w:tcPr>
          <w:p>
            <w:pPr>
              <w:spacing w:after="0"/>
              <w:rPr>
                <w:sz w:val="17"/>
                <w:szCs w:val="17"/>
                <w:color w:val="auto"/>
              </w:rPr>
            </w:pPr>
          </w:p>
        </w:tc>
        <w:tc>
          <w:tcPr>
            <w:tcW w:w="10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2000</w:t>
            </w:r>
          </w:p>
        </w:tc>
        <w:tc>
          <w:tcPr>
            <w:tcW w:w="420" w:type="dxa"/>
            <w:vAlign w:val="bottom"/>
          </w:tcPr>
          <w:p>
            <w:pPr>
              <w:spacing w:after="0"/>
              <w:rPr>
                <w:sz w:val="17"/>
                <w:szCs w:val="17"/>
                <w:color w:val="auto"/>
              </w:rPr>
            </w:pPr>
          </w:p>
        </w:tc>
        <w:tc>
          <w:tcPr>
            <w:tcW w:w="1260" w:type="dxa"/>
            <w:vAlign w:val="bottom"/>
          </w:tcPr>
          <w:p>
            <w:pPr>
              <w:jc w:val="right"/>
              <w:ind w:right="652"/>
              <w:spacing w:after="0" w:line="203" w:lineRule="exact"/>
              <w:rPr>
                <w:sz w:val="20"/>
                <w:szCs w:val="20"/>
                <w:color w:val="auto"/>
              </w:rPr>
            </w:pPr>
            <w:r>
              <w:rPr>
                <w:rFonts w:ascii="Courier New" w:cs="Courier New" w:eastAsia="Courier New" w:hAnsi="Courier New"/>
                <w:sz w:val="18"/>
                <w:szCs w:val="18"/>
                <w:color w:val="auto"/>
              </w:rPr>
              <w:t>2001</w:t>
            </w:r>
          </w:p>
        </w:tc>
        <w:tc>
          <w:tcPr>
            <w:tcW w:w="540" w:type="dxa"/>
            <w:vAlign w:val="bottom"/>
          </w:tcPr>
          <w:p>
            <w:pPr>
              <w:spacing w:after="0"/>
              <w:rPr>
                <w:sz w:val="17"/>
                <w:szCs w:val="17"/>
                <w:color w:val="auto"/>
              </w:rPr>
            </w:pPr>
          </w:p>
        </w:tc>
        <w:tc>
          <w:tcPr>
            <w:tcW w:w="9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2000</w:t>
            </w:r>
          </w:p>
        </w:tc>
      </w:tr>
      <w:tr>
        <w:trPr>
          <w:trHeight w:val="203"/>
        </w:trPr>
        <w:tc>
          <w:tcPr>
            <w:tcW w:w="4860" w:type="dxa"/>
            <w:vAlign w:val="bottom"/>
          </w:tcPr>
          <w:p>
            <w:pPr>
              <w:spacing w:after="0"/>
              <w:rPr>
                <w:sz w:val="17"/>
                <w:szCs w:val="17"/>
                <w:color w:val="auto"/>
              </w:rPr>
            </w:pPr>
          </w:p>
        </w:tc>
        <w:tc>
          <w:tcPr>
            <w:tcW w:w="1680" w:type="dxa"/>
            <w:vAlign w:val="bottom"/>
            <w:gridSpan w:val="2"/>
          </w:tcPr>
          <w:p>
            <w:pPr>
              <w:ind w:left="300"/>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ind w:left="320"/>
              <w:spacing w:after="0" w:line="203" w:lineRule="exact"/>
              <w:rPr>
                <w:sz w:val="20"/>
                <w:szCs w:val="20"/>
                <w:color w:val="auto"/>
              </w:rPr>
            </w:pPr>
            <w:r>
              <w:rPr>
                <w:rFonts w:ascii="Courier New" w:cs="Courier New" w:eastAsia="Courier New" w:hAnsi="Courier New"/>
                <w:sz w:val="18"/>
                <w:szCs w:val="18"/>
                <w:color w:val="auto"/>
                <w:w w:val="95"/>
              </w:rPr>
              <w:t>-----------</w:t>
            </w:r>
          </w:p>
        </w:tc>
      </w:tr>
      <w:tr>
        <w:trPr>
          <w:trHeight w:val="405"/>
        </w:trPr>
        <w:tc>
          <w:tcPr>
            <w:tcW w:w="486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420" w:type="dxa"/>
            <w:vAlign w:val="bottom"/>
          </w:tcPr>
          <w:p>
            <w:pPr>
              <w:ind w:left="300"/>
              <w:spacing w:after="0"/>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45,843</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232"/>
              <w:spacing w:after="0"/>
              <w:rPr>
                <w:sz w:val="20"/>
                <w:szCs w:val="20"/>
                <w:color w:val="auto"/>
              </w:rPr>
            </w:pPr>
            <w:r>
              <w:rPr>
                <w:rFonts w:ascii="Courier New" w:cs="Courier New" w:eastAsia="Courier New" w:hAnsi="Courier New"/>
                <w:sz w:val="18"/>
                <w:szCs w:val="18"/>
                <w:color w:val="auto"/>
              </w:rPr>
              <w:t>26,996</w:t>
            </w:r>
          </w:p>
        </w:tc>
        <w:tc>
          <w:tcPr>
            <w:tcW w:w="16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$ 143,894</w:t>
            </w:r>
          </w:p>
        </w:tc>
        <w:tc>
          <w:tcPr>
            <w:tcW w:w="540" w:type="dxa"/>
            <w:vAlign w:val="bottom"/>
          </w:tcPr>
          <w:p>
            <w:pPr>
              <w:ind w:left="320"/>
              <w:spacing w:after="0"/>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81,375</w:t>
            </w:r>
          </w:p>
        </w:tc>
      </w:tr>
      <w:tr>
        <w:trPr>
          <w:trHeight w:val="203"/>
        </w:trPr>
        <w:tc>
          <w:tcPr>
            <w:tcW w:w="486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21,788</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11,584</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67,047</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33,773</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spacing w:after="0" w:line="203" w:lineRule="exact"/>
              <w:rPr>
                <w:sz w:val="20"/>
                <w:szCs w:val="20"/>
                <w:color w:val="auto"/>
              </w:rPr>
            </w:pPr>
            <w:r>
              <w:rPr>
                <w:rFonts w:ascii="Courier New" w:cs="Courier New" w:eastAsia="Courier New" w:hAnsi="Courier New"/>
                <w:sz w:val="18"/>
                <w:szCs w:val="18"/>
                <w:color w:val="auto"/>
              </w:rPr>
              <w:t>Gross profit</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24,055</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15,412</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76,847</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47,602</w:t>
            </w:r>
          </w:p>
        </w:tc>
      </w:tr>
      <w:tr>
        <w:trPr>
          <w:trHeight w:val="203"/>
        </w:trPr>
        <w:tc>
          <w:tcPr>
            <w:tcW w:w="486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4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11,786</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5,368</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35,152</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14,452</w:t>
            </w: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Selling and marketing</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6,305</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3,180</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21,686</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10,436</w:t>
            </w: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1,908</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1,215</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6,185</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3,443</w:t>
            </w: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Amortization of stock compensation</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1,632</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1,610</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8,259</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2,175</w:t>
            </w: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Amortization of goodwill</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6,431</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6,431</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Amortization of purchased intangible</w:t>
            </w:r>
          </w:p>
        </w:tc>
        <w:tc>
          <w:tcPr>
            <w:tcW w:w="4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4860" w:type="dxa"/>
            <w:vAlign w:val="bottom"/>
          </w:tcPr>
          <w:p>
            <w:pPr>
              <w:ind w:left="860"/>
              <w:spacing w:after="0" w:line="203" w:lineRule="exact"/>
              <w:rPr>
                <w:sz w:val="20"/>
                <w:szCs w:val="20"/>
                <w:color w:val="auto"/>
              </w:rPr>
            </w:pPr>
            <w:r>
              <w:rPr>
                <w:rFonts w:ascii="Courier New" w:cs="Courier New" w:eastAsia="Courier New" w:hAnsi="Courier New"/>
                <w:sz w:val="18"/>
                <w:szCs w:val="18"/>
                <w:color w:val="auto"/>
              </w:rPr>
              <w:t>assets</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1,600</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1,600</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In-process research and development</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234,874</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234,874</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ind w:left="1480"/>
              <w:spacing w:after="0" w:line="203" w:lineRule="exact"/>
              <w:rPr>
                <w:sz w:val="20"/>
                <w:szCs w:val="20"/>
                <w:color w:val="auto"/>
              </w:rPr>
            </w:pPr>
            <w:r>
              <w:rPr>
                <w:rFonts w:ascii="Courier New" w:cs="Courier New" w:eastAsia="Courier New" w:hAnsi="Courier New"/>
                <w:sz w:val="18"/>
                <w:szCs w:val="18"/>
                <w:color w:val="auto"/>
              </w:rPr>
              <w:t>Total operating expenses</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264,536</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11,373</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314,187</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30,506</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income (loss)</w:t>
            </w:r>
          </w:p>
        </w:tc>
        <w:tc>
          <w:tcPr>
            <w:tcW w:w="420" w:type="dxa"/>
            <w:vAlign w:val="bottom"/>
          </w:tcPr>
          <w:p>
            <w:pPr>
              <w:spacing w:after="0"/>
              <w:rPr>
                <w:sz w:val="17"/>
                <w:szCs w:val="17"/>
                <w:color w:val="auto"/>
              </w:rPr>
            </w:pPr>
          </w:p>
        </w:tc>
        <w:tc>
          <w:tcPr>
            <w:tcW w:w="12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4"/>
              </w:rPr>
              <w:t>(240,481)</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4,039</w:t>
            </w:r>
          </w:p>
        </w:tc>
        <w:tc>
          <w:tcPr>
            <w:tcW w:w="420" w:type="dxa"/>
            <w:vAlign w:val="bottom"/>
          </w:tcPr>
          <w:p>
            <w:pPr>
              <w:spacing w:after="0"/>
              <w:rPr>
                <w:sz w:val="17"/>
                <w:szCs w:val="17"/>
                <w:color w:val="auto"/>
              </w:rPr>
            </w:pPr>
          </w:p>
        </w:tc>
        <w:tc>
          <w:tcPr>
            <w:tcW w:w="12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4"/>
              </w:rPr>
              <w:t>(237,340)</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17,096</w:t>
            </w:r>
          </w:p>
        </w:tc>
      </w:tr>
      <w:tr>
        <w:trPr>
          <w:trHeight w:val="203"/>
        </w:trPr>
        <w:tc>
          <w:tcPr>
            <w:tcW w:w="4860" w:type="dxa"/>
            <w:vAlign w:val="bottom"/>
          </w:tcPr>
          <w:p>
            <w:pPr>
              <w:spacing w:after="0" w:line="203" w:lineRule="exact"/>
              <w:rPr>
                <w:sz w:val="20"/>
                <w:szCs w:val="20"/>
                <w:color w:val="auto"/>
              </w:rPr>
            </w:pPr>
            <w:r>
              <w:rPr>
                <w:rFonts w:ascii="Courier New" w:cs="Courier New" w:eastAsia="Courier New" w:hAnsi="Courier New"/>
                <w:sz w:val="18"/>
                <w:szCs w:val="18"/>
                <w:color w:val="auto"/>
              </w:rPr>
              <w:t>Interest income, net</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1,714</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206</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4,559</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330</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spacing w:after="0" w:line="203" w:lineRule="exact"/>
              <w:rPr>
                <w:sz w:val="20"/>
                <w:szCs w:val="20"/>
                <w:color w:val="auto"/>
              </w:rPr>
            </w:pPr>
            <w:r>
              <w:rPr>
                <w:rFonts w:ascii="Courier New" w:cs="Courier New" w:eastAsia="Courier New" w:hAnsi="Courier New"/>
                <w:sz w:val="18"/>
                <w:szCs w:val="18"/>
                <w:color w:val="auto"/>
              </w:rPr>
              <w:t>Income (loss) before income taxes</w:t>
            </w:r>
          </w:p>
        </w:tc>
        <w:tc>
          <w:tcPr>
            <w:tcW w:w="420" w:type="dxa"/>
            <w:vAlign w:val="bottom"/>
          </w:tcPr>
          <w:p>
            <w:pPr>
              <w:spacing w:after="0"/>
              <w:rPr>
                <w:sz w:val="17"/>
                <w:szCs w:val="17"/>
                <w:color w:val="auto"/>
              </w:rPr>
            </w:pPr>
          </w:p>
        </w:tc>
        <w:tc>
          <w:tcPr>
            <w:tcW w:w="12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4"/>
              </w:rPr>
              <w:t>(238,767)</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4,245</w:t>
            </w:r>
          </w:p>
        </w:tc>
        <w:tc>
          <w:tcPr>
            <w:tcW w:w="420" w:type="dxa"/>
            <w:vAlign w:val="bottom"/>
          </w:tcPr>
          <w:p>
            <w:pPr>
              <w:spacing w:after="0"/>
              <w:rPr>
                <w:sz w:val="17"/>
                <w:szCs w:val="17"/>
                <w:color w:val="auto"/>
              </w:rPr>
            </w:pPr>
          </w:p>
        </w:tc>
        <w:tc>
          <w:tcPr>
            <w:tcW w:w="12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4"/>
              </w:rPr>
              <w:t>(232,781)</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17,426</w:t>
            </w:r>
          </w:p>
        </w:tc>
      </w:tr>
      <w:tr>
        <w:trPr>
          <w:trHeight w:val="203"/>
        </w:trPr>
        <w:tc>
          <w:tcPr>
            <w:tcW w:w="4860" w:type="dxa"/>
            <w:vAlign w:val="bottom"/>
          </w:tcPr>
          <w:p>
            <w:pPr>
              <w:spacing w:after="0" w:line="203" w:lineRule="exact"/>
              <w:rPr>
                <w:sz w:val="20"/>
                <w:szCs w:val="20"/>
                <w:color w:val="auto"/>
              </w:rPr>
            </w:pPr>
            <w:r>
              <w:rPr>
                <w:rFonts w:ascii="Courier New" w:cs="Courier New" w:eastAsia="Courier New" w:hAnsi="Courier New"/>
                <w:sz w:val="18"/>
                <w:szCs w:val="18"/>
                <w:color w:val="auto"/>
              </w:rPr>
              <w:t>Provision for income taxes</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843</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1,061</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2,339</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4,356</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spacing w:after="0" w:line="203" w:lineRule="exact"/>
              <w:rPr>
                <w:sz w:val="20"/>
                <w:szCs w:val="20"/>
                <w:color w:val="auto"/>
              </w:rPr>
            </w:pPr>
            <w:r>
              <w:rPr>
                <w:rFonts w:ascii="Courier New" w:cs="Courier New" w:eastAsia="Courier New" w:hAnsi="Courier New"/>
                <w:sz w:val="18"/>
                <w:szCs w:val="18"/>
                <w:color w:val="auto"/>
              </w:rPr>
              <w:t>Net income (loss)</w:t>
            </w: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$(239,610)</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3,184</w:t>
            </w:r>
          </w:p>
        </w:tc>
        <w:tc>
          <w:tcPr>
            <w:tcW w:w="16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$(235,120)</w:t>
            </w:r>
          </w:p>
        </w:tc>
        <w:tc>
          <w:tcPr>
            <w:tcW w:w="54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13,070</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860" w:type="dxa"/>
            <w:vAlign w:val="bottom"/>
          </w:tcPr>
          <w:p>
            <w:pPr>
              <w:spacing w:after="0"/>
              <w:rPr>
                <w:sz w:val="20"/>
                <w:szCs w:val="20"/>
                <w:color w:val="auto"/>
              </w:rPr>
            </w:pPr>
            <w:r>
              <w:rPr>
                <w:rFonts w:ascii="Courier New" w:cs="Courier New" w:eastAsia="Courier New" w:hAnsi="Courier New"/>
                <w:sz w:val="18"/>
                <w:szCs w:val="18"/>
                <w:color w:val="auto"/>
              </w:rPr>
              <w:t>Net income (loss) per share:</w:t>
            </w:r>
          </w:p>
        </w:tc>
        <w:tc>
          <w:tcPr>
            <w:tcW w:w="4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940" w:type="dxa"/>
            <w:vAlign w:val="bottom"/>
          </w:tcPr>
          <w:p>
            <w:pPr>
              <w:spacing w:after="0"/>
              <w:rPr>
                <w:sz w:val="24"/>
                <w:szCs w:val="24"/>
                <w:color w:val="auto"/>
              </w:rPr>
            </w:pP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Basic</w:t>
            </w:r>
          </w:p>
        </w:tc>
        <w:tc>
          <w:tcPr>
            <w:tcW w:w="420" w:type="dxa"/>
            <w:vAlign w:val="bottom"/>
          </w:tcPr>
          <w:p>
            <w:pPr>
              <w:ind w:left="300"/>
              <w:spacing w:after="0" w:line="203" w:lineRule="exact"/>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(2.85)</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0.08</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(3.55)</w:t>
            </w:r>
          </w:p>
        </w:tc>
        <w:tc>
          <w:tcPr>
            <w:tcW w:w="54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0.32</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Diluted</w:t>
            </w:r>
          </w:p>
        </w:tc>
        <w:tc>
          <w:tcPr>
            <w:tcW w:w="420" w:type="dxa"/>
            <w:vAlign w:val="bottom"/>
          </w:tcPr>
          <w:p>
            <w:pPr>
              <w:ind w:left="300"/>
              <w:spacing w:after="0" w:line="203" w:lineRule="exact"/>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(2.85)</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0.04</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2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(3.55)</w:t>
            </w:r>
          </w:p>
        </w:tc>
        <w:tc>
          <w:tcPr>
            <w:tcW w:w="54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0.16</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spacing w:after="0" w:line="203" w:lineRule="exact"/>
              <w:rPr>
                <w:sz w:val="20"/>
                <w:szCs w:val="20"/>
                <w:color w:val="auto"/>
              </w:rPr>
            </w:pPr>
            <w:r>
              <w:rPr>
                <w:rFonts w:ascii="Courier New" w:cs="Courier New" w:eastAsia="Courier New" w:hAnsi="Courier New"/>
                <w:sz w:val="18"/>
                <w:szCs w:val="18"/>
                <w:color w:val="auto"/>
              </w:rPr>
              <w:t>Weighted average common shares outstanding:</w:t>
            </w:r>
          </w:p>
        </w:tc>
        <w:tc>
          <w:tcPr>
            <w:tcW w:w="4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Basic</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84,007</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42,051</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66,259</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41,094</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860" w:type="dxa"/>
            <w:vAlign w:val="bottom"/>
          </w:tcPr>
          <w:p>
            <w:pPr>
              <w:ind w:left="640"/>
              <w:spacing w:after="0" w:line="203" w:lineRule="exact"/>
              <w:rPr>
                <w:sz w:val="20"/>
                <w:szCs w:val="20"/>
                <w:color w:val="auto"/>
              </w:rPr>
            </w:pPr>
            <w:r>
              <w:rPr>
                <w:rFonts w:ascii="Courier New" w:cs="Courier New" w:eastAsia="Courier New" w:hAnsi="Courier New"/>
                <w:sz w:val="18"/>
                <w:szCs w:val="18"/>
                <w:color w:val="auto"/>
              </w:rPr>
              <w:t>Diluted</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84,007</w:t>
            </w:r>
          </w:p>
        </w:tc>
        <w:tc>
          <w:tcPr>
            <w:tcW w:w="520" w:type="dxa"/>
            <w:vAlign w:val="bottom"/>
          </w:tcPr>
          <w:p>
            <w:pPr>
              <w:spacing w:after="0"/>
              <w:rPr>
                <w:sz w:val="17"/>
                <w:szCs w:val="17"/>
                <w:color w:val="auto"/>
              </w:rPr>
            </w:pPr>
          </w:p>
        </w:tc>
        <w:tc>
          <w:tcPr>
            <w:tcW w:w="106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84,823</w:t>
            </w:r>
          </w:p>
        </w:tc>
        <w:tc>
          <w:tcPr>
            <w:tcW w:w="420" w:type="dxa"/>
            <w:vAlign w:val="bottom"/>
          </w:tcPr>
          <w:p>
            <w:pPr>
              <w:spacing w:after="0"/>
              <w:rPr>
                <w:sz w:val="17"/>
                <w:szCs w:val="17"/>
                <w:color w:val="auto"/>
              </w:rPr>
            </w:pP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66,259</w:t>
            </w:r>
          </w:p>
        </w:tc>
        <w:tc>
          <w:tcPr>
            <w:tcW w:w="540" w:type="dxa"/>
            <w:vAlign w:val="bottom"/>
          </w:tcPr>
          <w:p>
            <w:pPr>
              <w:spacing w:after="0"/>
              <w:rPr>
                <w:sz w:val="17"/>
                <w:szCs w:val="17"/>
                <w:color w:val="auto"/>
              </w:rPr>
            </w:pPr>
          </w:p>
        </w:tc>
        <w:tc>
          <w:tcPr>
            <w:tcW w:w="9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81,545</w:t>
            </w:r>
          </w:p>
        </w:tc>
      </w:tr>
      <w:tr>
        <w:trPr>
          <w:trHeight w:val="203"/>
        </w:trPr>
        <w:tc>
          <w:tcPr>
            <w:tcW w:w="4860" w:type="dxa"/>
            <w:vAlign w:val="bottom"/>
          </w:tcPr>
          <w:p>
            <w:pPr>
              <w:spacing w:after="0"/>
              <w:rPr>
                <w:sz w:val="17"/>
                <w:szCs w:val="17"/>
                <w:color w:val="auto"/>
              </w:rPr>
            </w:pP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232"/>
              <w:spacing w:after="0" w:line="203" w:lineRule="exact"/>
              <w:rPr>
                <w:sz w:val="20"/>
                <w:szCs w:val="20"/>
                <w:color w:val="auto"/>
              </w:rPr>
            </w:pPr>
            <w:r>
              <w:rPr>
                <w:rFonts w:ascii="Courier New" w:cs="Courier New" w:eastAsia="Courier New" w:hAnsi="Courier New"/>
                <w:sz w:val="18"/>
                <w:szCs w:val="18"/>
                <w:color w:val="auto"/>
              </w:rPr>
              <w:t>=========</w:t>
            </w:r>
          </w:p>
        </w:tc>
        <w:tc>
          <w:tcPr>
            <w:tcW w:w="16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bl>
    <w:p>
      <w:pPr>
        <w:sectPr>
          <w:pgSz w:w="11900" w:h="16838" w:orient="portrait"/>
          <w:cols w:equalWidth="0" w:num="1">
            <w:col w:w="11280"/>
          </w:cols>
          <w:pgMar w:left="240" w:top="312" w:right="379" w:bottom="1440" w:gutter="0" w:footer="0" w:header="0"/>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679"/>
        <w:spacing w:after="0" w:line="238" w:lineRule="auto"/>
        <w:rPr>
          <w:sz w:val="20"/>
          <w:szCs w:val="20"/>
          <w:color w:val="auto"/>
        </w:rPr>
      </w:pPr>
      <w:r>
        <w:rPr>
          <w:rFonts w:ascii="Courier New" w:cs="Courier New" w:eastAsia="Courier New" w:hAnsi="Courier New"/>
          <w:sz w:val="18"/>
          <w:szCs w:val="18"/>
          <w:color w:val="auto"/>
        </w:rPr>
        <w:t>CONDENSED CONSOLIDATED BALANCE SHEETS</w:t>
      </w:r>
    </w:p>
    <w:p>
      <w:pPr>
        <w:jc w:val="center"/>
        <w:ind w:right="1679"/>
        <w:spacing w:after="0"/>
        <w:rPr>
          <w:sz w:val="20"/>
          <w:szCs w:val="20"/>
          <w:color w:val="auto"/>
        </w:rPr>
      </w:pPr>
      <w:r>
        <w:rPr>
          <w:rFonts w:ascii="Courier New" w:cs="Courier New" w:eastAsia="Courier New" w:hAnsi="Courier New"/>
          <w:sz w:val="18"/>
          <w:szCs w:val="18"/>
          <w:color w:val="auto"/>
        </w:rPr>
        <w:t>(UNAUDITED)</w:t>
      </w:r>
    </w:p>
    <w:p>
      <w:pPr>
        <w:jc w:val="center"/>
        <w:ind w:right="1679"/>
        <w:spacing w:after="0" w:line="237" w:lineRule="auto"/>
        <w:rPr>
          <w:sz w:val="20"/>
          <w:szCs w:val="20"/>
          <w:color w:val="auto"/>
        </w:rPr>
      </w:pPr>
      <w:r>
        <w:rPr>
          <w:rFonts w:ascii="Courier New" w:cs="Courier New" w:eastAsia="Courier New" w:hAnsi="Courier New"/>
          <w:sz w:val="18"/>
          <w:szCs w:val="18"/>
          <w:color w:val="auto"/>
        </w:rPr>
        <w:t>(IN THOUSANDS, EXCEPT SHARE DATA)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120" w:type="dxa"/>
            <w:vAlign w:val="bottom"/>
          </w:tcPr>
          <w:p>
            <w:pPr>
              <w:spacing w:after="0"/>
              <w:rPr>
                <w:sz w:val="17"/>
                <w:szCs w:val="17"/>
                <w:color w:val="auto"/>
              </w:rPr>
            </w:pPr>
          </w:p>
        </w:tc>
        <w:tc>
          <w:tcPr>
            <w:tcW w:w="190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JANUARY 27,</w:t>
            </w:r>
          </w:p>
        </w:tc>
        <w:tc>
          <w:tcPr>
            <w:tcW w:w="1580" w:type="dxa"/>
            <w:vAlign w:val="bottom"/>
            <w:gridSpan w:val="2"/>
          </w:tcPr>
          <w:p>
            <w:pPr>
              <w:ind w:left="320"/>
              <w:spacing w:after="0"/>
              <w:rPr>
                <w:sz w:val="20"/>
                <w:szCs w:val="20"/>
                <w:color w:val="auto"/>
              </w:rPr>
            </w:pPr>
            <w:r>
              <w:rPr>
                <w:rFonts w:ascii="Courier New" w:cs="Courier New" w:eastAsia="Courier New" w:hAnsi="Courier New"/>
                <w:sz w:val="18"/>
                <w:szCs w:val="18"/>
                <w:color w:val="auto"/>
              </w:rPr>
              <w:t>JANUARY 29,</w:t>
            </w:r>
          </w:p>
        </w:tc>
      </w:tr>
      <w:tr>
        <w:trPr>
          <w:trHeight w:val="203"/>
        </w:trPr>
        <w:tc>
          <w:tcPr>
            <w:tcW w:w="61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420" w:type="dxa"/>
            <w:vAlign w:val="bottom"/>
          </w:tcPr>
          <w:p>
            <w:pPr>
              <w:jc w:val="right"/>
              <w:ind w:right="752"/>
              <w:spacing w:after="0" w:line="203" w:lineRule="exact"/>
              <w:rPr>
                <w:sz w:val="20"/>
                <w:szCs w:val="20"/>
                <w:color w:val="auto"/>
              </w:rPr>
            </w:pPr>
            <w:r>
              <w:rPr>
                <w:rFonts w:ascii="Courier New" w:cs="Courier New" w:eastAsia="Courier New" w:hAnsi="Courier New"/>
                <w:sz w:val="18"/>
                <w:szCs w:val="18"/>
                <w:color w:val="auto"/>
              </w:rPr>
              <w:t>2001</w:t>
            </w:r>
          </w:p>
        </w:tc>
        <w:tc>
          <w:tcPr>
            <w:tcW w:w="520" w:type="dxa"/>
            <w:vAlign w:val="bottom"/>
          </w:tcPr>
          <w:p>
            <w:pPr>
              <w:spacing w:after="0"/>
              <w:rPr>
                <w:sz w:val="17"/>
                <w:szCs w:val="17"/>
                <w:color w:val="auto"/>
              </w:rPr>
            </w:pPr>
          </w:p>
        </w:tc>
        <w:tc>
          <w:tcPr>
            <w:tcW w:w="106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2000</w:t>
            </w:r>
          </w:p>
        </w:tc>
      </w:tr>
      <w:tr>
        <w:trPr>
          <w:trHeight w:val="203"/>
        </w:trPr>
        <w:tc>
          <w:tcPr>
            <w:tcW w:w="6120" w:type="dxa"/>
            <w:vAlign w:val="bottom"/>
          </w:tcPr>
          <w:p>
            <w:pPr>
              <w:spacing w:after="0"/>
              <w:rPr>
                <w:sz w:val="17"/>
                <w:szCs w:val="17"/>
                <w:color w:val="auto"/>
              </w:rPr>
            </w:pP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6120" w:type="dxa"/>
            <w:vAlign w:val="bottom"/>
          </w:tcPr>
          <w:p>
            <w:pPr>
              <w:spacing w:after="0"/>
              <w:rPr>
                <w:sz w:val="20"/>
                <w:szCs w:val="20"/>
                <w:color w:val="auto"/>
              </w:rPr>
            </w:pPr>
            <w:r>
              <w:rPr>
                <w:rFonts w:ascii="Courier New" w:cs="Courier New" w:eastAsia="Courier New" w:hAnsi="Courier New"/>
                <w:sz w:val="18"/>
                <w:szCs w:val="18"/>
                <w:color w:val="auto"/>
              </w:rPr>
              <w:t>ASSETS</w:t>
            </w:r>
          </w:p>
        </w:tc>
        <w:tc>
          <w:tcPr>
            <w:tcW w:w="4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assets:</w:t>
            </w:r>
          </w:p>
        </w:tc>
        <w:tc>
          <w:tcPr>
            <w:tcW w:w="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Cash, cash equivalents and short-term investments</w:t>
            </w:r>
          </w:p>
        </w:tc>
        <w:tc>
          <w:tcPr>
            <w:tcW w:w="4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224,063</w:t>
            </w:r>
          </w:p>
        </w:tc>
        <w:tc>
          <w:tcPr>
            <w:tcW w:w="5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16,600</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Accounts receivable, net of allowance</w:t>
            </w:r>
          </w:p>
        </w:tc>
        <w:tc>
          <w:tcPr>
            <w:tcW w:w="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r>
      <w:tr>
        <w:trPr>
          <w:trHeight w:val="203"/>
        </w:trPr>
        <w:tc>
          <w:tcPr>
            <w:tcW w:w="6120" w:type="dxa"/>
            <w:vAlign w:val="bottom"/>
          </w:tcPr>
          <w:p>
            <w:pPr>
              <w:ind w:left="860"/>
              <w:spacing w:after="0" w:line="203" w:lineRule="exact"/>
              <w:rPr>
                <w:sz w:val="20"/>
                <w:szCs w:val="20"/>
                <w:color w:val="auto"/>
              </w:rPr>
            </w:pPr>
            <w:r>
              <w:rPr>
                <w:rFonts w:ascii="Courier New" w:cs="Courier New" w:eastAsia="Courier New" w:hAnsi="Courier New"/>
                <w:sz w:val="18"/>
                <w:szCs w:val="18"/>
                <w:color w:val="auto"/>
              </w:rPr>
              <w:t>for doubtful accounts of $100</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37,543</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14,701</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Inventory, net</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30,924</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4,830</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Prepaid expenses and other current assets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11,479</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2,651</w:t>
            </w:r>
          </w:p>
        </w:tc>
      </w:tr>
      <w:tr>
        <w:trPr>
          <w:trHeight w:val="203"/>
        </w:trPr>
        <w:tc>
          <w:tcPr>
            <w:tcW w:w="6120" w:type="dxa"/>
            <w:vAlign w:val="bottom"/>
          </w:tcPr>
          <w:p>
            <w:pPr>
              <w:spacing w:after="0"/>
              <w:rPr>
                <w:sz w:val="17"/>
                <w:szCs w:val="17"/>
                <w:color w:val="auto"/>
              </w:rPr>
            </w:pP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Total current assets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304,009</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38,782</w:t>
            </w:r>
          </w:p>
        </w:tc>
      </w:tr>
      <w:tr>
        <w:trPr>
          <w:trHeight w:val="405"/>
        </w:trPr>
        <w:tc>
          <w:tcPr>
            <w:tcW w:w="6120" w:type="dxa"/>
            <w:vAlign w:val="bottom"/>
          </w:tcPr>
          <w:p>
            <w:pPr>
              <w:spacing w:after="0"/>
              <w:rPr>
                <w:sz w:val="20"/>
                <w:szCs w:val="20"/>
                <w:color w:val="auto"/>
              </w:rPr>
            </w:pPr>
            <w:r>
              <w:rPr>
                <w:rFonts w:ascii="Courier New" w:cs="Courier New" w:eastAsia="Courier New" w:hAnsi="Courier New"/>
                <w:sz w:val="18"/>
                <w:szCs w:val="18"/>
                <w:color w:val="auto"/>
              </w:rPr>
              <w:t>Property and equipment, net</w:t>
            </w:r>
          </w:p>
        </w:tc>
        <w:tc>
          <w:tcPr>
            <w:tcW w:w="480" w:type="dxa"/>
            <w:vAlign w:val="bottom"/>
          </w:tcPr>
          <w:p>
            <w:pPr>
              <w:spacing w:after="0"/>
              <w:rPr>
                <w:sz w:val="24"/>
                <w:szCs w:val="24"/>
                <w:color w:val="auto"/>
              </w:rPr>
            </w:pPr>
          </w:p>
        </w:tc>
        <w:tc>
          <w:tcPr>
            <w:tcW w:w="14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31,184</w:t>
            </w:r>
          </w:p>
        </w:tc>
        <w:tc>
          <w:tcPr>
            <w:tcW w:w="520" w:type="dxa"/>
            <w:vAlign w:val="bottom"/>
          </w:tcPr>
          <w:p>
            <w:pPr>
              <w:spacing w:after="0"/>
              <w:rPr>
                <w:sz w:val="24"/>
                <w:szCs w:val="24"/>
                <w:color w:val="auto"/>
              </w:rPr>
            </w:pPr>
          </w:p>
        </w:tc>
        <w:tc>
          <w:tcPr>
            <w:tcW w:w="1060" w:type="dxa"/>
            <w:vAlign w:val="bottom"/>
          </w:tcPr>
          <w:p>
            <w:pPr>
              <w:jc w:val="right"/>
              <w:ind w:right="32"/>
              <w:spacing w:after="0"/>
              <w:rPr>
                <w:sz w:val="20"/>
                <w:szCs w:val="20"/>
                <w:color w:val="auto"/>
              </w:rPr>
            </w:pPr>
            <w:r>
              <w:rPr>
                <w:rFonts w:ascii="Courier New" w:cs="Courier New" w:eastAsia="Courier New" w:hAnsi="Courier New"/>
                <w:sz w:val="18"/>
                <w:szCs w:val="18"/>
                <w:color w:val="auto"/>
              </w:rPr>
              <w:t>7,413</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Goodwill and intangible assets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2,100,839</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Other noncurrent assets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11,454</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305</w:t>
            </w:r>
          </w:p>
        </w:tc>
      </w:tr>
      <w:tr>
        <w:trPr>
          <w:trHeight w:val="203"/>
        </w:trPr>
        <w:tc>
          <w:tcPr>
            <w:tcW w:w="6120" w:type="dxa"/>
            <w:vAlign w:val="bottom"/>
          </w:tcPr>
          <w:p>
            <w:pPr>
              <w:spacing w:after="0"/>
              <w:rPr>
                <w:sz w:val="17"/>
                <w:szCs w:val="17"/>
                <w:color w:val="auto"/>
              </w:rPr>
            </w:pP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Total assets</w:t>
            </w: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$ 2,447,486</w:t>
            </w:r>
          </w:p>
        </w:tc>
        <w:tc>
          <w:tcPr>
            <w:tcW w:w="5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46,500</w:t>
            </w:r>
          </w:p>
        </w:tc>
      </w:tr>
      <w:tr>
        <w:trPr>
          <w:trHeight w:val="203"/>
        </w:trPr>
        <w:tc>
          <w:tcPr>
            <w:tcW w:w="6120" w:type="dxa"/>
            <w:vAlign w:val="bottom"/>
          </w:tcPr>
          <w:p>
            <w:pPr>
              <w:spacing w:after="0"/>
              <w:rPr>
                <w:sz w:val="17"/>
                <w:szCs w:val="17"/>
                <w:color w:val="auto"/>
              </w:rPr>
            </w:pP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6120" w:type="dxa"/>
            <w:vAlign w:val="bottom"/>
          </w:tcPr>
          <w:p>
            <w:pPr>
              <w:spacing w:after="0"/>
              <w:rPr>
                <w:sz w:val="20"/>
                <w:szCs w:val="20"/>
                <w:color w:val="auto"/>
              </w:rPr>
            </w:pPr>
            <w:r>
              <w:rPr>
                <w:rFonts w:ascii="Courier New" w:cs="Courier New" w:eastAsia="Courier New" w:hAnsi="Courier New"/>
                <w:sz w:val="18"/>
                <w:szCs w:val="18"/>
                <w:color w:val="auto"/>
              </w:rPr>
              <w:t>LIABILITIES AND SHAREHOLDERS' EQUITY</w:t>
            </w:r>
          </w:p>
        </w:tc>
        <w:tc>
          <w:tcPr>
            <w:tcW w:w="4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liabilities:</w:t>
            </w:r>
          </w:p>
        </w:tc>
        <w:tc>
          <w:tcPr>
            <w:tcW w:w="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Accounts payable</w:t>
            </w:r>
          </w:p>
        </w:tc>
        <w:tc>
          <w:tcPr>
            <w:tcW w:w="4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24,818</w:t>
            </w:r>
          </w:p>
        </w:tc>
        <w:tc>
          <w:tcPr>
            <w:tcW w:w="5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5,698</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Accrued liabilities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17,323</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4,524</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Accrued merger costs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29,530</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Income taxes payable</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9,998</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5,875</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Deferred revenue</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6,516</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Capital lease obligations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37</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74</w:t>
            </w:r>
          </w:p>
        </w:tc>
      </w:tr>
      <w:tr>
        <w:trPr>
          <w:trHeight w:val="203"/>
        </w:trPr>
        <w:tc>
          <w:tcPr>
            <w:tcW w:w="6120" w:type="dxa"/>
            <w:vAlign w:val="bottom"/>
          </w:tcPr>
          <w:p>
            <w:pPr>
              <w:spacing w:after="0"/>
              <w:rPr>
                <w:sz w:val="17"/>
                <w:szCs w:val="17"/>
                <w:color w:val="auto"/>
              </w:rPr>
            </w:pP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Total current liabilities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88,222</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16,171</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Long-term liabilities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2,598</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36</w:t>
            </w:r>
          </w:p>
        </w:tc>
      </w:tr>
      <w:tr>
        <w:trPr>
          <w:trHeight w:val="203"/>
        </w:trPr>
        <w:tc>
          <w:tcPr>
            <w:tcW w:w="6120" w:type="dxa"/>
            <w:vAlign w:val="bottom"/>
          </w:tcPr>
          <w:p>
            <w:pPr>
              <w:spacing w:after="0"/>
              <w:rPr>
                <w:sz w:val="17"/>
                <w:szCs w:val="17"/>
                <w:color w:val="auto"/>
              </w:rPr>
            </w:pP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Total liabilities</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90,820</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16,207</w:t>
            </w:r>
          </w:p>
        </w:tc>
      </w:tr>
      <w:tr>
        <w:trPr>
          <w:trHeight w:val="405"/>
        </w:trPr>
        <w:tc>
          <w:tcPr>
            <w:tcW w:w="6120" w:type="dxa"/>
            <w:vAlign w:val="bottom"/>
          </w:tcPr>
          <w:p>
            <w:pPr>
              <w:spacing w:after="0"/>
              <w:rPr>
                <w:sz w:val="20"/>
                <w:szCs w:val="20"/>
                <w:color w:val="auto"/>
              </w:rPr>
            </w:pPr>
            <w:r>
              <w:rPr>
                <w:rFonts w:ascii="Courier New" w:cs="Courier New" w:eastAsia="Courier New" w:hAnsi="Courier New"/>
                <w:sz w:val="18"/>
                <w:szCs w:val="18"/>
                <w:color w:val="auto"/>
              </w:rPr>
              <w:t>Mandatorily redeemable convertible preferred stock</w:t>
            </w:r>
          </w:p>
        </w:tc>
        <w:tc>
          <w:tcPr>
            <w:tcW w:w="480" w:type="dxa"/>
            <w:vAlign w:val="bottom"/>
          </w:tcPr>
          <w:p>
            <w:pPr>
              <w:spacing w:after="0"/>
              <w:rPr>
                <w:sz w:val="24"/>
                <w:szCs w:val="24"/>
                <w:color w:val="auto"/>
              </w:rPr>
            </w:pPr>
          </w:p>
        </w:tc>
        <w:tc>
          <w:tcPr>
            <w:tcW w:w="14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spacing w:after="0"/>
              <w:rPr>
                <w:sz w:val="24"/>
                <w:szCs w:val="24"/>
                <w:color w:val="auto"/>
              </w:rPr>
            </w:pPr>
          </w:p>
        </w:tc>
        <w:tc>
          <w:tcPr>
            <w:tcW w:w="1060" w:type="dxa"/>
            <w:vAlign w:val="bottom"/>
          </w:tcPr>
          <w:p>
            <w:pPr>
              <w:jc w:val="right"/>
              <w:ind w:right="32"/>
              <w:spacing w:after="0"/>
              <w:rPr>
                <w:sz w:val="20"/>
                <w:szCs w:val="20"/>
                <w:color w:val="auto"/>
              </w:rPr>
            </w:pPr>
            <w:r>
              <w:rPr>
                <w:rFonts w:ascii="Courier New" w:cs="Courier New" w:eastAsia="Courier New" w:hAnsi="Courier New"/>
                <w:sz w:val="18"/>
                <w:szCs w:val="18"/>
                <w:color w:val="auto"/>
              </w:rPr>
              <w:t>22,353</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Shareholders' equity:</w:t>
            </w:r>
          </w:p>
        </w:tc>
        <w:tc>
          <w:tcPr>
            <w:tcW w:w="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Common stock, $0.002 par value; 242,000,000 shares</w:t>
            </w:r>
          </w:p>
        </w:tc>
        <w:tc>
          <w:tcPr>
            <w:tcW w:w="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r>
      <w:tr>
        <w:trPr>
          <w:trHeight w:val="203"/>
        </w:trPr>
        <w:tc>
          <w:tcPr>
            <w:tcW w:w="6120" w:type="dxa"/>
            <w:vAlign w:val="bottom"/>
          </w:tcPr>
          <w:p>
            <w:pPr>
              <w:ind w:left="860"/>
              <w:spacing w:after="0" w:line="203" w:lineRule="exact"/>
              <w:rPr>
                <w:sz w:val="20"/>
                <w:szCs w:val="20"/>
                <w:color w:val="auto"/>
              </w:rPr>
            </w:pPr>
            <w:r>
              <w:rPr>
                <w:rFonts w:ascii="Courier New" w:cs="Courier New" w:eastAsia="Courier New" w:hAnsi="Courier New"/>
                <w:sz w:val="18"/>
                <w:szCs w:val="18"/>
                <w:color w:val="auto"/>
              </w:rPr>
              <w:t>authorized; 115,337,133 and 48,931,560 shares</w:t>
            </w:r>
          </w:p>
        </w:tc>
        <w:tc>
          <w:tcPr>
            <w:tcW w:w="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r>
      <w:tr>
        <w:trPr>
          <w:trHeight w:val="203"/>
        </w:trPr>
        <w:tc>
          <w:tcPr>
            <w:tcW w:w="6120" w:type="dxa"/>
            <w:vAlign w:val="bottom"/>
          </w:tcPr>
          <w:p>
            <w:pPr>
              <w:ind w:left="860"/>
              <w:spacing w:after="0" w:line="203" w:lineRule="exact"/>
              <w:rPr>
                <w:sz w:val="20"/>
                <w:szCs w:val="20"/>
                <w:color w:val="auto"/>
              </w:rPr>
            </w:pPr>
            <w:r>
              <w:rPr>
                <w:rFonts w:ascii="Courier New" w:cs="Courier New" w:eastAsia="Courier New" w:hAnsi="Courier New"/>
                <w:sz w:val="18"/>
                <w:szCs w:val="18"/>
                <w:color w:val="auto"/>
              </w:rPr>
              <w:t>issued and outstanding at January 27, 2001</w:t>
            </w:r>
          </w:p>
        </w:tc>
        <w:tc>
          <w:tcPr>
            <w:tcW w:w="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r>
      <w:tr>
        <w:trPr>
          <w:trHeight w:val="203"/>
        </w:trPr>
        <w:tc>
          <w:tcPr>
            <w:tcW w:w="6120" w:type="dxa"/>
            <w:vAlign w:val="bottom"/>
          </w:tcPr>
          <w:p>
            <w:pPr>
              <w:ind w:left="860"/>
              <w:spacing w:after="0" w:line="203" w:lineRule="exact"/>
              <w:rPr>
                <w:sz w:val="20"/>
                <w:szCs w:val="20"/>
                <w:color w:val="auto"/>
              </w:rPr>
            </w:pPr>
            <w:r>
              <w:rPr>
                <w:rFonts w:ascii="Courier New" w:cs="Courier New" w:eastAsia="Courier New" w:hAnsi="Courier New"/>
                <w:sz w:val="18"/>
                <w:szCs w:val="18"/>
                <w:color w:val="auto"/>
              </w:rPr>
              <w:t>and January 29, 2000, respectively</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231</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98</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Additional paid-in capital</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2,617,509</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17,580</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Deferred stock-based compensation</w:t>
            </w:r>
          </w:p>
        </w:tc>
        <w:tc>
          <w:tcPr>
            <w:tcW w:w="480" w:type="dxa"/>
            <w:vAlign w:val="bottom"/>
          </w:tcPr>
          <w:p>
            <w:pPr>
              <w:spacing w:after="0"/>
              <w:rPr>
                <w:sz w:val="17"/>
                <w:szCs w:val="17"/>
                <w:color w:val="auto"/>
              </w:rPr>
            </w:pPr>
          </w:p>
        </w:tc>
        <w:tc>
          <w:tcPr>
            <w:tcW w:w="14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(28,113)</w:t>
            </w:r>
          </w:p>
        </w:tc>
        <w:tc>
          <w:tcPr>
            <w:tcW w:w="52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(11,897)</w:t>
            </w:r>
          </w:p>
        </w:tc>
      </w:tr>
      <w:tr>
        <w:trPr>
          <w:trHeight w:val="203"/>
        </w:trPr>
        <w:tc>
          <w:tcPr>
            <w:tcW w:w="612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Retained earnings</w:t>
            </w:r>
          </w:p>
        </w:tc>
        <w:tc>
          <w:tcPr>
            <w:tcW w:w="480" w:type="dxa"/>
            <w:vAlign w:val="bottom"/>
          </w:tcPr>
          <w:p>
            <w:pPr>
              <w:spacing w:after="0"/>
              <w:rPr>
                <w:sz w:val="17"/>
                <w:szCs w:val="17"/>
                <w:color w:val="auto"/>
              </w:rPr>
            </w:pPr>
          </w:p>
        </w:tc>
        <w:tc>
          <w:tcPr>
            <w:tcW w:w="142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(232,961)</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2,159</w:t>
            </w:r>
          </w:p>
        </w:tc>
      </w:tr>
      <w:tr>
        <w:trPr>
          <w:trHeight w:val="203"/>
        </w:trPr>
        <w:tc>
          <w:tcPr>
            <w:tcW w:w="6120" w:type="dxa"/>
            <w:vAlign w:val="bottom"/>
          </w:tcPr>
          <w:p>
            <w:pPr>
              <w:spacing w:after="0"/>
              <w:rPr>
                <w:sz w:val="17"/>
                <w:szCs w:val="17"/>
                <w:color w:val="auto"/>
              </w:rPr>
            </w:pP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Total shareholders' equity</w:t>
            </w:r>
          </w:p>
        </w:tc>
        <w:tc>
          <w:tcPr>
            <w:tcW w:w="480" w:type="dxa"/>
            <w:vAlign w:val="bottom"/>
          </w:tcPr>
          <w:p>
            <w:pPr>
              <w:spacing w:after="0"/>
              <w:rPr>
                <w:sz w:val="17"/>
                <w:szCs w:val="17"/>
                <w:color w:val="auto"/>
              </w:rPr>
            </w:pP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2,356,666</w:t>
            </w:r>
          </w:p>
        </w:tc>
        <w:tc>
          <w:tcPr>
            <w:tcW w:w="520" w:type="dxa"/>
            <w:vAlign w:val="bottom"/>
          </w:tcPr>
          <w:p>
            <w:pPr>
              <w:spacing w:after="0"/>
              <w:rPr>
                <w:sz w:val="17"/>
                <w:szCs w:val="17"/>
                <w:color w:val="auto"/>
              </w:rPr>
            </w:pP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7,940</w:t>
            </w:r>
          </w:p>
        </w:tc>
      </w:tr>
      <w:tr>
        <w:trPr>
          <w:trHeight w:val="203"/>
        </w:trPr>
        <w:tc>
          <w:tcPr>
            <w:tcW w:w="6120" w:type="dxa"/>
            <w:vAlign w:val="bottom"/>
          </w:tcPr>
          <w:p>
            <w:pPr>
              <w:spacing w:after="0"/>
              <w:rPr>
                <w:sz w:val="17"/>
                <w:szCs w:val="17"/>
                <w:color w:val="auto"/>
              </w:rPr>
            </w:pP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6120" w:type="dxa"/>
            <w:vAlign w:val="bottom"/>
          </w:tcPr>
          <w:p>
            <w:pPr>
              <w:spacing w:after="0" w:line="203" w:lineRule="exact"/>
              <w:rPr>
                <w:sz w:val="20"/>
                <w:szCs w:val="20"/>
                <w:color w:val="auto"/>
              </w:rPr>
            </w:pPr>
            <w:r>
              <w:rPr>
                <w:rFonts w:ascii="Courier New" w:cs="Courier New" w:eastAsia="Courier New" w:hAnsi="Courier New"/>
                <w:sz w:val="18"/>
                <w:szCs w:val="18"/>
                <w:color w:val="auto"/>
              </w:rPr>
              <w:t>Total liabilities and shareholders' equity</w:t>
            </w: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$ 2,447,486</w:t>
            </w:r>
          </w:p>
        </w:tc>
        <w:tc>
          <w:tcPr>
            <w:tcW w:w="52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46,500</w:t>
            </w:r>
          </w:p>
        </w:tc>
      </w:tr>
      <w:tr>
        <w:trPr>
          <w:trHeight w:val="203"/>
        </w:trPr>
        <w:tc>
          <w:tcPr>
            <w:tcW w:w="6120" w:type="dxa"/>
            <w:vAlign w:val="bottom"/>
          </w:tcPr>
          <w:p>
            <w:pPr>
              <w:spacing w:after="0"/>
              <w:rPr>
                <w:sz w:val="17"/>
                <w:szCs w:val="17"/>
                <w:color w:val="auto"/>
              </w:rPr>
            </w:pPr>
          </w:p>
        </w:tc>
        <w:tc>
          <w:tcPr>
            <w:tcW w:w="190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1" w:lineRule="exact"/>
        <w:rPr>
          <w:sz w:val="20"/>
          <w:szCs w:val="20"/>
          <w:color w:val="auto"/>
        </w:rPr>
      </w:pP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2019-12-14T20:29:48Z</dcterms:created>
  <dcterms:modified xsi:type="dcterms:W3CDTF">2019-12-14T20:29:48Z</dcterms:modified>
</cp:coreProperties>
</file>