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2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2740"/>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4"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FORM 8-K</w:t>
      </w:r>
    </w:p>
    <w:p>
      <w:pPr>
        <w:spacing w:after="0" w:line="200" w:lineRule="exact"/>
        <w:rPr>
          <w:sz w:val="24"/>
          <w:szCs w:val="24"/>
          <w:color w:val="auto"/>
        </w:rPr>
      </w:pPr>
    </w:p>
    <w:p>
      <w:pPr>
        <w:spacing w:after="0" w:line="204"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CURRENT REPORT</w:t>
      </w: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ind w:left="2320"/>
        <w:spacing w:after="0" w:line="238" w:lineRule="auto"/>
        <w:rPr>
          <w:sz w:val="20"/>
          <w:szCs w:val="20"/>
          <w:color w:val="auto"/>
        </w:rPr>
      </w:pPr>
      <w:r>
        <w:rPr>
          <w:rFonts w:ascii="Courier New" w:cs="Courier New" w:eastAsia="Courier New" w:hAnsi="Courier New"/>
          <w:sz w:val="18"/>
          <w:szCs w:val="18"/>
          <w:color w:val="auto"/>
        </w:rPr>
        <w:t>THE SECURITIES EXCHANGE ACT OF 1934</w:t>
      </w:r>
    </w:p>
    <w:p>
      <w:pPr>
        <w:spacing w:after="0" w:line="202" w:lineRule="exact"/>
        <w:rPr>
          <w:sz w:val="24"/>
          <w:szCs w:val="24"/>
          <w:color w:val="auto"/>
        </w:rPr>
      </w:pPr>
    </w:p>
    <w:p>
      <w:pPr>
        <w:ind w:left="2320"/>
        <w:spacing w:after="0"/>
        <w:rPr>
          <w:sz w:val="20"/>
          <w:szCs w:val="20"/>
          <w:color w:val="auto"/>
        </w:rPr>
      </w:pPr>
      <w:r>
        <w:rPr>
          <w:rFonts w:ascii="Courier New" w:cs="Courier New" w:eastAsia="Courier New" w:hAnsi="Courier New"/>
          <w:sz w:val="18"/>
          <w:szCs w:val="18"/>
          <w:color w:val="auto"/>
        </w:rPr>
        <w:t>FEBRUARY 5, 2001 (JANUARY 21, 2001)</w:t>
      </w:r>
    </w:p>
    <w:p>
      <w:pPr>
        <w:ind w:left="1700"/>
        <w:spacing w:after="0" w:line="238" w:lineRule="auto"/>
        <w:rPr>
          <w:sz w:val="20"/>
          <w:szCs w:val="20"/>
          <w:color w:val="auto"/>
        </w:rPr>
      </w:pPr>
      <w:r>
        <w:rPr>
          <w:rFonts w:ascii="Courier New" w:cs="Courier New" w:eastAsia="Courier New" w:hAnsi="Courier New"/>
          <w:sz w:val="18"/>
          <w:szCs w:val="18"/>
          <w:color w:val="auto"/>
        </w:rPr>
        <w:t>DATE OF REPORT (DATE OF EARLIEST EVENT REPORTED)</w:t>
      </w:r>
    </w:p>
    <w:p>
      <w:pPr>
        <w:spacing w:after="0" w:line="202"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740"/>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1180"/>
          </w:cols>
          <w:pgMar w:left="240" w:top="244" w:right="4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6"/>
          <w:szCs w:val="16"/>
          <w:color w:val="auto"/>
        </w:rPr>
        <w:t>(STATE OR OTHER JURISDICTION OF</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940"/>
        <w:spacing w:after="0"/>
        <w:rPr>
          <w:sz w:val="20"/>
          <w:szCs w:val="20"/>
          <w:color w:val="auto"/>
        </w:rPr>
      </w:pPr>
      <w:r>
        <w:rPr>
          <w:rFonts w:ascii="Courier New" w:cs="Courier New" w:eastAsia="Courier New" w:hAnsi="Courier New"/>
          <w:sz w:val="18"/>
          <w:szCs w:val="18"/>
          <w:color w:val="auto"/>
        </w:rPr>
        <w:t>0-30877</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77-0481679</w:t>
      </w:r>
    </w:p>
    <w:p>
      <w:pPr>
        <w:spacing w:after="0" w:line="4"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(I.R.S. EMPLOYER IDENTIFICATION NO.)</w:t>
      </w:r>
    </w:p>
    <w:p>
      <w:pPr>
        <w:spacing w:after="0" w:line="21" w:lineRule="exact"/>
        <w:rPr>
          <w:sz w:val="24"/>
          <w:szCs w:val="24"/>
          <w:color w:val="auto"/>
        </w:rPr>
      </w:pPr>
    </w:p>
    <w:p>
      <w:pPr>
        <w:sectPr>
          <w:pgSz w:w="11900" w:h="16838" w:orient="portrait"/>
          <w:cols w:equalWidth="0" w:num="3">
            <w:col w:w="3500" w:space="720"/>
            <w:col w:w="2520" w:space="640"/>
            <w:col w:w="3800"/>
          </w:cols>
          <w:pgMar w:left="240" w:top="244" w:right="479" w:bottom="1440" w:gutter="0" w:footer="0" w:header="0"/>
          <w:type w:val="continuous"/>
        </w:sectPr>
      </w:pPr>
    </w:p>
    <w:p>
      <w:pPr>
        <w:ind w:left="120"/>
        <w:spacing w:after="0"/>
        <w:rPr>
          <w:sz w:val="20"/>
          <w:szCs w:val="20"/>
          <w:color w:val="auto"/>
        </w:rPr>
      </w:pPr>
      <w:r>
        <w:rPr>
          <w:rFonts w:ascii="Courier New" w:cs="Courier New" w:eastAsia="Courier New" w:hAnsi="Courier New"/>
          <w:sz w:val="16"/>
          <w:szCs w:val="16"/>
          <w:color w:val="auto"/>
        </w:rPr>
        <w:t>INCORPORATION OR ORGANIZATION)</w:t>
      </w:r>
    </w:p>
    <w:p>
      <w:pPr>
        <w:sectPr>
          <w:pgSz w:w="11900" w:h="16838" w:orient="portrait"/>
          <w:cols w:equalWidth="0" w:num="1">
            <w:col w:w="11180"/>
          </w:cols>
          <w:pgMar w:left="240" w:top="244" w:right="47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w:ind w:left="2220"/>
        <w:spacing w:after="0"/>
        <w:rPr>
          <w:sz w:val="20"/>
          <w:szCs w:val="20"/>
          <w:color w:val="auto"/>
        </w:rPr>
      </w:pPr>
      <w:r>
        <w:rPr>
          <w:rFonts w:ascii="Courier New" w:cs="Courier New" w:eastAsia="Courier New" w:hAnsi="Courier New"/>
          <w:sz w:val="18"/>
          <w:szCs w:val="18"/>
          <w:color w:val="auto"/>
        </w:rPr>
        <w:t>RICHMOND HOUSE</w:t>
      </w:r>
    </w:p>
    <w:p>
      <w:pPr>
        <w:ind w:left="2540"/>
        <w:spacing w:after="0" w:line="238" w:lineRule="auto"/>
        <w:rPr>
          <w:sz w:val="20"/>
          <w:szCs w:val="20"/>
          <w:color w:val="auto"/>
        </w:rPr>
      </w:pPr>
      <w:r>
        <w:rPr>
          <w:rFonts w:ascii="Courier New" w:cs="Courier New" w:eastAsia="Courier New" w:hAnsi="Courier New"/>
          <w:sz w:val="18"/>
          <w:szCs w:val="18"/>
          <w:color w:val="auto"/>
        </w:rPr>
        <w:t>3RD FLOOR</w:t>
      </w:r>
    </w:p>
    <w:p>
      <w:pPr>
        <w:ind w:left="2000"/>
        <w:spacing w:after="0"/>
        <w:rPr>
          <w:sz w:val="20"/>
          <w:szCs w:val="20"/>
          <w:color w:val="auto"/>
        </w:rPr>
      </w:pPr>
      <w:r>
        <w:rPr>
          <w:rFonts w:ascii="Courier New" w:cs="Courier New" w:eastAsia="Courier New" w:hAnsi="Courier New"/>
          <w:sz w:val="18"/>
          <w:szCs w:val="18"/>
          <w:color w:val="auto"/>
        </w:rPr>
        <w:t>12 PAR LA VILLE ROAD</w:t>
      </w:r>
    </w:p>
    <w:p>
      <w:pPr>
        <w:ind w:left="2220"/>
        <w:spacing w:after="0" w:line="237" w:lineRule="auto"/>
        <w:rPr>
          <w:sz w:val="20"/>
          <w:szCs w:val="20"/>
          <w:color w:val="auto"/>
        </w:rPr>
      </w:pPr>
      <w:r>
        <w:rPr>
          <w:rFonts w:ascii="Courier New" w:cs="Courier New" w:eastAsia="Courier New" w:hAnsi="Courier New"/>
          <w:sz w:val="18"/>
          <w:szCs w:val="18"/>
          <w:color w:val="auto"/>
        </w:rPr>
        <w:t>HAMILTON HM DX</w:t>
      </w:r>
    </w:p>
    <w:p>
      <w:pPr>
        <w:ind w:left="2540"/>
        <w:spacing w:after="0" w:line="238" w:lineRule="auto"/>
        <w:rPr>
          <w:sz w:val="20"/>
          <w:szCs w:val="20"/>
          <w:color w:val="auto"/>
        </w:rPr>
      </w:pPr>
      <w:r>
        <w:rPr>
          <w:rFonts w:ascii="Courier New" w:cs="Courier New" w:eastAsia="Courier New" w:hAnsi="Courier New"/>
          <w:sz w:val="18"/>
          <w:szCs w:val="18"/>
          <w:color w:val="auto"/>
        </w:rPr>
        <w:t>BERMUDA</w:t>
      </w:r>
    </w:p>
    <w:p>
      <w:pPr>
        <w:spacing w:after="0" w:line="5" w:lineRule="exact"/>
        <w:rPr>
          <w:sz w:val="24"/>
          <w:szCs w:val="24"/>
          <w:color w:val="auto"/>
        </w:rPr>
      </w:pPr>
    </w:p>
    <w:p>
      <w:pPr>
        <w:ind w:left="740"/>
        <w:spacing w:after="0"/>
        <w:rPr>
          <w:sz w:val="20"/>
          <w:szCs w:val="20"/>
          <w:color w:val="auto"/>
        </w:rPr>
      </w:pPr>
      <w:r>
        <w:rPr>
          <w:rFonts w:ascii="Courier New" w:cs="Courier New" w:eastAsia="Courier New" w:hAnsi="Courier New"/>
          <w:sz w:val="16"/>
          <w:szCs w:val="16"/>
          <w:color w:val="auto"/>
        </w:rPr>
        <w:t>(ADDRESS OF PRINCIPAL EXECUTIVE OFFICES)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(ZIP CODE)</w:t>
      </w:r>
    </w:p>
    <w:p>
      <w:pPr>
        <w:spacing w:after="0" w:line="200" w:lineRule="exact"/>
        <w:rPr>
          <w:sz w:val="24"/>
          <w:szCs w:val="24"/>
          <w:color w:val="auto"/>
        </w:rPr>
      </w:pPr>
    </w:p>
    <w:p>
      <w:pPr>
        <w:sectPr>
          <w:pgSz w:w="11900" w:h="16838" w:orient="portrait"/>
          <w:cols w:equalWidth="0" w:num="2">
            <w:col w:w="5720" w:space="720"/>
            <w:col w:w="4740"/>
          </w:cols>
          <w:pgMar w:left="240" w:top="244" w:right="479" w:bottom="1440" w:gutter="0" w:footer="0" w:header="0"/>
          <w:type w:val="continuous"/>
        </w:sectPr>
      </w:pPr>
    </w:p>
    <w:p>
      <w:pPr>
        <w:spacing w:after="0" w:line="22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N/A</w:t>
      </w:r>
    </w:p>
    <w:p>
      <w:pPr>
        <w:jc w:val="center"/>
        <w:ind w:right="2740"/>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1180"/>
          </w:cols>
          <w:pgMar w:left="240" w:top="244" w:right="479"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 ACQUISITION OR DISPOSITION OF ASSETS.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On January 21, 2001, Marvell Technology Group Ltd., a Bermuda corporation ("Marvell" or the "Registrant"), completed its acquisition of Galileo Technology Ltd., a company organized under the laws of Israel ("Galileo"), pursuant to the merger of Toshack Acquisitions Ltd., a company organized under the laws of Israel and a direct wholly owned subsidiary of Marvell ("Toshack") into Galileo. As a result of the merger, each outstanding ordinary share of Galileo was converted into the right to receive 0.674 shares of Marvell common stock. In connection with the acquisition, Marvell will issue approximately 29.1 million shares of its common stock to former Galileo shareholders.</w:t>
      </w:r>
    </w:p>
    <w:p>
      <w:pPr>
        <w:spacing w:after="0" w:line="214"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The transaction was completed pursuant to the terms of an Agreement of Merger, as amended, by and among Marvell, Galileo and Toshack, dated as of October 16, 2000 (the "Merger Agreement"). The terms of the Merger Agreement, including the merger consideration, were the result of arms length negotiations between Marvell and Galileo. For further information with respect to the terms of the merger, reference is made to the Merger Agreement, attached as Exhibit 2.1 to this report and incorporated herein by reference.</w:t>
      </w:r>
    </w:p>
    <w:p>
      <w:pPr>
        <w:spacing w:after="0" w:line="188"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Galileo develops high-performance communications Internetworking and Switching products for the data networking market. Marvell intends to continue to operate in this business through Galileo.</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7. FINANCIAL STATEMENTS, PRO FORMA FINANCIAL INFORMATION AND EXHIBITS.</w:t>
      </w:r>
    </w:p>
    <w:p>
      <w:pPr>
        <w:spacing w:after="0" w:line="201" w:lineRule="exact"/>
        <w:rPr>
          <w:sz w:val="20"/>
          <w:szCs w:val="20"/>
          <w:color w:val="auto"/>
        </w:rPr>
      </w:pPr>
    </w:p>
    <w:p>
      <w:pPr>
        <w:ind w:left="540" w:hanging="532"/>
        <w:spacing w:after="0"/>
        <w:tabs>
          <w:tab w:leader="none" w:pos="54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Financial Statements of Business Acquired.</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In accordance with paragraph (a)(4) of Item 7 of Form 8-K, the historical financial statements of Galileo required in connection with the acquisition by Marvell of Galileo are not included in this initial report, but will be filed within 60 days after the date of this report.</w:t>
      </w:r>
    </w:p>
    <w:p>
      <w:pPr>
        <w:spacing w:after="0" w:line="202" w:lineRule="exact"/>
        <w:rPr>
          <w:sz w:val="20"/>
          <w:szCs w:val="20"/>
          <w:color w:val="auto"/>
        </w:rPr>
      </w:pPr>
    </w:p>
    <w:p>
      <w:pPr>
        <w:ind w:left="540" w:hanging="532"/>
        <w:spacing w:after="0"/>
        <w:tabs>
          <w:tab w:leader="none" w:pos="54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 Forma Financial Information</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In accordance with paragraph (b)(2) of Item 7 of Form 8-K, the pro forma financial information required in connection with the acquisition by Marvell of Galileo are not included in this initial report, but will be filed within 60 days after the date of this report.</w:t>
      </w:r>
    </w:p>
    <w:p>
      <w:pPr>
        <w:spacing w:after="0" w:line="20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540" w:hanging="532"/>
        <w:spacing w:after="0"/>
        <w:tabs>
          <w:tab w:leader="none" w:pos="54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Exhibits</w:t>
      </w:r>
    </w:p>
    <w:p>
      <w:pPr>
        <w:spacing w:after="0" w:line="207" w:lineRule="exact"/>
        <w:rPr>
          <w:sz w:val="20"/>
          <w:szCs w:val="20"/>
          <w:color w:val="auto"/>
        </w:rPr>
      </w:pPr>
    </w:p>
    <w:p>
      <w:pPr>
        <w:ind w:left="540" w:right="2099" w:hanging="526"/>
        <w:spacing w:after="0" w:line="237" w:lineRule="auto"/>
        <w:tabs>
          <w:tab w:leader="none" w:pos="520" w:val="left"/>
        </w:tabs>
        <w:rPr>
          <w:sz w:val="20"/>
          <w:szCs w:val="20"/>
          <w:color w:val="auto"/>
        </w:rPr>
      </w:pPr>
      <w:r>
        <w:rPr>
          <w:rFonts w:ascii="Courier New" w:cs="Courier New" w:eastAsia="Courier New" w:hAnsi="Courier New"/>
          <w:sz w:val="18"/>
          <w:szCs w:val="18"/>
          <w:color w:val="auto"/>
        </w:rPr>
        <w:t>2.1</w:t>
        <w:tab/>
        <w:t>Agreement of Merger, as amended, by and among Marvell Technology Group Ltd., Galileo Technology Ltd. and Toshack Acquisitions Ltd., dated as of October 16, 2000 (incorporated by reference to Exhibit 2.1 of the Registrant's registration statement on Form S-4 (Registration No.</w:t>
      </w:r>
    </w:p>
    <w:p>
      <w:pPr>
        <w:ind w:left="540"/>
        <w:spacing w:after="0"/>
        <w:rPr>
          <w:sz w:val="20"/>
          <w:szCs w:val="20"/>
          <w:color w:val="auto"/>
        </w:rPr>
      </w:pPr>
      <w:r>
        <w:rPr>
          <w:rFonts w:ascii="Courier New" w:cs="Courier New" w:eastAsia="Courier New" w:hAnsi="Courier New"/>
          <w:sz w:val="18"/>
          <w:szCs w:val="18"/>
          <w:color w:val="auto"/>
        </w:rPr>
        <w:t>333-50206)).</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23.1 Consent of Ernst &amp; Young LLP, Independent Auditors*</w:t>
      </w:r>
    </w:p>
    <w:p>
      <w:pPr>
        <w:spacing w:after="0" w:line="200" w:lineRule="exact"/>
        <w:rPr>
          <w:sz w:val="20"/>
          <w:szCs w:val="20"/>
          <w:color w:val="auto"/>
        </w:rPr>
      </w:pPr>
    </w:p>
    <w:p>
      <w:pPr>
        <w:spacing w:after="0" w:line="204"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To be filed by amendment.</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Date: February 5, 2001</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4"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President and Chief Executive Officer</w:t>
      </w:r>
    </w:p>
    <w:p>
      <w:pPr>
        <w:spacing w:after="0" w:line="21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64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000" w:type="dxa"/>
            <w:vAlign w:val="bottom"/>
          </w:tcPr>
          <w:p>
            <w:pPr>
              <w:jc w:val="right"/>
              <w:spacing w:after="0"/>
              <w:rPr>
                <w:sz w:val="20"/>
                <w:szCs w:val="20"/>
                <w:color w:val="auto"/>
              </w:rPr>
            </w:pPr>
            <w:r>
              <w:rPr>
                <w:rFonts w:ascii="Courier New" w:cs="Courier New" w:eastAsia="Courier New" w:hAnsi="Courier New"/>
                <w:sz w:val="18"/>
                <w:szCs w:val="18"/>
                <w:color w:val="auto"/>
              </w:rPr>
              <w:t>EXHIBIT INDEX</w:t>
            </w:r>
          </w:p>
        </w:tc>
        <w:tc>
          <w:tcPr>
            <w:tcW w:w="5740" w:type="dxa"/>
            <w:vAlign w:val="bottom"/>
          </w:tcPr>
          <w:p>
            <w:pPr>
              <w:spacing w:after="0"/>
              <w:rPr>
                <w:sz w:val="17"/>
                <w:szCs w:val="17"/>
                <w:color w:val="auto"/>
              </w:rPr>
            </w:pPr>
          </w:p>
        </w:tc>
      </w:tr>
      <w:tr>
        <w:trPr>
          <w:trHeight w:val="810"/>
        </w:trPr>
        <w:tc>
          <w:tcPr>
            <w:tcW w:w="1640" w:type="dxa"/>
            <w:vAlign w:val="bottom"/>
          </w:tcPr>
          <w:p>
            <w:pPr>
              <w:spacing w:after="0"/>
              <w:rPr>
                <w:sz w:val="20"/>
                <w:szCs w:val="20"/>
                <w:color w:val="auto"/>
              </w:rPr>
            </w:pPr>
            <w:r>
              <w:rPr>
                <w:rFonts w:ascii="Courier New" w:cs="Courier New" w:eastAsia="Courier New" w:hAnsi="Courier New"/>
                <w:sz w:val="18"/>
                <w:szCs w:val="18"/>
                <w:color w:val="auto"/>
              </w:rPr>
              <w:t>Exhibit No.</w:t>
            </w:r>
          </w:p>
        </w:tc>
        <w:tc>
          <w:tcPr>
            <w:tcW w:w="1380" w:type="dxa"/>
            <w:vAlign w:val="bottom"/>
          </w:tcPr>
          <w:p>
            <w:pPr>
              <w:ind w:left="260"/>
              <w:spacing w:after="0"/>
              <w:rPr>
                <w:sz w:val="20"/>
                <w:szCs w:val="20"/>
                <w:color w:val="auto"/>
              </w:rPr>
            </w:pPr>
            <w:r>
              <w:rPr>
                <w:rFonts w:ascii="Courier New" w:cs="Courier New" w:eastAsia="Courier New" w:hAnsi="Courier New"/>
                <w:sz w:val="18"/>
                <w:szCs w:val="18"/>
                <w:color w:val="auto"/>
              </w:rPr>
              <w:t>Document</w:t>
            </w:r>
          </w:p>
        </w:tc>
        <w:tc>
          <w:tcPr>
            <w:tcW w:w="2000" w:type="dxa"/>
            <w:vAlign w:val="bottom"/>
          </w:tcPr>
          <w:p>
            <w:pPr>
              <w:spacing w:after="0"/>
              <w:rPr>
                <w:sz w:val="24"/>
                <w:szCs w:val="24"/>
                <w:color w:val="auto"/>
              </w:rPr>
            </w:pPr>
          </w:p>
        </w:tc>
        <w:tc>
          <w:tcPr>
            <w:tcW w:w="5740" w:type="dxa"/>
            <w:vAlign w:val="bottom"/>
          </w:tcPr>
          <w:p>
            <w:pPr>
              <w:spacing w:after="0"/>
              <w:rPr>
                <w:sz w:val="24"/>
                <w:szCs w:val="24"/>
                <w:color w:val="auto"/>
              </w:rPr>
            </w:pPr>
          </w:p>
        </w:tc>
      </w:tr>
      <w:tr>
        <w:trPr>
          <w:trHeight w:val="203"/>
        </w:trPr>
        <w:tc>
          <w:tcPr>
            <w:tcW w:w="16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138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w:t>
            </w:r>
          </w:p>
        </w:tc>
        <w:tc>
          <w:tcPr>
            <w:tcW w:w="2000" w:type="dxa"/>
            <w:vAlign w:val="bottom"/>
          </w:tcPr>
          <w:p>
            <w:pPr>
              <w:spacing w:after="0"/>
              <w:rPr>
                <w:sz w:val="17"/>
                <w:szCs w:val="17"/>
                <w:color w:val="auto"/>
              </w:rPr>
            </w:pPr>
          </w:p>
        </w:tc>
        <w:tc>
          <w:tcPr>
            <w:tcW w:w="5740" w:type="dxa"/>
            <w:vAlign w:val="bottom"/>
          </w:tcPr>
          <w:p>
            <w:pPr>
              <w:spacing w:after="0"/>
              <w:rPr>
                <w:sz w:val="17"/>
                <w:szCs w:val="17"/>
                <w:color w:val="auto"/>
              </w:rPr>
            </w:pPr>
          </w:p>
        </w:tc>
      </w:tr>
      <w:tr>
        <w:trPr>
          <w:trHeight w:val="405"/>
        </w:trPr>
        <w:tc>
          <w:tcPr>
            <w:tcW w:w="1640" w:type="dxa"/>
            <w:vAlign w:val="bottom"/>
          </w:tcPr>
          <w:p>
            <w:pPr>
              <w:spacing w:after="0"/>
              <w:rPr>
                <w:sz w:val="20"/>
                <w:szCs w:val="20"/>
                <w:color w:val="auto"/>
              </w:rPr>
            </w:pPr>
            <w:r>
              <w:rPr>
                <w:rFonts w:ascii="Courier New" w:cs="Courier New" w:eastAsia="Courier New" w:hAnsi="Courier New"/>
                <w:sz w:val="18"/>
                <w:szCs w:val="18"/>
                <w:color w:val="auto"/>
              </w:rPr>
              <w:t>Exhibit 2.1</w:t>
            </w:r>
          </w:p>
        </w:tc>
        <w:tc>
          <w:tcPr>
            <w:tcW w:w="9120" w:type="dxa"/>
            <w:vAlign w:val="bottom"/>
            <w:gridSpan w:val="3"/>
          </w:tcPr>
          <w:p>
            <w:pPr>
              <w:ind w:left="260"/>
              <w:spacing w:after="0"/>
              <w:rPr>
                <w:sz w:val="20"/>
                <w:szCs w:val="20"/>
                <w:color w:val="auto"/>
              </w:rPr>
            </w:pPr>
            <w:r>
              <w:rPr>
                <w:rFonts w:ascii="Courier New" w:cs="Courier New" w:eastAsia="Courier New" w:hAnsi="Courier New"/>
                <w:sz w:val="18"/>
                <w:szCs w:val="18"/>
                <w:color w:val="auto"/>
                <w:w w:val="97"/>
              </w:rPr>
              <w:t>Agreement of Merger, as amended, by and among Marvell Technology Group Ltd., Galileo</w:t>
            </w:r>
          </w:p>
        </w:tc>
      </w:tr>
      <w:tr>
        <w:trPr>
          <w:trHeight w:val="203"/>
        </w:trPr>
        <w:tc>
          <w:tcPr>
            <w:tcW w:w="1640" w:type="dxa"/>
            <w:vAlign w:val="bottom"/>
          </w:tcPr>
          <w:p>
            <w:pPr>
              <w:spacing w:after="0"/>
              <w:rPr>
                <w:sz w:val="17"/>
                <w:szCs w:val="17"/>
                <w:color w:val="auto"/>
              </w:rPr>
            </w:pPr>
          </w:p>
        </w:tc>
        <w:tc>
          <w:tcPr>
            <w:tcW w:w="13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Technology</w:t>
            </w:r>
          </w:p>
        </w:tc>
        <w:tc>
          <w:tcPr>
            <w:tcW w:w="774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Ltd. and Toshack Acquisitions Ltd., dated as of October 16, 2000</w:t>
            </w:r>
          </w:p>
        </w:tc>
      </w:tr>
      <w:tr>
        <w:trPr>
          <w:trHeight w:val="203"/>
        </w:trPr>
        <w:tc>
          <w:tcPr>
            <w:tcW w:w="1640" w:type="dxa"/>
            <w:vAlign w:val="bottom"/>
          </w:tcPr>
          <w:p>
            <w:pPr>
              <w:spacing w:after="0"/>
              <w:rPr>
                <w:sz w:val="17"/>
                <w:szCs w:val="17"/>
                <w:color w:val="auto"/>
              </w:rPr>
            </w:pPr>
          </w:p>
        </w:tc>
        <w:tc>
          <w:tcPr>
            <w:tcW w:w="33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8"/>
              </w:rPr>
              <w:t>(incorporated by reference to</w:t>
            </w:r>
          </w:p>
        </w:tc>
        <w:tc>
          <w:tcPr>
            <w:tcW w:w="57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7"/>
              </w:rPr>
              <w:t>Exhibit 2.1 of the Registrant's registration statement</w:t>
            </w:r>
          </w:p>
        </w:tc>
      </w:tr>
      <w:tr>
        <w:trPr>
          <w:trHeight w:val="203"/>
        </w:trPr>
        <w:tc>
          <w:tcPr>
            <w:tcW w:w="1640" w:type="dxa"/>
            <w:vAlign w:val="bottom"/>
          </w:tcPr>
          <w:p>
            <w:pPr>
              <w:spacing w:after="0"/>
              <w:rPr>
                <w:sz w:val="17"/>
                <w:szCs w:val="17"/>
                <w:color w:val="auto"/>
              </w:rPr>
            </w:pPr>
          </w:p>
        </w:tc>
        <w:tc>
          <w:tcPr>
            <w:tcW w:w="33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8"/>
              </w:rPr>
              <w:t>on Form S-4 (Registration No.</w:t>
            </w:r>
          </w:p>
        </w:tc>
        <w:tc>
          <w:tcPr>
            <w:tcW w:w="57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333-50206)).</w:t>
            </w:r>
          </w:p>
        </w:tc>
      </w:tr>
      <w:tr>
        <w:trPr>
          <w:trHeight w:val="405"/>
        </w:trPr>
        <w:tc>
          <w:tcPr>
            <w:tcW w:w="1640" w:type="dxa"/>
            <w:vAlign w:val="bottom"/>
          </w:tcPr>
          <w:p>
            <w:pPr>
              <w:spacing w:after="0"/>
              <w:rPr>
                <w:sz w:val="20"/>
                <w:szCs w:val="20"/>
                <w:color w:val="auto"/>
              </w:rPr>
            </w:pPr>
            <w:r>
              <w:rPr>
                <w:rFonts w:ascii="Courier New" w:cs="Courier New" w:eastAsia="Courier New" w:hAnsi="Courier New"/>
                <w:sz w:val="18"/>
                <w:szCs w:val="18"/>
                <w:color w:val="auto"/>
              </w:rPr>
              <w:t>Exhibit  23.1</w:t>
            </w:r>
          </w:p>
        </w:tc>
        <w:tc>
          <w:tcPr>
            <w:tcW w:w="1380" w:type="dxa"/>
            <w:vAlign w:val="bottom"/>
          </w:tcPr>
          <w:p>
            <w:pPr>
              <w:ind w:left="260"/>
              <w:spacing w:after="0"/>
              <w:rPr>
                <w:sz w:val="20"/>
                <w:szCs w:val="20"/>
                <w:color w:val="auto"/>
              </w:rPr>
            </w:pPr>
            <w:r>
              <w:rPr>
                <w:rFonts w:ascii="Courier New" w:cs="Courier New" w:eastAsia="Courier New" w:hAnsi="Courier New"/>
                <w:sz w:val="18"/>
                <w:szCs w:val="18"/>
                <w:color w:val="auto"/>
              </w:rPr>
              <w:t>Consent of</w:t>
            </w:r>
          </w:p>
        </w:tc>
        <w:tc>
          <w:tcPr>
            <w:tcW w:w="2000" w:type="dxa"/>
            <w:vAlign w:val="bottom"/>
          </w:tcPr>
          <w:p>
            <w:pPr>
              <w:jc w:val="right"/>
              <w:spacing w:after="0"/>
              <w:rPr>
                <w:sz w:val="20"/>
                <w:szCs w:val="20"/>
                <w:color w:val="auto"/>
              </w:rPr>
            </w:pPr>
            <w:r>
              <w:rPr>
                <w:rFonts w:ascii="Courier New" w:cs="Courier New" w:eastAsia="Courier New" w:hAnsi="Courier New"/>
                <w:sz w:val="18"/>
                <w:szCs w:val="18"/>
                <w:color w:val="auto"/>
                <w:w w:val="98"/>
              </w:rPr>
              <w:t>Ernst &amp; Young LLP,</w:t>
            </w:r>
          </w:p>
        </w:tc>
        <w:tc>
          <w:tcPr>
            <w:tcW w:w="5740" w:type="dxa"/>
            <w:vAlign w:val="bottom"/>
          </w:tcPr>
          <w:p>
            <w:pPr>
              <w:ind w:left="40"/>
              <w:spacing w:after="0"/>
              <w:rPr>
                <w:sz w:val="20"/>
                <w:szCs w:val="20"/>
                <w:color w:val="auto"/>
              </w:rPr>
            </w:pPr>
            <w:r>
              <w:rPr>
                <w:rFonts w:ascii="Courier New" w:cs="Courier New" w:eastAsia="Courier New" w:hAnsi="Courier New"/>
                <w:sz w:val="18"/>
                <w:szCs w:val="18"/>
                <w:color w:val="auto"/>
              </w:rPr>
              <w:t>Independent Auditors*</w:t>
            </w:r>
          </w:p>
        </w:tc>
      </w:tr>
    </w:tbl>
    <w:p>
      <w:pPr>
        <w:spacing w:after="0" w:line="200" w:lineRule="exact"/>
        <w:rPr>
          <w:sz w:val="20"/>
          <w:szCs w:val="20"/>
          <w:color w:val="auto"/>
        </w:rPr>
      </w:pPr>
    </w:p>
    <w:p>
      <w:pPr>
        <w:spacing w:after="0" w:line="204"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To be filed by amendment.</w:t>
      </w:r>
    </w:p>
    <w:sectPr>
      <w:pgSz w:w="11900" w:h="16838" w:orient="portrait"/>
      <w:cols w:equalWidth="0" w:num="1">
        <w:col w:w="10760"/>
      </w:cols>
      <w:pgMar w:left="240" w:top="312" w:right="8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lowerLetter"/>
      <w:start w:val="1"/>
    </w:lvl>
  </w:abstractNum>
  <w:abstractNum w:abstractNumId="1">
    <w:nsid w:val="74B0DC51"/>
    <w:multiLevelType w:val="hybridMultilevel"/>
    <w:lvl w:ilvl="0">
      <w:lvlJc w:val="left"/>
      <w:lvlText w:val="(%1)"/>
      <w:numFmt w:val="lowerLetter"/>
      <w:start w:val="2"/>
    </w:lvl>
  </w:abstractNum>
  <w:abstractNum w:abstractNumId="2">
    <w:nsid w:val="19495CFF"/>
    <w:multiLevelType w:val="hybridMultilevel"/>
    <w:lvl w:ilvl="0">
      <w:lvlJc w:val="left"/>
      <w:lvlText w:val="(%1)"/>
      <w:numFmt w:val="lowerLetter"/>
      <w:start w:val="3"/>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2019-12-14T20:23:54Z</dcterms:created>
  <dcterms:modified xsi:type="dcterms:W3CDTF">2019-12-14T20:23:54Z</dcterms:modified>
</cp:coreProperties>
</file>