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4"/>
          <w:szCs w:val="24"/>
          <w:color w:val="auto"/>
        </w:rPr>
      </w:pPr>
    </w:p>
    <w:p>
      <w:pPr>
        <w:spacing w:after="0" w:line="221" w:lineRule="exact"/>
        <w:rPr>
          <w:sz w:val="24"/>
          <w:szCs w:val="24"/>
          <w:color w:val="auto"/>
        </w:rPr>
      </w:pPr>
    </w:p>
    <w:p>
      <w:pPr>
        <w:jc w:val="center"/>
        <w:ind w:right="2740"/>
        <w:spacing w:after="0"/>
        <w:rPr>
          <w:sz w:val="20"/>
          <w:szCs w:val="20"/>
          <w:color w:val="auto"/>
        </w:rPr>
      </w:pPr>
      <w:r>
        <w:rPr>
          <w:rFonts w:ascii="Courier New" w:cs="Courier New" w:eastAsia="Courier New" w:hAnsi="Courier New"/>
          <w:sz w:val="18"/>
          <w:szCs w:val="18"/>
          <w:color w:val="auto"/>
        </w:rPr>
        <w:t>SECURITIES AND EXCHANGE COMMISSION</w:t>
      </w:r>
    </w:p>
    <w:p>
      <w:pPr>
        <w:jc w:val="center"/>
        <w:ind w:right="2740"/>
        <w:spacing w:after="0" w:line="238" w:lineRule="auto"/>
        <w:rPr>
          <w:sz w:val="20"/>
          <w:szCs w:val="20"/>
          <w:color w:val="auto"/>
        </w:rPr>
      </w:pPr>
      <w:r>
        <w:rPr>
          <w:rFonts w:ascii="Courier New" w:cs="Courier New" w:eastAsia="Courier New" w:hAnsi="Courier New"/>
          <w:sz w:val="18"/>
          <w:szCs w:val="18"/>
          <w:color w:val="auto"/>
        </w:rPr>
        <w:t>WASHINGTON, D.C. 20549</w:t>
      </w:r>
    </w:p>
    <w:p>
      <w:pPr>
        <w:spacing w:after="0" w:line="200" w:lineRule="exact"/>
        <w:rPr>
          <w:sz w:val="24"/>
          <w:szCs w:val="24"/>
          <w:color w:val="auto"/>
        </w:rPr>
      </w:pPr>
    </w:p>
    <w:p>
      <w:pPr>
        <w:spacing w:after="0" w:line="204" w:lineRule="exact"/>
        <w:rPr>
          <w:sz w:val="24"/>
          <w:szCs w:val="24"/>
          <w:color w:val="auto"/>
        </w:rPr>
      </w:pPr>
    </w:p>
    <w:p>
      <w:pPr>
        <w:ind w:left="3800"/>
        <w:spacing w:after="0"/>
        <w:rPr>
          <w:sz w:val="20"/>
          <w:szCs w:val="20"/>
          <w:color w:val="auto"/>
        </w:rPr>
      </w:pPr>
      <w:r>
        <w:rPr>
          <w:rFonts w:ascii="Courier New" w:cs="Courier New" w:eastAsia="Courier New" w:hAnsi="Courier New"/>
          <w:sz w:val="18"/>
          <w:szCs w:val="18"/>
          <w:color w:val="auto"/>
        </w:rPr>
        <w:t>FORM 8-K</w:t>
      </w:r>
    </w:p>
    <w:p>
      <w:pPr>
        <w:spacing w:after="0" w:line="200" w:lineRule="exact"/>
        <w:rPr>
          <w:sz w:val="24"/>
          <w:szCs w:val="24"/>
          <w:color w:val="auto"/>
        </w:rPr>
      </w:pPr>
    </w:p>
    <w:p>
      <w:pPr>
        <w:spacing w:after="0" w:line="204" w:lineRule="exact"/>
        <w:rPr>
          <w:sz w:val="24"/>
          <w:szCs w:val="24"/>
          <w:color w:val="auto"/>
        </w:rPr>
      </w:pPr>
    </w:p>
    <w:p>
      <w:pPr>
        <w:ind w:left="3480"/>
        <w:spacing w:after="0"/>
        <w:rPr>
          <w:sz w:val="20"/>
          <w:szCs w:val="20"/>
          <w:color w:val="auto"/>
        </w:rPr>
      </w:pPr>
      <w:r>
        <w:rPr>
          <w:rFonts w:ascii="Courier New" w:cs="Courier New" w:eastAsia="Courier New" w:hAnsi="Courier New"/>
          <w:sz w:val="18"/>
          <w:szCs w:val="18"/>
          <w:color w:val="auto"/>
        </w:rPr>
        <w:t>CURRENT REPORT</w:t>
      </w:r>
    </w:p>
    <w:p>
      <w:pPr>
        <w:spacing w:after="0" w:line="200" w:lineRule="exact"/>
        <w:rPr>
          <w:sz w:val="24"/>
          <w:szCs w:val="24"/>
          <w:color w:val="auto"/>
        </w:rPr>
      </w:pPr>
    </w:p>
    <w:p>
      <w:pPr>
        <w:spacing w:after="0" w:line="200" w:lineRule="exact"/>
        <w:rPr>
          <w:sz w:val="24"/>
          <w:szCs w:val="24"/>
          <w:color w:val="auto"/>
        </w:rPr>
      </w:pPr>
    </w:p>
    <w:p>
      <w:pPr>
        <w:spacing w:after="0" w:line="206" w:lineRule="exact"/>
        <w:rPr>
          <w:sz w:val="24"/>
          <w:szCs w:val="24"/>
          <w:color w:val="auto"/>
        </w:rPr>
      </w:pPr>
    </w:p>
    <w:p>
      <w:pPr>
        <w:ind w:left="2440"/>
        <w:spacing w:after="0"/>
        <w:rPr>
          <w:sz w:val="20"/>
          <w:szCs w:val="20"/>
          <w:color w:val="auto"/>
        </w:rPr>
      </w:pPr>
      <w:r>
        <w:rPr>
          <w:rFonts w:ascii="Courier New" w:cs="Courier New" w:eastAsia="Courier New" w:hAnsi="Courier New"/>
          <w:sz w:val="18"/>
          <w:szCs w:val="18"/>
          <w:color w:val="auto"/>
        </w:rPr>
        <w:t>PURSUANT TO SECTION 13 OR 15(D) OF</w:t>
      </w:r>
    </w:p>
    <w:p>
      <w:pPr>
        <w:ind w:left="2320"/>
        <w:spacing w:after="0" w:line="238" w:lineRule="auto"/>
        <w:rPr>
          <w:sz w:val="20"/>
          <w:szCs w:val="20"/>
          <w:color w:val="auto"/>
        </w:rPr>
      </w:pPr>
      <w:r>
        <w:rPr>
          <w:rFonts w:ascii="Courier New" w:cs="Courier New" w:eastAsia="Courier New" w:hAnsi="Courier New"/>
          <w:sz w:val="18"/>
          <w:szCs w:val="18"/>
          <w:color w:val="auto"/>
        </w:rPr>
        <w:t>THE SECURITIES EXCHANGE ACT OF 1934</w:t>
      </w:r>
    </w:p>
    <w:p>
      <w:pPr>
        <w:spacing w:after="0" w:line="202" w:lineRule="exact"/>
        <w:rPr>
          <w:sz w:val="24"/>
          <w:szCs w:val="24"/>
          <w:color w:val="auto"/>
        </w:rPr>
      </w:pPr>
    </w:p>
    <w:p>
      <w:pPr>
        <w:ind w:left="2320"/>
        <w:spacing w:after="0"/>
        <w:rPr>
          <w:sz w:val="20"/>
          <w:szCs w:val="20"/>
          <w:color w:val="auto"/>
        </w:rPr>
      </w:pPr>
      <w:r>
        <w:rPr>
          <w:rFonts w:ascii="Courier New" w:cs="Courier New" w:eastAsia="Courier New" w:hAnsi="Courier New"/>
          <w:sz w:val="18"/>
          <w:szCs w:val="18"/>
          <w:color w:val="auto"/>
        </w:rPr>
        <w:t>FEBRUARY 5, 2001 (JANUARY 21, 2001)</w:t>
      </w:r>
    </w:p>
    <w:p>
      <w:pPr>
        <w:ind w:left="1700"/>
        <w:spacing w:after="0" w:line="238" w:lineRule="auto"/>
        <w:rPr>
          <w:sz w:val="20"/>
          <w:szCs w:val="20"/>
          <w:color w:val="auto"/>
        </w:rPr>
      </w:pPr>
      <w:r>
        <w:rPr>
          <w:rFonts w:ascii="Courier New" w:cs="Courier New" w:eastAsia="Courier New" w:hAnsi="Courier New"/>
          <w:sz w:val="18"/>
          <w:szCs w:val="18"/>
          <w:color w:val="auto"/>
        </w:rPr>
        <w:t>DATE OF REPORT (DATE OF EARLIEST EVENT REPORTED)</w:t>
      </w:r>
    </w:p>
    <w:p>
      <w:pPr>
        <w:spacing w:after="0" w:line="202" w:lineRule="exact"/>
        <w:rPr>
          <w:sz w:val="24"/>
          <w:szCs w:val="24"/>
          <w:color w:val="auto"/>
        </w:rPr>
      </w:pPr>
    </w:p>
    <w:p>
      <w:pPr>
        <w:jc w:val="center"/>
        <w:ind w:right="2620"/>
        <w:spacing w:after="0"/>
        <w:rPr>
          <w:sz w:val="20"/>
          <w:szCs w:val="20"/>
          <w:color w:val="auto"/>
        </w:rPr>
      </w:pPr>
      <w:r>
        <w:rPr>
          <w:rFonts w:ascii="Courier New" w:cs="Courier New" w:eastAsia="Courier New" w:hAnsi="Courier New"/>
          <w:sz w:val="18"/>
          <w:szCs w:val="18"/>
          <w:color w:val="auto"/>
        </w:rPr>
        <w:t>MARVELL TECHNOLOGY GROUP LTD.</w:t>
      </w:r>
    </w:p>
    <w:p>
      <w:pPr>
        <w:jc w:val="center"/>
        <w:ind w:right="2740"/>
        <w:spacing w:after="0" w:line="238" w:lineRule="auto"/>
        <w:rPr>
          <w:sz w:val="20"/>
          <w:szCs w:val="20"/>
          <w:color w:val="auto"/>
        </w:rPr>
      </w:pPr>
      <w:r>
        <w:rPr>
          <w:rFonts w:ascii="Courier New" w:cs="Courier New" w:eastAsia="Courier New" w:hAnsi="Courier New"/>
          <w:sz w:val="18"/>
          <w:szCs w:val="18"/>
          <w:color w:val="auto"/>
        </w:rPr>
        <w:t>(EXACT NAME OF REGISTRANT AS SPECIFIED IN ITS CHARTER)</w:t>
      </w:r>
    </w:p>
    <w:p>
      <w:pPr>
        <w:sectPr>
          <w:pgSz w:w="11900" w:h="16838" w:orient="portrait"/>
          <w:cols w:equalWidth="0" w:num="1">
            <w:col w:w="11180"/>
          </w:cols>
          <w:pgMar w:left="240" w:top="244" w:right="4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7" w:lineRule="exact"/>
        <w:rPr>
          <w:sz w:val="24"/>
          <w:szCs w:val="24"/>
          <w:color w:val="auto"/>
        </w:rPr>
      </w:pPr>
    </w:p>
    <w:p>
      <w:pPr>
        <w:jc w:val="center"/>
        <w:ind w:right="220"/>
        <w:spacing w:after="0"/>
        <w:rPr>
          <w:sz w:val="20"/>
          <w:szCs w:val="20"/>
          <w:color w:val="auto"/>
        </w:rPr>
      </w:pPr>
      <w:r>
        <w:rPr>
          <w:rFonts w:ascii="Courier New" w:cs="Courier New" w:eastAsia="Courier New" w:hAnsi="Courier New"/>
          <w:sz w:val="18"/>
          <w:szCs w:val="18"/>
          <w:color w:val="auto"/>
        </w:rPr>
        <w:t>BERMUDA</w:t>
      </w:r>
    </w:p>
    <w:p>
      <w:pPr>
        <w:spacing w:after="0" w:line="4" w:lineRule="exact"/>
        <w:rPr>
          <w:sz w:val="24"/>
          <w:szCs w:val="24"/>
          <w:color w:val="auto"/>
        </w:rPr>
      </w:pPr>
    </w:p>
    <w:p>
      <w:pPr>
        <w:jc w:val="center"/>
        <w:ind w:right="220"/>
        <w:spacing w:after="0"/>
        <w:rPr>
          <w:sz w:val="20"/>
          <w:szCs w:val="20"/>
          <w:color w:val="auto"/>
        </w:rPr>
      </w:pPr>
      <w:r>
        <w:rPr>
          <w:rFonts w:ascii="Courier New" w:cs="Courier New" w:eastAsia="Courier New" w:hAnsi="Courier New"/>
          <w:sz w:val="16"/>
          <w:szCs w:val="16"/>
          <w:color w:val="auto"/>
        </w:rPr>
        <w:t>(STATE OR OTHER JURISDICTION OF</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87" w:lineRule="exact"/>
        <w:rPr>
          <w:sz w:val="24"/>
          <w:szCs w:val="24"/>
          <w:color w:val="auto"/>
        </w:rPr>
      </w:pPr>
    </w:p>
    <w:p>
      <w:pPr>
        <w:ind w:left="940"/>
        <w:spacing w:after="0"/>
        <w:rPr>
          <w:sz w:val="20"/>
          <w:szCs w:val="20"/>
          <w:color w:val="auto"/>
        </w:rPr>
      </w:pPr>
      <w:r>
        <w:rPr>
          <w:rFonts w:ascii="Courier New" w:cs="Courier New" w:eastAsia="Courier New" w:hAnsi="Courier New"/>
          <w:sz w:val="18"/>
          <w:szCs w:val="18"/>
          <w:color w:val="auto"/>
        </w:rPr>
        <w:t>0-30877</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87" w:lineRule="exact"/>
        <w:rPr>
          <w:sz w:val="24"/>
          <w:szCs w:val="24"/>
          <w:color w:val="auto"/>
        </w:rPr>
      </w:pPr>
    </w:p>
    <w:p>
      <w:pPr>
        <w:jc w:val="center"/>
        <w:spacing w:after="0"/>
        <w:rPr>
          <w:sz w:val="20"/>
          <w:szCs w:val="20"/>
          <w:color w:val="auto"/>
        </w:rPr>
      </w:pPr>
      <w:r>
        <w:rPr>
          <w:rFonts w:ascii="Courier New" w:cs="Courier New" w:eastAsia="Courier New" w:hAnsi="Courier New"/>
          <w:sz w:val="18"/>
          <w:szCs w:val="18"/>
          <w:color w:val="auto"/>
        </w:rPr>
        <w:t>77-0481679</w:t>
      </w:r>
    </w:p>
    <w:p>
      <w:pPr>
        <w:spacing w:after="0" w:line="4" w:lineRule="exact"/>
        <w:rPr>
          <w:sz w:val="24"/>
          <w:szCs w:val="24"/>
          <w:color w:val="auto"/>
        </w:rPr>
      </w:pPr>
    </w:p>
    <w:p>
      <w:pPr>
        <w:jc w:val="center"/>
        <w:spacing w:after="0"/>
        <w:rPr>
          <w:sz w:val="20"/>
          <w:szCs w:val="20"/>
          <w:color w:val="auto"/>
        </w:rPr>
      </w:pPr>
      <w:r>
        <w:rPr>
          <w:rFonts w:ascii="Courier New" w:cs="Courier New" w:eastAsia="Courier New" w:hAnsi="Courier New"/>
          <w:sz w:val="16"/>
          <w:szCs w:val="16"/>
          <w:color w:val="auto"/>
        </w:rPr>
        <w:t>(I.R.S. EMPLOYER IDENTIFICATION NO.)</w:t>
      </w:r>
    </w:p>
    <w:p>
      <w:pPr>
        <w:spacing w:after="0" w:line="21" w:lineRule="exact"/>
        <w:rPr>
          <w:sz w:val="24"/>
          <w:szCs w:val="24"/>
          <w:color w:val="auto"/>
        </w:rPr>
      </w:pPr>
    </w:p>
    <w:p>
      <w:pPr>
        <w:sectPr>
          <w:pgSz w:w="11900" w:h="16838" w:orient="portrait"/>
          <w:cols w:equalWidth="0" w:num="3">
            <w:col w:w="3500" w:space="720"/>
            <w:col w:w="2520" w:space="640"/>
            <w:col w:w="3800"/>
          </w:cols>
          <w:pgMar w:left="240" w:top="244" w:right="479" w:bottom="1440" w:gutter="0" w:footer="0" w:header="0"/>
          <w:type w:val="continuous"/>
        </w:sectPr>
      </w:pPr>
    </w:p>
    <w:p>
      <w:pPr>
        <w:ind w:left="120"/>
        <w:spacing w:after="0"/>
        <w:rPr>
          <w:sz w:val="20"/>
          <w:szCs w:val="20"/>
          <w:color w:val="auto"/>
        </w:rPr>
      </w:pPr>
      <w:r>
        <w:rPr>
          <w:rFonts w:ascii="Courier New" w:cs="Courier New" w:eastAsia="Courier New" w:hAnsi="Courier New"/>
          <w:sz w:val="16"/>
          <w:szCs w:val="16"/>
          <w:color w:val="auto"/>
        </w:rPr>
        <w:t>INCORPORATION OR ORGANIZATION)</w:t>
      </w:r>
    </w:p>
    <w:p>
      <w:pPr>
        <w:sectPr>
          <w:pgSz w:w="11900" w:h="16838" w:orient="portrait"/>
          <w:cols w:equalWidth="0" w:num="1">
            <w:col w:w="11180"/>
          </w:cols>
          <w:pgMar w:left="240" w:top="244" w:right="479" w:bottom="144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29" w:lineRule="exact"/>
        <w:rPr>
          <w:sz w:val="24"/>
          <w:szCs w:val="24"/>
          <w:color w:val="auto"/>
        </w:rPr>
      </w:pPr>
    </w:p>
    <w:p>
      <w:pPr>
        <w:ind w:left="2220"/>
        <w:spacing w:after="0"/>
        <w:rPr>
          <w:sz w:val="20"/>
          <w:szCs w:val="20"/>
          <w:color w:val="auto"/>
        </w:rPr>
      </w:pPr>
      <w:r>
        <w:rPr>
          <w:rFonts w:ascii="Courier New" w:cs="Courier New" w:eastAsia="Courier New" w:hAnsi="Courier New"/>
          <w:sz w:val="18"/>
          <w:szCs w:val="18"/>
          <w:color w:val="auto"/>
        </w:rPr>
        <w:t>RICHMOND HOUSE</w:t>
      </w:r>
    </w:p>
    <w:p>
      <w:pPr>
        <w:ind w:left="2540"/>
        <w:spacing w:after="0" w:line="238" w:lineRule="auto"/>
        <w:rPr>
          <w:sz w:val="20"/>
          <w:szCs w:val="20"/>
          <w:color w:val="auto"/>
        </w:rPr>
      </w:pPr>
      <w:r>
        <w:rPr>
          <w:rFonts w:ascii="Courier New" w:cs="Courier New" w:eastAsia="Courier New" w:hAnsi="Courier New"/>
          <w:sz w:val="18"/>
          <w:szCs w:val="18"/>
          <w:color w:val="auto"/>
        </w:rPr>
        <w:t>3RD FLOOR</w:t>
      </w:r>
    </w:p>
    <w:p>
      <w:pPr>
        <w:ind w:left="2000"/>
        <w:spacing w:after="0"/>
        <w:rPr>
          <w:sz w:val="20"/>
          <w:szCs w:val="20"/>
          <w:color w:val="auto"/>
        </w:rPr>
      </w:pPr>
      <w:r>
        <w:rPr>
          <w:rFonts w:ascii="Courier New" w:cs="Courier New" w:eastAsia="Courier New" w:hAnsi="Courier New"/>
          <w:sz w:val="18"/>
          <w:szCs w:val="18"/>
          <w:color w:val="auto"/>
        </w:rPr>
        <w:t>12 PAR LA VILLE ROAD</w:t>
      </w:r>
    </w:p>
    <w:p>
      <w:pPr>
        <w:ind w:left="2220"/>
        <w:spacing w:after="0" w:line="237" w:lineRule="auto"/>
        <w:rPr>
          <w:sz w:val="20"/>
          <w:szCs w:val="20"/>
          <w:color w:val="auto"/>
        </w:rPr>
      </w:pPr>
      <w:r>
        <w:rPr>
          <w:rFonts w:ascii="Courier New" w:cs="Courier New" w:eastAsia="Courier New" w:hAnsi="Courier New"/>
          <w:sz w:val="18"/>
          <w:szCs w:val="18"/>
          <w:color w:val="auto"/>
        </w:rPr>
        <w:t>HAMILTON HM DX</w:t>
      </w:r>
    </w:p>
    <w:p>
      <w:pPr>
        <w:ind w:left="2540"/>
        <w:spacing w:after="0" w:line="238" w:lineRule="auto"/>
        <w:rPr>
          <w:sz w:val="20"/>
          <w:szCs w:val="20"/>
          <w:color w:val="auto"/>
        </w:rPr>
      </w:pPr>
      <w:r>
        <w:rPr>
          <w:rFonts w:ascii="Courier New" w:cs="Courier New" w:eastAsia="Courier New" w:hAnsi="Courier New"/>
          <w:sz w:val="18"/>
          <w:szCs w:val="18"/>
          <w:color w:val="auto"/>
        </w:rPr>
        <w:t>BERMUDA</w:t>
      </w:r>
    </w:p>
    <w:p>
      <w:pPr>
        <w:spacing w:after="0" w:line="5" w:lineRule="exact"/>
        <w:rPr>
          <w:sz w:val="24"/>
          <w:szCs w:val="24"/>
          <w:color w:val="auto"/>
        </w:rPr>
      </w:pPr>
    </w:p>
    <w:p>
      <w:pPr>
        <w:ind w:left="740"/>
        <w:spacing w:after="0"/>
        <w:rPr>
          <w:sz w:val="20"/>
          <w:szCs w:val="20"/>
          <w:color w:val="auto"/>
        </w:rPr>
      </w:pPr>
      <w:r>
        <w:rPr>
          <w:rFonts w:ascii="Courier New" w:cs="Courier New" w:eastAsia="Courier New" w:hAnsi="Courier New"/>
          <w:sz w:val="16"/>
          <w:szCs w:val="16"/>
          <w:color w:val="auto"/>
        </w:rPr>
        <w:t>(ADDRESS OF PRINCIPAL EXECUTIVE OFFICES)</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2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(ZIP CODE)</w:t>
      </w:r>
    </w:p>
    <w:p>
      <w:pPr>
        <w:spacing w:after="0" w:line="200" w:lineRule="exact"/>
        <w:rPr>
          <w:sz w:val="24"/>
          <w:szCs w:val="24"/>
          <w:color w:val="auto"/>
        </w:rPr>
      </w:pPr>
    </w:p>
    <w:p>
      <w:pPr>
        <w:sectPr>
          <w:pgSz w:w="11900" w:h="16838" w:orient="portrait"/>
          <w:cols w:equalWidth="0" w:num="2">
            <w:col w:w="5720" w:space="720"/>
            <w:col w:w="4740"/>
          </w:cols>
          <w:pgMar w:left="240" w:top="244" w:right="479" w:bottom="1440" w:gutter="0" w:footer="0" w:header="0"/>
          <w:type w:val="continuous"/>
        </w:sectPr>
      </w:pPr>
    </w:p>
    <w:p>
      <w:pPr>
        <w:spacing w:after="0" w:line="221" w:lineRule="exact"/>
        <w:rPr>
          <w:sz w:val="24"/>
          <w:szCs w:val="24"/>
          <w:color w:val="auto"/>
        </w:rPr>
      </w:pPr>
    </w:p>
    <w:p>
      <w:pPr>
        <w:jc w:val="center"/>
        <w:ind w:right="2740"/>
        <w:spacing w:after="0"/>
        <w:rPr>
          <w:sz w:val="20"/>
          <w:szCs w:val="20"/>
          <w:color w:val="auto"/>
        </w:rPr>
      </w:pPr>
      <w:r>
        <w:rPr>
          <w:rFonts w:ascii="Courier New" w:cs="Courier New" w:eastAsia="Courier New" w:hAnsi="Courier New"/>
          <w:sz w:val="18"/>
          <w:szCs w:val="18"/>
          <w:color w:val="auto"/>
        </w:rPr>
        <w:t>REGISTRANT'S TELEPHONE NUMBER, INCLUDING AREA CODE: (441) 296-6395</w:t>
      </w:r>
    </w:p>
    <w:p>
      <w:pPr>
        <w:spacing w:after="0" w:line="201" w:lineRule="exact"/>
        <w:rPr>
          <w:sz w:val="24"/>
          <w:szCs w:val="24"/>
          <w:color w:val="auto"/>
        </w:rPr>
      </w:pPr>
    </w:p>
    <w:p>
      <w:pPr>
        <w:jc w:val="center"/>
        <w:ind w:right="2620"/>
        <w:spacing w:after="0"/>
        <w:rPr>
          <w:sz w:val="20"/>
          <w:szCs w:val="20"/>
          <w:color w:val="auto"/>
        </w:rPr>
      </w:pPr>
      <w:r>
        <w:rPr>
          <w:rFonts w:ascii="Courier New" w:cs="Courier New" w:eastAsia="Courier New" w:hAnsi="Courier New"/>
          <w:sz w:val="18"/>
          <w:szCs w:val="18"/>
          <w:color w:val="auto"/>
        </w:rPr>
        <w:t>N/A</w:t>
      </w:r>
    </w:p>
    <w:p>
      <w:pPr>
        <w:jc w:val="center"/>
        <w:ind w:right="2740"/>
        <w:spacing w:after="0" w:line="238" w:lineRule="auto"/>
        <w:rPr>
          <w:sz w:val="20"/>
          <w:szCs w:val="20"/>
          <w:color w:val="auto"/>
        </w:rPr>
      </w:pPr>
      <w:r>
        <w:rPr>
          <w:rFonts w:ascii="Courier New" w:cs="Courier New" w:eastAsia="Courier New" w:hAnsi="Courier New"/>
          <w:sz w:val="18"/>
          <w:szCs w:val="18"/>
          <w:color w:val="auto"/>
        </w:rPr>
        <w:t>(FORMER NAME AND FORMER ADDRESS, IF CHANGED SINCE LAST REPORT)</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1180"/>
          </w:cols>
          <w:pgMar w:left="240" w:top="244" w:right="479" w:bottom="1440" w:gutter="0" w:footer="0" w:header="0"/>
          <w:type w:val="continuous"/>
        </w:sectPr>
      </w:pPr>
    </w:p>
    <w:bookmarkStart w:id="1" w:name="page2"/>
    <w:bookmarkEnd w:id="1"/>
    <w:p>
      <w:pPr>
        <w:ind w:left="320"/>
        <w:spacing w:after="0"/>
        <w:rPr>
          <w:sz w:val="20"/>
          <w:szCs w:val="20"/>
          <w:color w:val="auto"/>
        </w:rPr>
      </w:pPr>
      <w:r>
        <w:rPr>
          <w:rFonts w:ascii="Courier New" w:cs="Courier New" w:eastAsia="Courier New" w:hAnsi="Courier New"/>
          <w:sz w:val="18"/>
          <w:szCs w:val="18"/>
          <w:color w:val="auto"/>
        </w:rPr>
        <w:t>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INFORMATION TO BE INCLUDED IN THE REPORT</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 ACQUISITION OR DISPOSITION OF ASSETS.</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On January 21, 2001, Marvell Technology Group Ltd., a Bermuda corporation ("Marvell" or the "Registrant"), completed its acquisition of Galileo Technology Ltd., a company organized under the laws of Israel ("Galileo"), pursuant to the merger of Toshack Acquisitions Ltd., a company organized under the laws of Israel and a direct wholly owned subsidiary of Marvell ("Toshack") into Galileo. As a result of the merger, each outstanding ordinary share of Galileo was converted into the right to receive 0.674 shares of Marvell common stock. In connection with the acquisition, Marvell will issue approximately 29.1 million shares of its common stock to former Galileo shareholders.</w:t>
      </w:r>
    </w:p>
    <w:p>
      <w:pPr>
        <w:spacing w:after="0" w:line="214" w:lineRule="exact"/>
        <w:rPr>
          <w:sz w:val="20"/>
          <w:szCs w:val="20"/>
          <w:color w:val="auto"/>
        </w:rPr>
      </w:pPr>
    </w:p>
    <w:p>
      <w:pPr>
        <w:ind w:right="1879" w:firstLine="527"/>
        <w:spacing w:after="0" w:line="271" w:lineRule="auto"/>
        <w:rPr>
          <w:sz w:val="20"/>
          <w:szCs w:val="20"/>
          <w:color w:val="auto"/>
        </w:rPr>
      </w:pPr>
      <w:r>
        <w:rPr>
          <w:rFonts w:ascii="Courier New" w:cs="Courier New" w:eastAsia="Courier New" w:hAnsi="Courier New"/>
          <w:sz w:val="16"/>
          <w:szCs w:val="16"/>
          <w:color w:val="auto"/>
        </w:rPr>
        <w:t>The transaction was completed pursuant to the terms of an Agreement of Merger, as amended, by and among Marvell, Galileo and Toshack, dated as of October 16, 2000 (the "Merger Agreement"). The terms of the Merger Agreement, including the merger consideration, were the result of arms length negotiations between Marvell and Galileo. For further information with respect to the terms of the merger, reference is made to the Merger Agreement, attached as Exhibit 2.1 to this report and incorporated herein by reference.</w:t>
      </w:r>
    </w:p>
    <w:p>
      <w:pPr>
        <w:spacing w:after="0" w:line="188" w:lineRule="exact"/>
        <w:rPr>
          <w:sz w:val="20"/>
          <w:szCs w:val="20"/>
          <w:color w:val="auto"/>
        </w:rPr>
      </w:pPr>
    </w:p>
    <w:p>
      <w:pPr>
        <w:ind w:right="1999" w:firstLine="527"/>
        <w:spacing w:after="0" w:line="236" w:lineRule="auto"/>
        <w:rPr>
          <w:sz w:val="20"/>
          <w:szCs w:val="20"/>
          <w:color w:val="auto"/>
        </w:rPr>
      </w:pPr>
      <w:r>
        <w:rPr>
          <w:rFonts w:ascii="Courier New" w:cs="Courier New" w:eastAsia="Courier New" w:hAnsi="Courier New"/>
          <w:sz w:val="18"/>
          <w:szCs w:val="18"/>
          <w:color w:val="auto"/>
        </w:rPr>
        <w:t>Galileo develops high-performance communications Internetworking and Switching products for the data networking market. Marvell intends to continue to operate in this business through Galileo.</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7. FINANCIAL STATEMENTS, PRO FORMA FINANCIAL INFORMATION AND EXHIBITS.</w:t>
      </w:r>
    </w:p>
    <w:p>
      <w:pPr>
        <w:spacing w:after="0" w:line="201" w:lineRule="exact"/>
        <w:rPr>
          <w:sz w:val="20"/>
          <w:szCs w:val="20"/>
          <w:color w:val="auto"/>
        </w:rPr>
      </w:pPr>
    </w:p>
    <w:p>
      <w:pPr>
        <w:ind w:left="540" w:hanging="532"/>
        <w:spacing w:after="0"/>
        <w:tabs>
          <w:tab w:leader="none" w:pos="54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Financial Statements of Business Acquired.</w:t>
      </w:r>
    </w:p>
    <w:p>
      <w:pPr>
        <w:spacing w:after="0" w:line="207" w:lineRule="exact"/>
        <w:rPr>
          <w:sz w:val="20"/>
          <w:szCs w:val="20"/>
          <w:color w:val="auto"/>
        </w:rPr>
      </w:pPr>
    </w:p>
    <w:p>
      <w:pPr>
        <w:ind w:right="1999" w:firstLine="527"/>
        <w:spacing w:after="0" w:line="237" w:lineRule="auto"/>
        <w:rPr>
          <w:sz w:val="20"/>
          <w:szCs w:val="20"/>
          <w:color w:val="auto"/>
        </w:rPr>
      </w:pPr>
      <w:r>
        <w:rPr>
          <w:rFonts w:ascii="Courier New" w:cs="Courier New" w:eastAsia="Courier New" w:hAnsi="Courier New"/>
          <w:sz w:val="18"/>
          <w:szCs w:val="18"/>
          <w:color w:val="auto"/>
        </w:rPr>
        <w:t>In accordance with paragraph (a)(4) of Item 7 of Form 8-K, the historical financial statements of Galileo required in connection with the acquisition by Marvell of Galileo are not included in this initial report, but will be filed within 60 days after the date of this report.</w:t>
      </w:r>
    </w:p>
    <w:p>
      <w:pPr>
        <w:spacing w:after="0" w:line="202" w:lineRule="exact"/>
        <w:rPr>
          <w:sz w:val="20"/>
          <w:szCs w:val="20"/>
          <w:color w:val="auto"/>
        </w:rPr>
      </w:pPr>
    </w:p>
    <w:p>
      <w:pPr>
        <w:ind w:left="540" w:hanging="532"/>
        <w:spacing w:after="0"/>
        <w:tabs>
          <w:tab w:leader="none" w:pos="54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Pro Forma Financial Information</w:t>
      </w:r>
    </w:p>
    <w:p>
      <w:pPr>
        <w:spacing w:after="0" w:line="207"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In accordance with paragraph (b)(2) of Item 7 of Form 8-K, the pro forma financial information required in connection with the acquisition by Marvell of Galileo are not included in this initial report, but will be filed within 60 days after the date of this report.</w:t>
      </w:r>
    </w:p>
    <w:p>
      <w:pPr>
        <w:spacing w:after="0" w:line="202"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10219"/>
          </w:cols>
          <w:pgMar w:left="240" w:top="312" w:right="1440" w:bottom="1440" w:gutter="0" w:footer="0" w:header="0"/>
        </w:sectPr>
      </w:pPr>
    </w:p>
    <w:bookmarkStart w:id="2" w:name="page3"/>
    <w:bookmarkEnd w:id="2"/>
    <w:p>
      <w:pPr>
        <w:ind w:left="320"/>
        <w:spacing w:after="0"/>
        <w:rPr>
          <w:sz w:val="20"/>
          <w:szCs w:val="20"/>
          <w:color w:val="auto"/>
        </w:rPr>
      </w:pPr>
      <w:r>
        <w:rPr>
          <w:rFonts w:ascii="Courier New" w:cs="Courier New" w:eastAsia="Courier New" w:hAnsi="Courier New"/>
          <w:sz w:val="18"/>
          <w:szCs w:val="18"/>
          <w:color w:val="auto"/>
        </w:rPr>
        <w:t>3</w:t>
      </w:r>
    </w:p>
    <w:p>
      <w:pPr>
        <w:spacing w:after="0" w:line="201" w:lineRule="exact"/>
        <w:rPr>
          <w:sz w:val="20"/>
          <w:szCs w:val="20"/>
          <w:color w:val="auto"/>
        </w:rPr>
      </w:pPr>
    </w:p>
    <w:p>
      <w:pPr>
        <w:ind w:left="540" w:hanging="532"/>
        <w:spacing w:after="0"/>
        <w:tabs>
          <w:tab w:leader="none" w:pos="54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Exhibits</w:t>
      </w:r>
    </w:p>
    <w:p>
      <w:pPr>
        <w:spacing w:after="0" w:line="207" w:lineRule="exact"/>
        <w:rPr>
          <w:sz w:val="20"/>
          <w:szCs w:val="20"/>
          <w:color w:val="auto"/>
        </w:rPr>
      </w:pPr>
    </w:p>
    <w:p>
      <w:pPr>
        <w:ind w:left="540" w:right="2099" w:hanging="526"/>
        <w:spacing w:after="0" w:line="237" w:lineRule="auto"/>
        <w:tabs>
          <w:tab w:leader="none" w:pos="520" w:val="left"/>
        </w:tabs>
        <w:rPr>
          <w:sz w:val="20"/>
          <w:szCs w:val="20"/>
          <w:color w:val="auto"/>
        </w:rPr>
      </w:pPr>
      <w:r>
        <w:rPr>
          <w:rFonts w:ascii="Courier New" w:cs="Courier New" w:eastAsia="Courier New" w:hAnsi="Courier New"/>
          <w:sz w:val="18"/>
          <w:szCs w:val="18"/>
          <w:color w:val="auto"/>
        </w:rPr>
        <w:t>2.1</w:t>
        <w:tab/>
        <w:t>Agreement of Merger, as amended, by and among Marvell Technology Group Ltd., Galileo Technology Ltd. and Toshack Acquisitions Ltd., dated as of October 16, 2000 (incorporated by reference to Exhibit 2.1 of the Registrant's registration statement on Form S-4 (Registration No.</w:t>
      </w:r>
    </w:p>
    <w:p>
      <w:pPr>
        <w:ind w:left="540"/>
        <w:spacing w:after="0"/>
        <w:rPr>
          <w:sz w:val="20"/>
          <w:szCs w:val="20"/>
          <w:color w:val="auto"/>
        </w:rPr>
      </w:pPr>
      <w:r>
        <w:rPr>
          <w:rFonts w:ascii="Courier New" w:cs="Courier New" w:eastAsia="Courier New" w:hAnsi="Courier New"/>
          <w:sz w:val="18"/>
          <w:szCs w:val="18"/>
          <w:color w:val="auto"/>
        </w:rPr>
        <w:t>333-50206)).</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23.1 Consent of Ernst &amp; Young LLP, Independent Auditors*</w:t>
      </w:r>
    </w:p>
    <w:p>
      <w:pPr>
        <w:spacing w:after="0" w:line="200" w:lineRule="exact"/>
        <w:rPr>
          <w:sz w:val="20"/>
          <w:szCs w:val="20"/>
          <w:color w:val="auto"/>
        </w:rPr>
      </w:pPr>
    </w:p>
    <w:p>
      <w:pPr>
        <w:spacing w:after="0" w:line="204"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w:t>
      </w:r>
      <w:r>
        <w:rPr>
          <w:sz w:val="20"/>
          <w:szCs w:val="20"/>
          <w:color w:val="auto"/>
        </w:rPr>
        <w:tab/>
      </w:r>
      <w:r>
        <w:rPr>
          <w:rFonts w:ascii="Courier New" w:cs="Courier New" w:eastAsia="Courier New" w:hAnsi="Courier New"/>
          <w:sz w:val="18"/>
          <w:szCs w:val="18"/>
          <w:color w:val="auto"/>
        </w:rPr>
        <w:t>To be filed by amendment.</w:t>
      </w:r>
    </w:p>
    <w:p>
      <w:pPr>
        <w:spacing w:after="0" w:line="20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w:t>
      </w:r>
    </w:p>
    <w:p>
      <w:pPr>
        <w:sectPr>
          <w:pgSz w:w="11900" w:h="16838" w:orient="portrait"/>
          <w:cols w:equalWidth="0" w:num="1">
            <w:col w:w="10219"/>
          </w:cols>
          <w:pgMar w:left="240" w:top="312" w:right="1440" w:bottom="144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4</w:t>
      </w:r>
    </w:p>
    <w:p>
      <w:pPr>
        <w:spacing w:after="0" w:line="201"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1999" w:firstLine="527"/>
        <w:spacing w:after="0" w:line="236" w:lineRule="auto"/>
        <w:rPr>
          <w:sz w:val="20"/>
          <w:szCs w:val="20"/>
          <w:color w:val="auto"/>
        </w:rPr>
      </w:pPr>
      <w:r>
        <w:rPr>
          <w:rFonts w:ascii="Courier New" w:cs="Courier New" w:eastAsia="Courier New" w:hAnsi="Courier New"/>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Date: February 5, 2001</w:t>
      </w:r>
    </w:p>
    <w:p>
      <w:pPr>
        <w:spacing w:after="0" w:line="201"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MARVELL TECHNOLOGY GROUP LTD.</w:t>
      </w:r>
    </w:p>
    <w:p>
      <w:pPr>
        <w:spacing w:after="0" w:line="200" w:lineRule="exact"/>
        <w:rPr>
          <w:sz w:val="20"/>
          <w:szCs w:val="20"/>
          <w:color w:val="auto"/>
        </w:rPr>
      </w:pPr>
    </w:p>
    <w:p>
      <w:pPr>
        <w:spacing w:after="0" w:line="204" w:lineRule="exact"/>
        <w:rPr>
          <w:sz w:val="20"/>
          <w:szCs w:val="20"/>
          <w:color w:val="auto"/>
        </w:rPr>
      </w:pPr>
    </w:p>
    <w:p>
      <w:pPr>
        <w:jc w:val="center"/>
        <w:ind w:right="-340"/>
        <w:spacing w:after="0"/>
        <w:rPr>
          <w:sz w:val="20"/>
          <w:szCs w:val="20"/>
          <w:color w:val="auto"/>
        </w:rPr>
      </w:pPr>
      <w:r>
        <w:rPr>
          <w:rFonts w:ascii="Courier New" w:cs="Courier New" w:eastAsia="Courier New" w:hAnsi="Courier New"/>
          <w:sz w:val="18"/>
          <w:szCs w:val="18"/>
          <w:color w:val="auto"/>
        </w:rPr>
        <w:t>By: /s/ Sehat Sutardja</w:t>
      </w:r>
    </w:p>
    <w:p>
      <w:pPr>
        <w:spacing w:after="0" w:line="4" w:lineRule="exact"/>
        <w:rPr>
          <w:sz w:val="20"/>
          <w:szCs w:val="20"/>
          <w:color w:val="auto"/>
        </w:rPr>
      </w:pPr>
    </w:p>
    <w:p>
      <w:pPr>
        <w:ind w:left="45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Sehat Sutardja</w:t>
      </w:r>
    </w:p>
    <w:p>
      <w:pPr>
        <w:spacing w:after="0" w:line="4" w:lineRule="exact"/>
        <w:rPr>
          <w:sz w:val="20"/>
          <w:szCs w:val="20"/>
          <w:color w:val="auto"/>
        </w:rPr>
      </w:pPr>
    </w:p>
    <w:p>
      <w:pPr>
        <w:ind w:left="4540"/>
        <w:spacing w:after="0"/>
        <w:rPr>
          <w:sz w:val="20"/>
          <w:szCs w:val="20"/>
          <w:color w:val="auto"/>
        </w:rPr>
      </w:pPr>
      <w:r>
        <w:rPr>
          <w:rFonts w:ascii="Courier New" w:cs="Courier New" w:eastAsia="Courier New" w:hAnsi="Courier New"/>
          <w:sz w:val="16"/>
          <w:szCs w:val="16"/>
          <w:color w:val="auto"/>
        </w:rPr>
        <w:t>President and Chief Executive Officer</w:t>
      </w:r>
    </w:p>
    <w:p>
      <w:pPr>
        <w:spacing w:after="0" w:line="21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w:t>
      </w:r>
    </w:p>
    <w:p>
      <w:pPr>
        <w:sectPr>
          <w:pgSz w:w="11900" w:h="16838" w:orient="portrait"/>
          <w:cols w:equalWidth="0" w:num="1">
            <w:col w:w="10219"/>
          </w:cols>
          <w:pgMar w:left="240" w:top="312" w:right="1440" w:bottom="1440" w:gutter="0" w:footer="0" w:header="0"/>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5</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64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2000" w:type="dxa"/>
            <w:vAlign w:val="bottom"/>
          </w:tcPr>
          <w:p>
            <w:pPr>
              <w:jc w:val="right"/>
              <w:spacing w:after="0"/>
              <w:rPr>
                <w:sz w:val="20"/>
                <w:szCs w:val="20"/>
                <w:color w:val="auto"/>
              </w:rPr>
            </w:pPr>
            <w:r>
              <w:rPr>
                <w:rFonts w:ascii="Courier New" w:cs="Courier New" w:eastAsia="Courier New" w:hAnsi="Courier New"/>
                <w:sz w:val="18"/>
                <w:szCs w:val="18"/>
                <w:color w:val="auto"/>
              </w:rPr>
              <w:t>EXHIBIT INDEX</w:t>
            </w:r>
          </w:p>
        </w:tc>
        <w:tc>
          <w:tcPr>
            <w:tcW w:w="5740" w:type="dxa"/>
            <w:vAlign w:val="bottom"/>
          </w:tcPr>
          <w:p>
            <w:pPr>
              <w:spacing w:after="0"/>
              <w:rPr>
                <w:sz w:val="17"/>
                <w:szCs w:val="17"/>
                <w:color w:val="auto"/>
              </w:rPr>
            </w:pPr>
          </w:p>
        </w:tc>
      </w:tr>
      <w:tr>
        <w:trPr>
          <w:trHeight w:val="810"/>
        </w:trPr>
        <w:tc>
          <w:tcPr>
            <w:tcW w:w="1640" w:type="dxa"/>
            <w:vAlign w:val="bottom"/>
          </w:tcPr>
          <w:p>
            <w:pPr>
              <w:spacing w:after="0"/>
              <w:rPr>
                <w:sz w:val="20"/>
                <w:szCs w:val="20"/>
                <w:color w:val="auto"/>
              </w:rPr>
            </w:pPr>
            <w:r>
              <w:rPr>
                <w:rFonts w:ascii="Courier New" w:cs="Courier New" w:eastAsia="Courier New" w:hAnsi="Courier New"/>
                <w:sz w:val="18"/>
                <w:szCs w:val="18"/>
                <w:color w:val="auto"/>
              </w:rPr>
              <w:t>Exhibit No.</w:t>
            </w:r>
          </w:p>
        </w:tc>
        <w:tc>
          <w:tcPr>
            <w:tcW w:w="1380" w:type="dxa"/>
            <w:vAlign w:val="bottom"/>
          </w:tcPr>
          <w:p>
            <w:pPr>
              <w:ind w:left="260"/>
              <w:spacing w:after="0"/>
              <w:rPr>
                <w:sz w:val="20"/>
                <w:szCs w:val="20"/>
                <w:color w:val="auto"/>
              </w:rPr>
            </w:pPr>
            <w:r>
              <w:rPr>
                <w:rFonts w:ascii="Courier New" w:cs="Courier New" w:eastAsia="Courier New" w:hAnsi="Courier New"/>
                <w:sz w:val="18"/>
                <w:szCs w:val="18"/>
                <w:color w:val="auto"/>
              </w:rPr>
              <w:t>Document</w:t>
            </w:r>
          </w:p>
        </w:tc>
        <w:tc>
          <w:tcPr>
            <w:tcW w:w="2000" w:type="dxa"/>
            <w:vAlign w:val="bottom"/>
          </w:tcPr>
          <w:p>
            <w:pPr>
              <w:spacing w:after="0"/>
              <w:rPr>
                <w:sz w:val="24"/>
                <w:szCs w:val="24"/>
                <w:color w:val="auto"/>
              </w:rPr>
            </w:pPr>
          </w:p>
        </w:tc>
        <w:tc>
          <w:tcPr>
            <w:tcW w:w="5740" w:type="dxa"/>
            <w:vAlign w:val="bottom"/>
          </w:tcPr>
          <w:p>
            <w:pPr>
              <w:spacing w:after="0"/>
              <w:rPr>
                <w:sz w:val="24"/>
                <w:szCs w:val="24"/>
                <w:color w:val="auto"/>
              </w:rPr>
            </w:pPr>
          </w:p>
        </w:tc>
      </w:tr>
      <w:tr>
        <w:trPr>
          <w:trHeight w:val="203"/>
        </w:trPr>
        <w:tc>
          <w:tcPr>
            <w:tcW w:w="164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138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rPr>
              <w:t>--------</w:t>
            </w:r>
          </w:p>
        </w:tc>
        <w:tc>
          <w:tcPr>
            <w:tcW w:w="2000" w:type="dxa"/>
            <w:vAlign w:val="bottom"/>
          </w:tcPr>
          <w:p>
            <w:pPr>
              <w:spacing w:after="0"/>
              <w:rPr>
                <w:sz w:val="17"/>
                <w:szCs w:val="17"/>
                <w:color w:val="auto"/>
              </w:rPr>
            </w:pPr>
          </w:p>
        </w:tc>
        <w:tc>
          <w:tcPr>
            <w:tcW w:w="5740" w:type="dxa"/>
            <w:vAlign w:val="bottom"/>
          </w:tcPr>
          <w:p>
            <w:pPr>
              <w:spacing w:after="0"/>
              <w:rPr>
                <w:sz w:val="17"/>
                <w:szCs w:val="17"/>
                <w:color w:val="auto"/>
              </w:rPr>
            </w:pPr>
          </w:p>
        </w:tc>
      </w:tr>
      <w:tr>
        <w:trPr>
          <w:trHeight w:val="405"/>
        </w:trPr>
        <w:tc>
          <w:tcPr>
            <w:tcW w:w="1640" w:type="dxa"/>
            <w:vAlign w:val="bottom"/>
          </w:tcPr>
          <w:p>
            <w:pPr>
              <w:spacing w:after="0"/>
              <w:rPr>
                <w:sz w:val="20"/>
                <w:szCs w:val="20"/>
                <w:color w:val="auto"/>
              </w:rPr>
            </w:pPr>
            <w:r>
              <w:rPr>
                <w:rFonts w:ascii="Courier New" w:cs="Courier New" w:eastAsia="Courier New" w:hAnsi="Courier New"/>
                <w:sz w:val="18"/>
                <w:szCs w:val="18"/>
                <w:color w:val="auto"/>
              </w:rPr>
              <w:t>Exhibit 2.1</w:t>
            </w:r>
          </w:p>
        </w:tc>
        <w:tc>
          <w:tcPr>
            <w:tcW w:w="9120" w:type="dxa"/>
            <w:vAlign w:val="bottom"/>
            <w:gridSpan w:val="3"/>
          </w:tcPr>
          <w:p>
            <w:pPr>
              <w:ind w:left="260"/>
              <w:spacing w:after="0"/>
              <w:rPr>
                <w:sz w:val="20"/>
                <w:szCs w:val="20"/>
                <w:color w:val="auto"/>
              </w:rPr>
            </w:pPr>
            <w:r>
              <w:rPr>
                <w:rFonts w:ascii="Courier New" w:cs="Courier New" w:eastAsia="Courier New" w:hAnsi="Courier New"/>
                <w:sz w:val="18"/>
                <w:szCs w:val="18"/>
                <w:color w:val="auto"/>
                <w:w w:val="97"/>
              </w:rPr>
              <w:t>Agreement of Merger, as amended, by and among Marvell Technology Group Ltd., Galileo</w:t>
            </w:r>
          </w:p>
        </w:tc>
      </w:tr>
      <w:tr>
        <w:trPr>
          <w:trHeight w:val="203"/>
        </w:trPr>
        <w:tc>
          <w:tcPr>
            <w:tcW w:w="1640" w:type="dxa"/>
            <w:vAlign w:val="bottom"/>
          </w:tcPr>
          <w:p>
            <w:pPr>
              <w:spacing w:after="0"/>
              <w:rPr>
                <w:sz w:val="17"/>
                <w:szCs w:val="17"/>
                <w:color w:val="auto"/>
              </w:rPr>
            </w:pPr>
          </w:p>
        </w:tc>
        <w:tc>
          <w:tcPr>
            <w:tcW w:w="138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Technology</w:t>
            </w:r>
          </w:p>
        </w:tc>
        <w:tc>
          <w:tcPr>
            <w:tcW w:w="774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Ltd. and Toshack Acquisitions Ltd., dated as of October 16, 2000</w:t>
            </w:r>
          </w:p>
        </w:tc>
      </w:tr>
      <w:tr>
        <w:trPr>
          <w:trHeight w:val="203"/>
        </w:trPr>
        <w:tc>
          <w:tcPr>
            <w:tcW w:w="1640" w:type="dxa"/>
            <w:vAlign w:val="bottom"/>
          </w:tcPr>
          <w:p>
            <w:pPr>
              <w:spacing w:after="0"/>
              <w:rPr>
                <w:sz w:val="17"/>
                <w:szCs w:val="17"/>
                <w:color w:val="auto"/>
              </w:rPr>
            </w:pPr>
          </w:p>
        </w:tc>
        <w:tc>
          <w:tcPr>
            <w:tcW w:w="33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w w:val="98"/>
              </w:rPr>
              <w:t>(incorporated by reference to</w:t>
            </w:r>
          </w:p>
        </w:tc>
        <w:tc>
          <w:tcPr>
            <w:tcW w:w="57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7"/>
              </w:rPr>
              <w:t>Exhibit 2.1 of the Registrant's registration statement</w:t>
            </w:r>
          </w:p>
        </w:tc>
      </w:tr>
      <w:tr>
        <w:trPr>
          <w:trHeight w:val="203"/>
        </w:trPr>
        <w:tc>
          <w:tcPr>
            <w:tcW w:w="1640" w:type="dxa"/>
            <w:vAlign w:val="bottom"/>
          </w:tcPr>
          <w:p>
            <w:pPr>
              <w:spacing w:after="0"/>
              <w:rPr>
                <w:sz w:val="17"/>
                <w:szCs w:val="17"/>
                <w:color w:val="auto"/>
              </w:rPr>
            </w:pPr>
          </w:p>
        </w:tc>
        <w:tc>
          <w:tcPr>
            <w:tcW w:w="33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w w:val="98"/>
              </w:rPr>
              <w:t>on Form S-4 (Registration No.</w:t>
            </w:r>
          </w:p>
        </w:tc>
        <w:tc>
          <w:tcPr>
            <w:tcW w:w="57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333-50206)).</w:t>
            </w:r>
          </w:p>
        </w:tc>
      </w:tr>
      <w:tr>
        <w:trPr>
          <w:trHeight w:val="405"/>
        </w:trPr>
        <w:tc>
          <w:tcPr>
            <w:tcW w:w="1640" w:type="dxa"/>
            <w:vAlign w:val="bottom"/>
          </w:tcPr>
          <w:p>
            <w:pPr>
              <w:spacing w:after="0"/>
              <w:rPr>
                <w:sz w:val="20"/>
                <w:szCs w:val="20"/>
                <w:color w:val="auto"/>
              </w:rPr>
            </w:pPr>
            <w:r>
              <w:rPr>
                <w:rFonts w:ascii="Courier New" w:cs="Courier New" w:eastAsia="Courier New" w:hAnsi="Courier New"/>
                <w:sz w:val="18"/>
                <w:szCs w:val="18"/>
                <w:color w:val="auto"/>
              </w:rPr>
              <w:t>Exhibit  23.1</w:t>
            </w:r>
          </w:p>
        </w:tc>
        <w:tc>
          <w:tcPr>
            <w:tcW w:w="1380" w:type="dxa"/>
            <w:vAlign w:val="bottom"/>
          </w:tcPr>
          <w:p>
            <w:pPr>
              <w:ind w:left="260"/>
              <w:spacing w:after="0"/>
              <w:rPr>
                <w:sz w:val="20"/>
                <w:szCs w:val="20"/>
                <w:color w:val="auto"/>
              </w:rPr>
            </w:pPr>
            <w:r>
              <w:rPr>
                <w:rFonts w:ascii="Courier New" w:cs="Courier New" w:eastAsia="Courier New" w:hAnsi="Courier New"/>
                <w:sz w:val="18"/>
                <w:szCs w:val="18"/>
                <w:color w:val="auto"/>
              </w:rPr>
              <w:t>Consent of</w:t>
            </w:r>
          </w:p>
        </w:tc>
        <w:tc>
          <w:tcPr>
            <w:tcW w:w="2000" w:type="dxa"/>
            <w:vAlign w:val="bottom"/>
          </w:tcPr>
          <w:p>
            <w:pPr>
              <w:jc w:val="right"/>
              <w:spacing w:after="0"/>
              <w:rPr>
                <w:sz w:val="20"/>
                <w:szCs w:val="20"/>
                <w:color w:val="auto"/>
              </w:rPr>
            </w:pPr>
            <w:r>
              <w:rPr>
                <w:rFonts w:ascii="Courier New" w:cs="Courier New" w:eastAsia="Courier New" w:hAnsi="Courier New"/>
                <w:sz w:val="18"/>
                <w:szCs w:val="18"/>
                <w:color w:val="auto"/>
                <w:w w:val="98"/>
              </w:rPr>
              <w:t>Ernst &amp; Young LLP,</w:t>
            </w:r>
          </w:p>
        </w:tc>
        <w:tc>
          <w:tcPr>
            <w:tcW w:w="5740" w:type="dxa"/>
            <w:vAlign w:val="bottom"/>
          </w:tcPr>
          <w:p>
            <w:pPr>
              <w:ind w:left="40"/>
              <w:spacing w:after="0"/>
              <w:rPr>
                <w:sz w:val="20"/>
                <w:szCs w:val="20"/>
                <w:color w:val="auto"/>
              </w:rPr>
            </w:pPr>
            <w:r>
              <w:rPr>
                <w:rFonts w:ascii="Courier New" w:cs="Courier New" w:eastAsia="Courier New" w:hAnsi="Courier New"/>
                <w:sz w:val="18"/>
                <w:szCs w:val="18"/>
                <w:color w:val="auto"/>
              </w:rPr>
              <w:t>Independent Auditors*</w:t>
            </w:r>
          </w:p>
        </w:tc>
      </w:tr>
    </w:tbl>
    <w:p>
      <w:pPr>
        <w:spacing w:after="0" w:line="200" w:lineRule="exact"/>
        <w:rPr>
          <w:sz w:val="20"/>
          <w:szCs w:val="20"/>
          <w:color w:val="auto"/>
        </w:rPr>
      </w:pPr>
    </w:p>
    <w:p>
      <w:pPr>
        <w:spacing w:after="0" w:line="204"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w:t>
      </w:r>
      <w:r>
        <w:rPr>
          <w:sz w:val="20"/>
          <w:szCs w:val="20"/>
          <w:color w:val="auto"/>
        </w:rPr>
        <w:tab/>
      </w:r>
      <w:r>
        <w:rPr>
          <w:rFonts w:ascii="Courier New" w:cs="Courier New" w:eastAsia="Courier New" w:hAnsi="Courier New"/>
          <w:sz w:val="18"/>
          <w:szCs w:val="18"/>
          <w:color w:val="auto"/>
        </w:rPr>
        <w:t>To be filed by amendment.</w:t>
      </w:r>
    </w:p>
    <w:sectPr>
      <w:pgSz w:w="11900" w:h="16838" w:orient="portrait"/>
      <w:cols w:equalWidth="0" w:num="1">
        <w:col w:w="10760"/>
      </w:cols>
      <w:pgMar w:left="240" w:top="312" w:right="8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lowerLetter"/>
      <w:start w:val="1"/>
    </w:lvl>
  </w:abstractNum>
  <w:abstractNum w:abstractNumId="1">
    <w:nsid w:val="74B0DC51"/>
    <w:multiLevelType w:val="hybridMultilevel"/>
    <w:lvl w:ilvl="0">
      <w:lvlJc w:val="left"/>
      <w:lvlText w:val="(%1)"/>
      <w:numFmt w:val="lowerLetter"/>
      <w:start w:val="2"/>
    </w:lvl>
  </w:abstractNum>
  <w:abstractNum w:abstractNumId="2">
    <w:nsid w:val="19495CFF"/>
    <w:multiLevelType w:val="hybridMultilevel"/>
    <w:lvl w:ilvl="0">
      <w:lvlJc w:val="left"/>
      <w:lvlText w:val="(%1)"/>
      <w:numFmt w:val="lowerLetter"/>
      <w:start w:val="3"/>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2019-12-11T23:07:18Z</dcterms:created>
  <dcterms:modified xsi:type="dcterms:W3CDTF">2019-12-11T23:07:18Z</dcterms:modified>
</cp:coreProperties>
</file>