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4"/>
          <w:szCs w:val="24"/>
          <w:color w:val="auto"/>
        </w:rPr>
      </w:pPr>
    </w:p>
    <w:p>
      <w:pPr>
        <w:spacing w:after="0" w:line="221"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2740"/>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spacing w:after="0" w:line="204"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FORM 8-K</w:t>
      </w:r>
    </w:p>
    <w:p>
      <w:pPr>
        <w:spacing w:after="0" w:line="200" w:lineRule="exact"/>
        <w:rPr>
          <w:sz w:val="24"/>
          <w:szCs w:val="24"/>
          <w:color w:val="auto"/>
        </w:rPr>
      </w:pPr>
    </w:p>
    <w:p>
      <w:pPr>
        <w:spacing w:after="0" w:line="204" w:lineRule="exact"/>
        <w:rPr>
          <w:sz w:val="24"/>
          <w:szCs w:val="24"/>
          <w:color w:val="auto"/>
        </w:rPr>
      </w:pPr>
    </w:p>
    <w:p>
      <w:pPr>
        <w:ind w:left="3480"/>
        <w:spacing w:after="0"/>
        <w:rPr>
          <w:sz w:val="20"/>
          <w:szCs w:val="20"/>
          <w:color w:val="auto"/>
        </w:rPr>
      </w:pPr>
      <w:r>
        <w:rPr>
          <w:rFonts w:ascii="Courier New" w:cs="Courier New" w:eastAsia="Courier New" w:hAnsi="Courier New"/>
          <w:sz w:val="18"/>
          <w:szCs w:val="18"/>
          <w:color w:val="auto"/>
        </w:rPr>
        <w:t>CURRENT REPORT</w:t>
      </w:r>
    </w:p>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ind w:left="2440"/>
        <w:spacing w:after="0"/>
        <w:rPr>
          <w:sz w:val="20"/>
          <w:szCs w:val="20"/>
          <w:color w:val="auto"/>
        </w:rPr>
      </w:pPr>
      <w:r>
        <w:rPr>
          <w:rFonts w:ascii="Courier New" w:cs="Courier New" w:eastAsia="Courier New" w:hAnsi="Courier New"/>
          <w:sz w:val="18"/>
          <w:szCs w:val="18"/>
          <w:color w:val="auto"/>
        </w:rPr>
        <w:t>PURSUANT TO SECTION 13 OR 15(D) OF</w:t>
      </w:r>
    </w:p>
    <w:p>
      <w:pPr>
        <w:ind w:left="2440"/>
        <w:spacing w:after="0" w:line="238" w:lineRule="auto"/>
        <w:rPr>
          <w:sz w:val="20"/>
          <w:szCs w:val="20"/>
          <w:color w:val="auto"/>
        </w:rPr>
      </w:pPr>
      <w:r>
        <w:rPr>
          <w:rFonts w:ascii="Courier New" w:cs="Courier New" w:eastAsia="Courier New" w:hAnsi="Courier New"/>
          <w:sz w:val="18"/>
          <w:szCs w:val="18"/>
          <w:color w:val="auto"/>
        </w:rPr>
        <w:t>THE SECURITIES EXCHANGE ACT OF 1934</w:t>
      </w:r>
    </w:p>
    <w:p>
      <w:pPr>
        <w:spacing w:after="0" w:line="200" w:lineRule="exact"/>
        <w:rPr>
          <w:sz w:val="24"/>
          <w:szCs w:val="24"/>
          <w:color w:val="auto"/>
        </w:rPr>
      </w:pPr>
    </w:p>
    <w:p>
      <w:pPr>
        <w:spacing w:after="0" w:line="204"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APRIL 5, 2001 (APRIL 5, 2001)</w:t>
      </w:r>
    </w:p>
    <w:p>
      <w:pPr>
        <w:ind w:left="1700"/>
        <w:spacing w:after="0" w:line="238" w:lineRule="auto"/>
        <w:rPr>
          <w:sz w:val="20"/>
          <w:szCs w:val="20"/>
          <w:color w:val="auto"/>
        </w:rPr>
      </w:pPr>
      <w:r>
        <w:rPr>
          <w:rFonts w:ascii="Courier New" w:cs="Courier New" w:eastAsia="Courier New" w:hAnsi="Courier New"/>
          <w:sz w:val="18"/>
          <w:szCs w:val="18"/>
          <w:color w:val="auto"/>
        </w:rPr>
        <w:t>DATE OF REPORT (DATE OF EARLIEST EVENT REPORTED)</w:t>
      </w:r>
    </w:p>
    <w:p>
      <w:pPr>
        <w:spacing w:after="0" w:line="200" w:lineRule="exact"/>
        <w:rPr>
          <w:sz w:val="24"/>
          <w:szCs w:val="24"/>
          <w:color w:val="auto"/>
        </w:rPr>
      </w:pPr>
    </w:p>
    <w:p>
      <w:pPr>
        <w:spacing w:after="0" w:line="204"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MARVELL TECHNOLOGY GROUP LTD.</w:t>
      </w:r>
    </w:p>
    <w:p>
      <w:pPr>
        <w:jc w:val="center"/>
        <w:ind w:right="2740"/>
        <w:spacing w:after="0" w:line="238" w:lineRule="auto"/>
        <w:rPr>
          <w:sz w:val="20"/>
          <w:szCs w:val="20"/>
          <w:color w:val="auto"/>
        </w:rPr>
      </w:pPr>
      <w:r>
        <w:rPr>
          <w:rFonts w:ascii="Courier New" w:cs="Courier New" w:eastAsia="Courier New" w:hAnsi="Courier New"/>
          <w:sz w:val="18"/>
          <w:szCs w:val="18"/>
          <w:color w:val="auto"/>
        </w:rPr>
        <w:t>(EXACT NAME OF REGISTRANT AS SPECIFIED IN ITS CHARTER)</w:t>
      </w:r>
    </w:p>
    <w:p>
      <w:pPr>
        <w:sectPr>
          <w:pgSz w:w="11900" w:h="16838" w:orient="portrait"/>
          <w:cols w:equalWidth="0" w:num="1">
            <w:col w:w="11180"/>
          </w:cols>
          <w:pgMar w:left="240" w:top="244" w:right="4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jc w:val="center"/>
        <w:ind w:right="220"/>
        <w:spacing w:after="0"/>
        <w:rPr>
          <w:sz w:val="20"/>
          <w:szCs w:val="20"/>
          <w:color w:val="auto"/>
        </w:rPr>
      </w:pPr>
      <w:r>
        <w:rPr>
          <w:rFonts w:ascii="Courier New" w:cs="Courier New" w:eastAsia="Courier New" w:hAnsi="Courier New"/>
          <w:sz w:val="18"/>
          <w:szCs w:val="18"/>
          <w:color w:val="auto"/>
        </w:rPr>
        <w:t>BERMUDA</w:t>
      </w:r>
    </w:p>
    <w:p>
      <w:pPr>
        <w:spacing w:after="0" w:line="4" w:lineRule="exact"/>
        <w:rPr>
          <w:sz w:val="24"/>
          <w:szCs w:val="24"/>
          <w:color w:val="auto"/>
        </w:rPr>
      </w:pPr>
    </w:p>
    <w:p>
      <w:pPr>
        <w:jc w:val="center"/>
        <w:ind w:right="220"/>
        <w:spacing w:after="0"/>
        <w:rPr>
          <w:sz w:val="20"/>
          <w:szCs w:val="20"/>
          <w:color w:val="auto"/>
        </w:rPr>
      </w:pPr>
      <w:r>
        <w:rPr>
          <w:rFonts w:ascii="Courier New" w:cs="Courier New" w:eastAsia="Courier New" w:hAnsi="Courier New"/>
          <w:sz w:val="16"/>
          <w:szCs w:val="16"/>
          <w:color w:val="auto"/>
        </w:rPr>
        <w:t>(STATE OR OTHER JURISDICTION OF</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ind w:left="940"/>
        <w:spacing w:after="0"/>
        <w:rPr>
          <w:sz w:val="20"/>
          <w:szCs w:val="20"/>
          <w:color w:val="auto"/>
        </w:rPr>
      </w:pPr>
      <w:r>
        <w:rPr>
          <w:rFonts w:ascii="Courier New" w:cs="Courier New" w:eastAsia="Courier New" w:hAnsi="Courier New"/>
          <w:sz w:val="18"/>
          <w:szCs w:val="18"/>
          <w:color w:val="auto"/>
        </w:rPr>
        <w:t>1-10959</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jc w:val="center"/>
        <w:spacing w:after="0"/>
        <w:rPr>
          <w:sz w:val="20"/>
          <w:szCs w:val="20"/>
          <w:color w:val="auto"/>
        </w:rPr>
      </w:pPr>
      <w:r>
        <w:rPr>
          <w:rFonts w:ascii="Courier New" w:cs="Courier New" w:eastAsia="Courier New" w:hAnsi="Courier New"/>
          <w:sz w:val="18"/>
          <w:szCs w:val="18"/>
          <w:color w:val="auto"/>
        </w:rPr>
        <w:t>77-0481679</w:t>
      </w:r>
    </w:p>
    <w:p>
      <w:pPr>
        <w:spacing w:after="0" w:line="4"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(I.R.S. EMPLOYER IDENTIFICATION NO.)</w:t>
      </w:r>
    </w:p>
    <w:p>
      <w:pPr>
        <w:spacing w:after="0" w:line="21" w:lineRule="exact"/>
        <w:rPr>
          <w:sz w:val="24"/>
          <w:szCs w:val="24"/>
          <w:color w:val="auto"/>
        </w:rPr>
      </w:pPr>
    </w:p>
    <w:p>
      <w:pPr>
        <w:sectPr>
          <w:pgSz w:w="11900" w:h="16838" w:orient="portrait"/>
          <w:cols w:equalWidth="0" w:num="3">
            <w:col w:w="3500" w:space="720"/>
            <w:col w:w="2520" w:space="640"/>
            <w:col w:w="3800"/>
          </w:cols>
          <w:pgMar w:left="240" w:top="244" w:right="479" w:bottom="1440" w:gutter="0" w:footer="0" w:header="0"/>
          <w:type w:val="continuous"/>
        </w:sectPr>
      </w:pPr>
    </w:p>
    <w:p>
      <w:pPr>
        <w:ind w:left="120"/>
        <w:spacing w:after="0"/>
        <w:rPr>
          <w:sz w:val="20"/>
          <w:szCs w:val="20"/>
          <w:color w:val="auto"/>
        </w:rPr>
      </w:pPr>
      <w:r>
        <w:rPr>
          <w:rFonts w:ascii="Courier New" w:cs="Courier New" w:eastAsia="Courier New" w:hAnsi="Courier New"/>
          <w:sz w:val="16"/>
          <w:szCs w:val="16"/>
          <w:color w:val="auto"/>
        </w:rPr>
        <w:t>INCORPORATION OR ORGANIZATION)</w:t>
      </w:r>
    </w:p>
    <w:p>
      <w:pPr>
        <w:sectPr>
          <w:pgSz w:w="11900" w:h="16838" w:orient="portrait"/>
          <w:cols w:equalWidth="0" w:num="1">
            <w:col w:w="11180"/>
          </w:cols>
          <w:pgMar w:left="240" w:top="244" w:right="479" w:bottom="1440" w:gutter="0" w:footer="0" w:header="0"/>
          <w:type w:val="continuous"/>
        </w:sectPr>
      </w:pPr>
    </w:p>
    <w:p>
      <w:pPr>
        <w:spacing w:after="0" w:line="200" w:lineRule="exact"/>
        <w:rPr>
          <w:sz w:val="24"/>
          <w:szCs w:val="24"/>
          <w:color w:val="auto"/>
        </w:rPr>
      </w:pPr>
    </w:p>
    <w:p>
      <w:pPr>
        <w:spacing w:after="0" w:line="221" w:lineRule="exact"/>
        <w:rPr>
          <w:sz w:val="24"/>
          <w:szCs w:val="24"/>
          <w:color w:val="auto"/>
        </w:rPr>
      </w:pPr>
    </w:p>
    <w:p>
      <w:pPr>
        <w:ind w:left="3480"/>
        <w:spacing w:after="0"/>
        <w:rPr>
          <w:sz w:val="20"/>
          <w:szCs w:val="20"/>
          <w:color w:val="auto"/>
        </w:rPr>
      </w:pPr>
      <w:r>
        <w:rPr>
          <w:rFonts w:ascii="Courier New" w:cs="Courier New" w:eastAsia="Courier New" w:hAnsi="Courier New"/>
          <w:sz w:val="18"/>
          <w:szCs w:val="18"/>
          <w:color w:val="auto"/>
        </w:rPr>
        <w:t>RICHMOND HOUSE</w:t>
      </w:r>
    </w:p>
    <w:p>
      <w:pPr>
        <w:ind w:left="3800"/>
        <w:spacing w:after="0" w:line="238" w:lineRule="auto"/>
        <w:rPr>
          <w:sz w:val="20"/>
          <w:szCs w:val="20"/>
          <w:color w:val="auto"/>
        </w:rPr>
      </w:pPr>
      <w:r>
        <w:rPr>
          <w:rFonts w:ascii="Courier New" w:cs="Courier New" w:eastAsia="Courier New" w:hAnsi="Courier New"/>
          <w:sz w:val="18"/>
          <w:szCs w:val="18"/>
          <w:color w:val="auto"/>
        </w:rPr>
        <w:t>3RD FLOOR</w:t>
      </w:r>
    </w:p>
    <w:p>
      <w:pPr>
        <w:ind w:left="3160"/>
        <w:spacing w:after="0"/>
        <w:rPr>
          <w:sz w:val="20"/>
          <w:szCs w:val="20"/>
          <w:color w:val="auto"/>
        </w:rPr>
      </w:pPr>
      <w:r>
        <w:rPr>
          <w:rFonts w:ascii="Courier New" w:cs="Courier New" w:eastAsia="Courier New" w:hAnsi="Courier New"/>
          <w:sz w:val="18"/>
          <w:szCs w:val="18"/>
          <w:color w:val="auto"/>
        </w:rPr>
        <w:t>12 PAR LA VILLE ROAD</w:t>
      </w:r>
    </w:p>
    <w:p>
      <w:pPr>
        <w:ind w:left="3480"/>
        <w:spacing w:after="0" w:line="237" w:lineRule="auto"/>
        <w:rPr>
          <w:sz w:val="20"/>
          <w:szCs w:val="20"/>
          <w:color w:val="auto"/>
        </w:rPr>
      </w:pPr>
      <w:r>
        <w:rPr>
          <w:rFonts w:ascii="Courier New" w:cs="Courier New" w:eastAsia="Courier New" w:hAnsi="Courier New"/>
          <w:sz w:val="18"/>
          <w:szCs w:val="18"/>
          <w:color w:val="auto"/>
        </w:rPr>
        <w:t>HAMILTON HM DX</w:t>
      </w:r>
    </w:p>
    <w:p>
      <w:pPr>
        <w:ind w:left="3900"/>
        <w:spacing w:after="0" w:line="238" w:lineRule="auto"/>
        <w:rPr>
          <w:sz w:val="20"/>
          <w:szCs w:val="20"/>
          <w:color w:val="auto"/>
        </w:rPr>
      </w:pPr>
      <w:r>
        <w:rPr>
          <w:rFonts w:ascii="Courier New" w:cs="Courier New" w:eastAsia="Courier New" w:hAnsi="Courier New"/>
          <w:sz w:val="18"/>
          <w:szCs w:val="18"/>
          <w:color w:val="auto"/>
        </w:rPr>
        <w:t>BERMUDA</w:t>
      </w:r>
    </w:p>
    <w:p>
      <w:pPr>
        <w:ind w:left="1580"/>
        <w:spacing w:after="0"/>
        <w:rPr>
          <w:sz w:val="20"/>
          <w:szCs w:val="20"/>
          <w:color w:val="auto"/>
        </w:rPr>
      </w:pPr>
      <w:r>
        <w:rPr>
          <w:rFonts w:ascii="Courier New" w:cs="Courier New" w:eastAsia="Courier New" w:hAnsi="Courier New"/>
          <w:sz w:val="18"/>
          <w:szCs w:val="18"/>
          <w:color w:val="auto"/>
        </w:rPr>
        <w:t>(ADDRESS OF PRINCIPAL EXECUTIVE OFFICES) (ZIP CODE)</w:t>
      </w:r>
    </w:p>
    <w:p>
      <w:pPr>
        <w:spacing w:after="0" w:line="201" w:lineRule="exact"/>
        <w:rPr>
          <w:sz w:val="24"/>
          <w:szCs w:val="24"/>
          <w:color w:val="auto"/>
        </w:rPr>
      </w:pPr>
    </w:p>
    <w:p>
      <w:pPr>
        <w:ind w:left="740"/>
        <w:spacing w:after="0"/>
        <w:rPr>
          <w:sz w:val="20"/>
          <w:szCs w:val="20"/>
          <w:color w:val="auto"/>
        </w:rPr>
      </w:pPr>
      <w:r>
        <w:rPr>
          <w:rFonts w:ascii="Courier New" w:cs="Courier New" w:eastAsia="Courier New" w:hAnsi="Courier New"/>
          <w:sz w:val="18"/>
          <w:szCs w:val="18"/>
          <w:color w:val="auto"/>
        </w:rPr>
        <w:t>REGISTRANT'S TELEPHONE NUMBER, INCLUDING AREA CODE: (441) 296-6395</w:t>
      </w:r>
    </w:p>
    <w:p>
      <w:pPr>
        <w:spacing w:after="0" w:line="200" w:lineRule="exact"/>
        <w:rPr>
          <w:sz w:val="24"/>
          <w:szCs w:val="24"/>
          <w:color w:val="auto"/>
        </w:rPr>
      </w:pPr>
    </w:p>
    <w:p>
      <w:pPr>
        <w:spacing w:after="0" w:line="204"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N/A</w:t>
      </w:r>
    </w:p>
    <w:p>
      <w:pPr>
        <w:jc w:val="center"/>
        <w:ind w:right="2740"/>
        <w:spacing w:after="0" w:line="238" w:lineRule="auto"/>
        <w:rPr>
          <w:sz w:val="20"/>
          <w:szCs w:val="20"/>
          <w:color w:val="auto"/>
        </w:rPr>
      </w:pPr>
      <w:r>
        <w:rPr>
          <w:rFonts w:ascii="Courier New" w:cs="Courier New" w:eastAsia="Courier New" w:hAnsi="Courier New"/>
          <w:sz w:val="18"/>
          <w:szCs w:val="18"/>
          <w:color w:val="auto"/>
        </w:rPr>
        <w:t>(FORMER NAME AND FORMER ADDRESS, IF CHANGED SINCE LAST REPORT)</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1180"/>
          </w:cols>
          <w:pgMar w:left="240" w:top="244" w:right="479" w:bottom="1440" w:gutter="0" w:footer="0" w:header="0"/>
          <w:type w:val="continuous"/>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0" w:lineRule="exact"/>
        <w:rPr>
          <w:sz w:val="20"/>
          <w:szCs w:val="20"/>
          <w:color w:val="auto"/>
        </w:rPr>
      </w:pPr>
    </w:p>
    <w:p>
      <w:pPr>
        <w:spacing w:after="0" w:line="204" w:lineRule="exact"/>
        <w:rPr>
          <w:sz w:val="20"/>
          <w:szCs w:val="20"/>
          <w:color w:val="auto"/>
        </w:rPr>
      </w:pPr>
    </w:p>
    <w:p>
      <w:pPr>
        <w:ind w:left="2120"/>
        <w:spacing w:after="0"/>
        <w:rPr>
          <w:sz w:val="20"/>
          <w:szCs w:val="20"/>
          <w:color w:val="auto"/>
        </w:rPr>
      </w:pPr>
      <w:r>
        <w:rPr>
          <w:rFonts w:ascii="Courier New" w:cs="Courier New" w:eastAsia="Courier New" w:hAnsi="Courier New"/>
          <w:sz w:val="18"/>
          <w:szCs w:val="18"/>
          <w:color w:val="auto"/>
        </w:rPr>
        <w:t>INFORMATION TO BE INCLUDED IN THE REPORT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OTHER EVENTS.</w:t>
      </w:r>
    </w:p>
    <w:p>
      <w:pPr>
        <w:spacing w:after="0" w:line="207" w:lineRule="exact"/>
        <w:rPr>
          <w:sz w:val="20"/>
          <w:szCs w:val="20"/>
          <w:color w:val="auto"/>
        </w:rPr>
      </w:pPr>
    </w:p>
    <w:p>
      <w:pPr>
        <w:ind w:right="1879" w:firstLine="527"/>
        <w:spacing w:after="0" w:line="279" w:lineRule="auto"/>
        <w:rPr>
          <w:sz w:val="20"/>
          <w:szCs w:val="20"/>
          <w:color w:val="auto"/>
        </w:rPr>
      </w:pPr>
      <w:r>
        <w:rPr>
          <w:rFonts w:ascii="Courier New" w:cs="Courier New" w:eastAsia="Courier New" w:hAnsi="Courier New"/>
          <w:sz w:val="16"/>
          <w:szCs w:val="16"/>
          <w:color w:val="auto"/>
        </w:rPr>
        <w:t>On April 5, 2001, the Registrant issued a press release updating its first quarter and fiscal 2002 outlook. Attached hereto as Exhibit 99.1 and incorporated by reference herein is a copy of the April 5, 2001 press release.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7. FINANCIAL STATEMENTS, PRO FORMA FINANCIAL INFORMATION AND EXHIBITS.</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Description</w:t>
      </w:r>
    </w:p>
    <w:p>
      <w:pPr>
        <w:spacing w:after="0" w:line="4" w:lineRule="exact"/>
        <w:rPr>
          <w:sz w:val="20"/>
          <w:szCs w:val="20"/>
          <w:color w:val="auto"/>
        </w:rPr>
      </w:pPr>
    </w:p>
    <w:p>
      <w:pPr>
        <w:ind w:left="20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1060" w:space="220"/>
            <w:col w:w="8939"/>
          </w:cols>
          <w:pgMar w:left="240" w:top="312" w:right="1440" w:bottom="1440" w:gutter="0" w:footer="0" w:header="0"/>
          <w:type w:val="continuous"/>
        </w:sectPr>
      </w:pPr>
    </w:p>
    <w:p>
      <w:pPr>
        <w:spacing w:after="0" w:line="18"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99.1</w:t>
      </w:r>
      <w:r>
        <w:rPr>
          <w:sz w:val="20"/>
          <w:szCs w:val="20"/>
          <w:color w:val="auto"/>
        </w:rPr>
        <w:tab/>
      </w:r>
      <w:r>
        <w:rPr>
          <w:rFonts w:ascii="Courier New" w:cs="Courier New" w:eastAsia="Courier New" w:hAnsi="Courier New"/>
          <w:sz w:val="16"/>
          <w:szCs w:val="16"/>
          <w:color w:val="auto"/>
        </w:rPr>
        <w:t>Press Release dated April 5, 2001.</w:t>
      </w:r>
    </w:p>
    <w:p>
      <w:pPr>
        <w:sectPr>
          <w:pgSz w:w="11900" w:h="16838" w:orient="portrait"/>
          <w:cols w:equalWidth="0" w:num="1">
            <w:col w:w="10219"/>
          </w:cols>
          <w:pgMar w:left="240" w:top="312"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3" w:lineRule="exact"/>
        <w:rPr>
          <w:sz w:val="20"/>
          <w:szCs w:val="20"/>
          <w:color w:val="auto"/>
        </w:rPr>
      </w:pPr>
    </w:p>
    <w:p>
      <w:pPr>
        <w:ind w:left="540"/>
        <w:spacing w:after="0"/>
        <w:tabs>
          <w:tab w:leader="none" w:pos="1260" w:val="left"/>
        </w:tabs>
        <w:rPr>
          <w:sz w:val="20"/>
          <w:szCs w:val="20"/>
          <w:color w:val="auto"/>
        </w:rPr>
      </w:pPr>
      <w:r>
        <w:rPr>
          <w:rFonts w:ascii="Courier New" w:cs="Courier New" w:eastAsia="Courier New" w:hAnsi="Courier New"/>
          <w:sz w:val="18"/>
          <w:szCs w:val="18"/>
          <w:color w:val="auto"/>
        </w:rPr>
        <w:t>Date:</w:t>
        <w:tab/>
        <w:t>April 5, 2001</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MARVELL TECHNOLOGY GROUP LTD.</w:t>
      </w:r>
    </w:p>
    <w:p>
      <w:pPr>
        <w:spacing w:after="0" w:line="200" w:lineRule="exact"/>
        <w:rPr>
          <w:sz w:val="20"/>
          <w:szCs w:val="20"/>
          <w:color w:val="auto"/>
        </w:rPr>
      </w:pPr>
    </w:p>
    <w:p>
      <w:pPr>
        <w:spacing w:after="0" w:line="204" w:lineRule="exact"/>
        <w:rPr>
          <w:sz w:val="20"/>
          <w:szCs w:val="20"/>
          <w:color w:val="auto"/>
        </w:rPr>
      </w:pPr>
    </w:p>
    <w:p>
      <w:pPr>
        <w:jc w:val="center"/>
        <w:ind w:right="-340"/>
        <w:spacing w:after="0"/>
        <w:tabs>
          <w:tab w:leader="none" w:pos="180" w:val="left"/>
        </w:tabs>
        <w:rPr>
          <w:sz w:val="20"/>
          <w:szCs w:val="20"/>
          <w:color w:val="auto"/>
        </w:rPr>
      </w:pPr>
      <w:r>
        <w:rPr>
          <w:rFonts w:ascii="Courier New" w:cs="Courier New" w:eastAsia="Courier New" w:hAnsi="Courier New"/>
          <w:sz w:val="18"/>
          <w:szCs w:val="18"/>
          <w:color w:val="auto"/>
        </w:rPr>
        <w:t>By: /s/</w:t>
      </w:r>
      <w:r>
        <w:rPr>
          <w:sz w:val="20"/>
          <w:szCs w:val="20"/>
          <w:color w:val="auto"/>
        </w:rPr>
        <w:tab/>
      </w:r>
      <w:r>
        <w:rPr>
          <w:rFonts w:ascii="Courier New" w:cs="Courier New" w:eastAsia="Courier New" w:hAnsi="Courier New"/>
          <w:sz w:val="16"/>
          <w:szCs w:val="16"/>
          <w:color w:val="auto"/>
        </w:rPr>
        <w:t>George Hervey</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George Hervey</w:t>
      </w:r>
    </w:p>
    <w:p>
      <w:pPr>
        <w:ind w:left="4540"/>
        <w:spacing w:after="0" w:line="238" w:lineRule="auto"/>
        <w:rPr>
          <w:sz w:val="20"/>
          <w:szCs w:val="20"/>
          <w:color w:val="auto"/>
        </w:rPr>
      </w:pPr>
      <w:r>
        <w:rPr>
          <w:rFonts w:ascii="Courier New" w:cs="Courier New" w:eastAsia="Courier New" w:hAnsi="Courier New"/>
          <w:sz w:val="18"/>
          <w:szCs w:val="18"/>
          <w:color w:val="auto"/>
        </w:rPr>
        <w:t>Vice President of Finance and</w:t>
      </w:r>
    </w:p>
    <w:p>
      <w:pPr>
        <w:ind w:left="4540"/>
        <w:spacing w:after="0"/>
        <w:rPr>
          <w:sz w:val="20"/>
          <w:szCs w:val="20"/>
          <w:color w:val="auto"/>
        </w:rPr>
      </w:pPr>
      <w:r>
        <w:rPr>
          <w:rFonts w:ascii="Courier New" w:cs="Courier New" w:eastAsia="Courier New" w:hAnsi="Courier New"/>
          <w:sz w:val="18"/>
          <w:szCs w:val="18"/>
          <w:color w:val="auto"/>
        </w:rPr>
        <w:t>Chief Financial Officer</w:t>
      </w:r>
    </w:p>
    <w:p>
      <w:pPr>
        <w:spacing w:after="0" w:line="200" w:lineRule="exact"/>
        <w:rPr>
          <w:sz w:val="20"/>
          <w:szCs w:val="20"/>
          <w:color w:val="auto"/>
        </w:rPr>
      </w:pP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1440" w:gutter="0" w:footer="0" w:header="0"/>
          <w:type w:val="continuous"/>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7" w:lineRule="exact"/>
        <w:rPr>
          <w:sz w:val="20"/>
          <w:szCs w:val="20"/>
          <w:color w:val="auto"/>
        </w:rPr>
      </w:pPr>
    </w:p>
    <w:p>
      <w:pPr>
        <w:ind w:left="3580"/>
        <w:spacing w:after="0"/>
        <w:rPr>
          <w:sz w:val="20"/>
          <w:szCs w:val="20"/>
          <w:color w:val="auto"/>
        </w:rPr>
      </w:pPr>
      <w:r>
        <w:rPr>
          <w:rFonts w:ascii="Courier New" w:cs="Courier New" w:eastAsia="Courier New" w:hAnsi="Courier New"/>
          <w:sz w:val="16"/>
          <w:szCs w:val="16"/>
          <w:color w:val="auto"/>
        </w:rPr>
        <w:t>EXHIBIT INDEX</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No.</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Document</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3180" w:space="720"/>
            <w:col w:w="6319"/>
          </w:cols>
          <w:pgMar w:left="240" w:top="312"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Exhibit 99.1</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Press Release issued April 5, 2001.</w:t>
      </w:r>
    </w:p>
    <w:p>
      <w:pPr>
        <w:spacing w:after="0" w:line="200" w:lineRule="exact"/>
        <w:rPr>
          <w:sz w:val="20"/>
          <w:szCs w:val="20"/>
          <w:color w:val="auto"/>
        </w:rPr>
      </w:pPr>
    </w:p>
    <w:p>
      <w:pPr>
        <w:sectPr>
          <w:pgSz w:w="11900" w:h="16838" w:orient="portrait"/>
          <w:cols w:equalWidth="0" w:num="2">
            <w:col w:w="2020" w:space="720"/>
            <w:col w:w="7479"/>
          </w:cols>
          <w:pgMar w:left="240" w:top="312"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19"/>
          </w:cols>
          <w:pgMar w:left="240" w:top="312" w:right="1440" w:bottom="1440" w:gutter="0" w:footer="0" w:header="0"/>
          <w:type w:val="continuous"/>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0" w:lineRule="exact"/>
        <w:rPr>
          <w:sz w:val="20"/>
          <w:szCs w:val="20"/>
          <w:color w:val="auto"/>
        </w:rPr>
      </w:pPr>
    </w:p>
    <w:p>
      <w:pPr>
        <w:spacing w:after="0" w:line="204"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MARVELL TECHNOLOGY GROUP LTD. UPDATES FIRST QUARTER AND FISCAL 2002 OUTLOOK</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Sunnyvale, CA. (April 5, 2001) - Marvell Technology Group Ltd. (NASDAQ: MRVL), a technology leader in the development of extreme broadband communications solutions, today updated its financial outlook for the first quarter and fiscal 2002.</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"With the current slowdown in the U.S. economy, customers have taken additional actions to manage their inventory levels, leading to a higher level of new order delays and reschedules to existing orders that Marvell had not originally anticipated," stated Dr. Sehat Sutardja, Marvell President and CEO. "As such, the Company is updating its financial forecast for the first quarter and fiscal 2002 to better reflect current market conditions."</w:t>
      </w:r>
    </w:p>
    <w:p>
      <w:pPr>
        <w:spacing w:after="0" w:line="210"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"Currently, we anticipate revenues for the first quarter of fiscal 2002 to be approximately $64 million, a decrease of 10% from our previous guidance. Due to the reduction in Q1 revenue, we anticipate pro forma diluted earnings per share for Q1 to be approximately $0.04. For fiscal 2002, we now expect our revenue to be in the range of $280 million to $290 million, with diluted earnings per share in the range of $0.22 to $0.25."</w:t>
      </w:r>
    </w:p>
    <w:p>
      <w:pPr>
        <w:spacing w:after="0" w:line="210"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Added Dr. Sutardja, "While Marvell is currently very cautious about the near term market conditions, we believe that with our current product offerings and products scheduled to be introduced over the next several quarters, combined with the continuing high level of design win activity from our customers, we are well-positioned in both our storage and communications markets to effectively respond to customer demand. In addition, Marvell continues to invest in research and development in new emerging market areas for longer term revenue growth."</w:t>
      </w:r>
    </w:p>
    <w:p>
      <w:pPr>
        <w:spacing w:after="0" w:line="188" w:lineRule="exact"/>
        <w:rPr>
          <w:sz w:val="20"/>
          <w:szCs w:val="20"/>
          <w:color w:val="auto"/>
        </w:rPr>
      </w:pPr>
    </w:p>
    <w:p>
      <w:pPr>
        <w:ind w:right="1779"/>
        <w:spacing w:after="0" w:line="275" w:lineRule="auto"/>
        <w:rPr>
          <w:sz w:val="20"/>
          <w:szCs w:val="20"/>
          <w:color w:val="auto"/>
        </w:rPr>
      </w:pPr>
      <w:r>
        <w:rPr>
          <w:rFonts w:ascii="Courier New" w:cs="Courier New" w:eastAsia="Courier New" w:hAnsi="Courier New"/>
          <w:sz w:val="16"/>
          <w:szCs w:val="16"/>
          <w:color w:val="auto"/>
        </w:rPr>
        <w:t>There will be no conference call in conjunction with this announcement. Marvell's first quarter fiscal 2002 financial results will be released on May 17th, 2001 after the close of market. During our earnings release conference call, we will provide additional guidance for the second quarter of fiscal 2002.</w:t>
      </w:r>
    </w:p>
    <w:p>
      <w:pPr>
        <w:spacing w:after="0" w:line="200" w:lineRule="exact"/>
        <w:rPr>
          <w:sz w:val="20"/>
          <w:szCs w:val="20"/>
          <w:color w:val="auto"/>
        </w:rPr>
      </w:pPr>
    </w:p>
    <w:p>
      <w:pPr>
        <w:spacing w:after="0" w:line="382" w:lineRule="exact"/>
        <w:rPr>
          <w:sz w:val="20"/>
          <w:szCs w:val="20"/>
          <w:color w:val="auto"/>
        </w:rPr>
      </w:pPr>
    </w:p>
    <w:p>
      <w:pPr>
        <w:ind w:left="3580"/>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 a technology leader in the development of extreme broadband communications solutions, comprises Marvell Technology Group Ltd. (MTGL) and its subsidiaries, Marvell Semiconductor, Inc. (MSI), Marvell Asia Pte Ltd. (MAPL), Marvell Japan K.K. (MJKK), and Galileo Technology Ltd. (GTL). On behalf of MTGL, MSI designs, develops and markets integrated circuits utilizing proprietary Communications Mixed-Signal Processing (CMSP) and digital signal processing technologies for communications signal processing markets. MAPL is headquartered in Singapore and</w:t>
      </w:r>
    </w:p>
    <w:p>
      <w:pPr>
        <w:sectPr>
          <w:pgSz w:w="11900" w:h="16838" w:orient="portrait"/>
          <w:cols w:equalWidth="0" w:num="1">
            <w:col w:w="10219"/>
          </w:cols>
          <w:pgMar w:left="240" w:top="136"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2</w:t>
      </w:r>
    </w:p>
    <w:p>
      <w:pPr>
        <w:spacing w:after="0" w:line="207" w:lineRule="exact"/>
        <w:rPr>
          <w:sz w:val="20"/>
          <w:szCs w:val="20"/>
          <w:color w:val="auto"/>
        </w:rPr>
      </w:pPr>
    </w:p>
    <w:p>
      <w:pPr>
        <w:ind w:right="1879"/>
        <w:spacing w:after="0" w:line="268" w:lineRule="auto"/>
        <w:rPr>
          <w:sz w:val="20"/>
          <w:szCs w:val="20"/>
          <w:color w:val="auto"/>
        </w:rPr>
      </w:pPr>
      <w:r>
        <w:rPr>
          <w:rFonts w:ascii="Courier New" w:cs="Courier New" w:eastAsia="Courier New" w:hAnsi="Courier New"/>
          <w:sz w:val="16"/>
          <w:szCs w:val="16"/>
          <w:color w:val="auto"/>
        </w:rPr>
        <w:t>is responsible for Marvell's production and distribution operations. GTL develops high-performance communications Internetworking and Switching products for the broadband communications market. As used in this 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645 Almanor Ave., Sunnyvale, Calif., 94085; phone: (408) 222-2500, fax: (408)</w:t>
      </w:r>
    </w:p>
    <w:p>
      <w:pPr>
        <w:spacing w:after="0" w:line="235" w:lineRule="auto"/>
        <w:rPr>
          <w:sz w:val="20"/>
          <w:szCs w:val="20"/>
          <w:color w:val="auto"/>
        </w:rPr>
      </w:pPr>
      <w:r>
        <w:rPr>
          <w:rFonts w:ascii="Courier New" w:cs="Courier New" w:eastAsia="Courier New" w:hAnsi="Courier New"/>
          <w:sz w:val="18"/>
          <w:szCs w:val="18"/>
          <w:color w:val="auto"/>
        </w:rPr>
        <w:t>328-0120.</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SAFE HARBOR STATEMENT UNDER THE PRIVATE SECURITIES LITIGATION REFORM ACT OF 1995:</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release may contain forward-looking statements based on our current expectations, estimates and projections about our products, our industry, our markets, management's beliefs, and certain assumptions made by us regarding our first fiscal quarter ending April 28, 2001 and other matters. Words such as "anticipates," "expects," "intends," "plans," "believes," "seeks," "estimates," "may," "will," "should," and variations of these words or similar expressions, are intended to identify forward-looking statements. In addition, any statements that refer to expectations, projections or other characterizations of future events or circumstances, including any underlying assumptions, are forward-looking statements. These statements are not guarantees of future performance and are subject to certain risks, uncertainties and assumptions that are difficult to predict. Therefore, market results may differ materially and adversely from those expressed in any forward-looking statements in this release.</w:t>
      </w:r>
    </w:p>
    <w:p>
      <w:pPr>
        <w:spacing w:after="0" w:line="208"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Important risks, uncertainties and assumptions that may cause such a difference for Marvell include, but are not limited to, the timing, cost and successful completion of technology and product development through volume production; the timing, rescheduling or cancellation of significant customer orders; general economic conditions and specific conditions in the markets we address, including periodic downturns in the integrated circuit industry; the rate at which our present and future customers and end-users adopt and utilize our products; the timing and results of customer-industry qualification and certification of our products; and, the timing, pricing, rescheduling, and/or cancellation of significant customer orders.</w:t>
      </w:r>
    </w:p>
    <w:p>
      <w:pPr>
        <w:spacing w:after="0" w:line="215"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For other factors that could cause the Company's results to vary from expectations, please see the `Risk Factors' section of Marvell's joint proxy/prospectus on Form S-4 relating to the Company's recent transaction with Galileo and the Company's Quarterly Report on Form 10-Q for the quarter ended October 28, 2000.</w:t>
      </w:r>
    </w:p>
    <w:p>
      <w:pPr>
        <w:spacing w:after="0" w:line="209"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We undertake no obligation to revise or update publicly any forward-looking statements for any reason.</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2019-12-14T19:22:11Z</dcterms:created>
  <dcterms:modified xsi:type="dcterms:W3CDTF">2019-12-14T19:22:11Z</dcterms:modified>
</cp:coreProperties>
</file>