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197485</wp:posOffset>
            </wp:positionV>
            <wp:extent cx="7256780" cy="374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6780" cy="3746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299085</wp:posOffset>
            </wp:positionV>
            <wp:extent cx="7252335"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2335" cy="8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jc w:val="center"/>
        <w:ind w:right="-659"/>
        <w:spacing w:after="0"/>
        <w:rPr>
          <w:sz w:val="20"/>
          <w:szCs w:val="20"/>
          <w:color w:val="auto"/>
        </w:rPr>
      </w:pPr>
      <w:r>
        <w:rPr>
          <w:rFonts w:ascii="Arial" w:cs="Arial" w:eastAsia="Arial" w:hAnsi="Arial"/>
          <w:sz w:val="31"/>
          <w:szCs w:val="31"/>
          <w:b w:val="1"/>
          <w:bCs w:val="1"/>
          <w:color w:val="auto"/>
        </w:rPr>
        <w:t>SECURITIES AND EXCHANGE COMMISSION</w:t>
      </w:r>
    </w:p>
    <w:p>
      <w:pPr>
        <w:spacing w:after="0" w:line="31" w:lineRule="exact"/>
        <w:rPr>
          <w:sz w:val="24"/>
          <w:szCs w:val="24"/>
          <w:color w:val="auto"/>
        </w:rPr>
      </w:pPr>
    </w:p>
    <w:p>
      <w:pPr>
        <w:jc w:val="center"/>
        <w:ind w:right="-659"/>
        <w:spacing w:after="0"/>
        <w:rPr>
          <w:sz w:val="20"/>
          <w:szCs w:val="20"/>
          <w:color w:val="auto"/>
        </w:rPr>
      </w:pPr>
      <w:r>
        <w:rPr>
          <w:rFonts w:ascii="Arial" w:cs="Arial" w:eastAsia="Arial" w:hAnsi="Arial"/>
          <w:sz w:val="21"/>
          <w:szCs w:val="21"/>
          <w:b w:val="1"/>
          <w:bCs w:val="1"/>
          <w:color w:val="auto"/>
        </w:rPr>
        <w:t>Washington, D.C. 20549</w:t>
      </w:r>
    </w:p>
    <w:p>
      <w:pPr>
        <w:spacing w:after="0" w:line="162" w:lineRule="exact"/>
        <w:rPr>
          <w:sz w:val="24"/>
          <w:szCs w:val="24"/>
          <w:color w:val="auto"/>
        </w:rPr>
      </w:pPr>
    </w:p>
    <w:p>
      <w:pPr>
        <w:jc w:val="center"/>
        <w:ind w:right="-659"/>
        <w:spacing w:after="0"/>
        <w:rPr>
          <w:sz w:val="20"/>
          <w:szCs w:val="20"/>
          <w:color w:val="auto"/>
        </w:rPr>
      </w:pPr>
      <w:r>
        <w:rPr>
          <w:rFonts w:ascii="Arial" w:cs="Arial" w:eastAsia="Arial" w:hAnsi="Arial"/>
          <w:sz w:val="31"/>
          <w:szCs w:val="31"/>
          <w:b w:val="1"/>
          <w:bCs w:val="1"/>
          <w:color w:val="auto"/>
        </w:rPr>
        <w:t>FORM 8-K</w:t>
      </w:r>
    </w:p>
    <w:p>
      <w:pPr>
        <w:spacing w:after="0" w:line="215" w:lineRule="exact"/>
        <w:rPr>
          <w:sz w:val="24"/>
          <w:szCs w:val="24"/>
          <w:color w:val="auto"/>
        </w:rPr>
      </w:pPr>
    </w:p>
    <w:p>
      <w:pPr>
        <w:ind w:left="4740"/>
        <w:spacing w:after="0"/>
        <w:rPr>
          <w:sz w:val="20"/>
          <w:szCs w:val="20"/>
          <w:color w:val="auto"/>
        </w:rPr>
      </w:pPr>
      <w:r>
        <w:rPr>
          <w:rFonts w:ascii="Arial" w:cs="Arial" w:eastAsia="Arial" w:hAnsi="Arial"/>
          <w:sz w:val="21"/>
          <w:szCs w:val="21"/>
          <w:b w:val="1"/>
          <w:bCs w:val="1"/>
          <w:color w:val="auto"/>
        </w:rPr>
        <w:t>CURRENT REPORT</w:t>
      </w:r>
    </w:p>
    <w:p>
      <w:pPr>
        <w:spacing w:after="0" w:line="199" w:lineRule="exact"/>
        <w:rPr>
          <w:sz w:val="24"/>
          <w:szCs w:val="24"/>
          <w:color w:val="auto"/>
        </w:rPr>
      </w:pPr>
    </w:p>
    <w:p>
      <w:pPr>
        <w:ind w:left="3740"/>
        <w:spacing w:after="0"/>
        <w:rPr>
          <w:sz w:val="20"/>
          <w:szCs w:val="20"/>
          <w:color w:val="auto"/>
        </w:rPr>
      </w:pPr>
      <w:r>
        <w:rPr>
          <w:rFonts w:ascii="Arial" w:cs="Arial" w:eastAsia="Arial" w:hAnsi="Arial"/>
          <w:sz w:val="21"/>
          <w:szCs w:val="21"/>
          <w:b w:val="1"/>
          <w:bCs w:val="1"/>
          <w:color w:val="auto"/>
        </w:rPr>
        <w:t>PURSUANT TO SECTION 13 OR 15(d) OF</w:t>
      </w:r>
    </w:p>
    <w:p>
      <w:pPr>
        <w:spacing w:after="0" w:line="16" w:lineRule="exact"/>
        <w:rPr>
          <w:sz w:val="24"/>
          <w:szCs w:val="24"/>
          <w:color w:val="auto"/>
        </w:rPr>
      </w:pPr>
    </w:p>
    <w:p>
      <w:pPr>
        <w:ind w:left="3560"/>
        <w:spacing w:after="0"/>
        <w:rPr>
          <w:sz w:val="20"/>
          <w:szCs w:val="20"/>
          <w:color w:val="auto"/>
        </w:rPr>
      </w:pPr>
      <w:r>
        <w:rPr>
          <w:rFonts w:ascii="Arial" w:cs="Arial" w:eastAsia="Arial" w:hAnsi="Arial"/>
          <w:sz w:val="21"/>
          <w:szCs w:val="21"/>
          <w:b w:val="1"/>
          <w:bCs w:val="1"/>
          <w:color w:val="auto"/>
        </w:rPr>
        <w:t>THE SECURITIES EXCHANGE ACT OF 1934</w:t>
      </w:r>
    </w:p>
    <w:p>
      <w:pPr>
        <w:spacing w:after="0" w:line="175" w:lineRule="exact"/>
        <w:rPr>
          <w:sz w:val="24"/>
          <w:szCs w:val="24"/>
          <w:color w:val="auto"/>
        </w:rPr>
      </w:pPr>
    </w:p>
    <w:p>
      <w:pPr>
        <w:ind w:left="4200"/>
        <w:spacing w:after="0"/>
        <w:rPr>
          <w:sz w:val="20"/>
          <w:szCs w:val="20"/>
          <w:color w:val="auto"/>
        </w:rPr>
      </w:pPr>
      <w:r>
        <w:rPr>
          <w:rFonts w:ascii="Arial" w:cs="Arial" w:eastAsia="Arial" w:hAnsi="Arial"/>
          <w:sz w:val="21"/>
          <w:szCs w:val="21"/>
          <w:b w:val="1"/>
          <w:bCs w:val="1"/>
          <w:color w:val="auto"/>
        </w:rPr>
        <w:t>August 17, 2001 (August 16, 2001)</w:t>
      </w:r>
    </w:p>
    <w:p>
      <w:pPr>
        <w:spacing w:after="0" w:line="16" w:lineRule="exact"/>
        <w:rPr>
          <w:sz w:val="24"/>
          <w:szCs w:val="24"/>
          <w:color w:val="auto"/>
        </w:rPr>
      </w:pPr>
    </w:p>
    <w:p>
      <w:pPr>
        <w:jc w:val="center"/>
        <w:ind w:right="-659"/>
        <w:spacing w:after="0"/>
        <w:rPr>
          <w:sz w:val="20"/>
          <w:szCs w:val="20"/>
          <w:color w:val="auto"/>
        </w:rPr>
      </w:pPr>
      <w:r>
        <w:rPr>
          <w:rFonts w:ascii="Arial" w:cs="Arial" w:eastAsia="Arial" w:hAnsi="Arial"/>
          <w:sz w:val="21"/>
          <w:szCs w:val="21"/>
          <w:b w:val="1"/>
          <w:bCs w:val="1"/>
          <w:color w:val="auto"/>
        </w:rPr>
        <w:t>Date of report (Date of earliest event reported)</w:t>
      </w:r>
    </w:p>
    <w:p>
      <w:pPr>
        <w:spacing w:after="0" w:line="162" w:lineRule="exact"/>
        <w:rPr>
          <w:sz w:val="24"/>
          <w:szCs w:val="24"/>
          <w:color w:val="auto"/>
        </w:rPr>
      </w:pPr>
    </w:p>
    <w:p>
      <w:pPr>
        <w:jc w:val="center"/>
        <w:ind w:right="-659"/>
        <w:spacing w:after="0"/>
        <w:rPr>
          <w:sz w:val="20"/>
          <w:szCs w:val="20"/>
          <w:color w:val="auto"/>
        </w:rPr>
      </w:pPr>
      <w:r>
        <w:rPr>
          <w:rFonts w:ascii="Arial" w:cs="Arial" w:eastAsia="Arial" w:hAnsi="Arial"/>
          <w:sz w:val="31"/>
          <w:szCs w:val="31"/>
          <w:b w:val="1"/>
          <w:bCs w:val="1"/>
          <w:color w:val="auto"/>
        </w:rPr>
        <w:t>MARVELL TECHNOLOGY GROUP LTD.</w:t>
      </w:r>
    </w:p>
    <w:p>
      <w:pPr>
        <w:spacing w:after="0" w:line="31" w:lineRule="exact"/>
        <w:rPr>
          <w:sz w:val="24"/>
          <w:szCs w:val="24"/>
          <w:color w:val="auto"/>
        </w:rPr>
      </w:pPr>
    </w:p>
    <w:p>
      <w:pPr>
        <w:ind w:left="3420"/>
        <w:spacing w:after="0"/>
        <w:rPr>
          <w:sz w:val="20"/>
          <w:szCs w:val="20"/>
          <w:color w:val="auto"/>
        </w:rPr>
      </w:pPr>
      <w:r>
        <w:rPr>
          <w:rFonts w:ascii="Arial" w:cs="Arial" w:eastAsia="Arial" w:hAnsi="Arial"/>
          <w:sz w:val="21"/>
          <w:szCs w:val="21"/>
          <w:b w:val="1"/>
          <w:bCs w:val="1"/>
          <w:color w:val="auto"/>
        </w:rPr>
        <w:t>(Exact name of registrant as specified in its charter)</w:t>
      </w:r>
    </w:p>
    <w:p>
      <w:pPr>
        <w:spacing w:after="0" w:line="400" w:lineRule="exact"/>
        <w:rPr>
          <w:sz w:val="24"/>
          <w:szCs w:val="24"/>
          <w:color w:val="auto"/>
        </w:rPr>
      </w:pPr>
    </w:p>
    <w:tbl>
      <w:tblPr>
        <w:tblLayout w:type="fixed"/>
        <w:tblInd w:w="1120" w:type="dxa"/>
        <w:tblCellMar>
          <w:top w:w="0" w:type="dxa"/>
          <w:left w:w="0" w:type="dxa"/>
          <w:bottom w:w="0" w:type="dxa"/>
          <w:right w:w="0" w:type="dxa"/>
        </w:tblCellMar>
      </w:tblPr>
      <w:tr>
        <w:trPr>
          <w:trHeight w:val="241"/>
        </w:trPr>
        <w:tc>
          <w:tcPr>
            <w:tcW w:w="3240" w:type="dxa"/>
            <w:vAlign w:val="bottom"/>
          </w:tcPr>
          <w:p>
            <w:pPr>
              <w:jc w:val="center"/>
              <w:ind w:right="436"/>
              <w:spacing w:after="0"/>
              <w:rPr>
                <w:sz w:val="20"/>
                <w:szCs w:val="20"/>
                <w:color w:val="auto"/>
              </w:rPr>
            </w:pPr>
            <w:r>
              <w:rPr>
                <w:rFonts w:ascii="Arial" w:cs="Arial" w:eastAsia="Arial" w:hAnsi="Arial"/>
                <w:sz w:val="21"/>
                <w:szCs w:val="21"/>
                <w:b w:val="1"/>
                <w:bCs w:val="1"/>
                <w:color w:val="auto"/>
                <w:w w:val="90"/>
              </w:rPr>
              <w:t>Bermuda</w:t>
            </w:r>
          </w:p>
        </w:tc>
        <w:tc>
          <w:tcPr>
            <w:tcW w:w="3800" w:type="dxa"/>
            <w:vAlign w:val="bottom"/>
          </w:tcPr>
          <w:p>
            <w:pPr>
              <w:jc w:val="center"/>
              <w:spacing w:after="0"/>
              <w:rPr>
                <w:sz w:val="20"/>
                <w:szCs w:val="20"/>
                <w:color w:val="auto"/>
              </w:rPr>
            </w:pPr>
            <w:r>
              <w:rPr>
                <w:rFonts w:ascii="Arial" w:cs="Arial" w:eastAsia="Arial" w:hAnsi="Arial"/>
                <w:sz w:val="21"/>
                <w:szCs w:val="21"/>
                <w:b w:val="1"/>
                <w:bCs w:val="1"/>
                <w:color w:val="auto"/>
                <w:w w:val="88"/>
              </w:rPr>
              <w:t>0-30877</w:t>
            </w:r>
          </w:p>
        </w:tc>
        <w:tc>
          <w:tcPr>
            <w:tcW w:w="2160" w:type="dxa"/>
            <w:vAlign w:val="bottom"/>
          </w:tcPr>
          <w:p>
            <w:pPr>
              <w:jc w:val="center"/>
              <w:ind w:left="416"/>
              <w:spacing w:after="0"/>
              <w:rPr>
                <w:sz w:val="20"/>
                <w:szCs w:val="20"/>
                <w:color w:val="auto"/>
              </w:rPr>
            </w:pPr>
            <w:r>
              <w:rPr>
                <w:rFonts w:ascii="Arial" w:cs="Arial" w:eastAsia="Arial" w:hAnsi="Arial"/>
                <w:sz w:val="21"/>
                <w:szCs w:val="21"/>
                <w:b w:val="1"/>
                <w:bCs w:val="1"/>
                <w:color w:val="auto"/>
                <w:w w:val="89"/>
              </w:rPr>
              <w:t>77-0481679</w:t>
            </w:r>
          </w:p>
        </w:tc>
      </w:tr>
      <w:tr>
        <w:trPr>
          <w:trHeight w:val="233"/>
        </w:trPr>
        <w:tc>
          <w:tcPr>
            <w:tcW w:w="3240" w:type="dxa"/>
            <w:vAlign w:val="bottom"/>
          </w:tcPr>
          <w:p>
            <w:pPr>
              <w:jc w:val="center"/>
              <w:ind w:right="436"/>
              <w:spacing w:after="0" w:line="233" w:lineRule="exact"/>
              <w:rPr>
                <w:sz w:val="20"/>
                <w:szCs w:val="20"/>
                <w:color w:val="auto"/>
              </w:rPr>
            </w:pPr>
            <w:r>
              <w:rPr>
                <w:rFonts w:ascii="Arial" w:cs="Arial" w:eastAsia="Arial" w:hAnsi="Arial"/>
                <w:sz w:val="21"/>
                <w:szCs w:val="21"/>
                <w:b w:val="1"/>
                <w:bCs w:val="1"/>
                <w:color w:val="auto"/>
                <w:w w:val="89"/>
              </w:rPr>
              <w:t>(State or other jurisdiction of</w:t>
            </w: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89"/>
              </w:rPr>
              <w:t>(Commission File</w:t>
            </w:r>
          </w:p>
        </w:tc>
        <w:tc>
          <w:tcPr>
            <w:tcW w:w="2160" w:type="dxa"/>
            <w:vAlign w:val="bottom"/>
          </w:tcPr>
          <w:p>
            <w:pPr>
              <w:jc w:val="center"/>
              <w:ind w:left="416"/>
              <w:spacing w:after="0" w:line="233" w:lineRule="exact"/>
              <w:rPr>
                <w:sz w:val="20"/>
                <w:szCs w:val="20"/>
                <w:color w:val="auto"/>
              </w:rPr>
            </w:pPr>
            <w:r>
              <w:rPr>
                <w:rFonts w:ascii="Arial" w:cs="Arial" w:eastAsia="Arial" w:hAnsi="Arial"/>
                <w:sz w:val="21"/>
                <w:szCs w:val="21"/>
                <w:b w:val="1"/>
                <w:bCs w:val="1"/>
                <w:color w:val="auto"/>
                <w:w w:val="91"/>
              </w:rPr>
              <w:t>(I.R.S. Employer</w:t>
            </w:r>
          </w:p>
        </w:tc>
      </w:tr>
      <w:tr>
        <w:trPr>
          <w:trHeight w:val="271"/>
        </w:trPr>
        <w:tc>
          <w:tcPr>
            <w:tcW w:w="3240" w:type="dxa"/>
            <w:vAlign w:val="bottom"/>
          </w:tcPr>
          <w:p>
            <w:pPr>
              <w:jc w:val="center"/>
              <w:ind w:right="436"/>
              <w:spacing w:after="0"/>
              <w:rPr>
                <w:sz w:val="20"/>
                <w:szCs w:val="20"/>
                <w:color w:val="auto"/>
              </w:rPr>
            </w:pPr>
            <w:r>
              <w:rPr>
                <w:rFonts w:ascii="Arial" w:cs="Arial" w:eastAsia="Arial" w:hAnsi="Arial"/>
                <w:sz w:val="21"/>
                <w:szCs w:val="21"/>
                <w:b w:val="1"/>
                <w:bCs w:val="1"/>
                <w:color w:val="auto"/>
                <w:w w:val="90"/>
              </w:rPr>
              <w:t>incorporation or organization)</w:t>
            </w:r>
          </w:p>
        </w:tc>
        <w:tc>
          <w:tcPr>
            <w:tcW w:w="3800" w:type="dxa"/>
            <w:vAlign w:val="bottom"/>
          </w:tcPr>
          <w:p>
            <w:pPr>
              <w:jc w:val="center"/>
              <w:spacing w:after="0"/>
              <w:rPr>
                <w:sz w:val="20"/>
                <w:szCs w:val="20"/>
                <w:color w:val="auto"/>
              </w:rPr>
            </w:pPr>
            <w:r>
              <w:rPr>
                <w:rFonts w:ascii="Arial" w:cs="Arial" w:eastAsia="Arial" w:hAnsi="Arial"/>
                <w:sz w:val="21"/>
                <w:szCs w:val="21"/>
                <w:b w:val="1"/>
                <w:bCs w:val="1"/>
                <w:color w:val="auto"/>
                <w:w w:val="92"/>
              </w:rPr>
              <w:t>Number)</w:t>
            </w:r>
          </w:p>
        </w:tc>
        <w:tc>
          <w:tcPr>
            <w:tcW w:w="2160" w:type="dxa"/>
            <w:vAlign w:val="bottom"/>
          </w:tcPr>
          <w:p>
            <w:pPr>
              <w:jc w:val="center"/>
              <w:ind w:left="416"/>
              <w:spacing w:after="0"/>
              <w:rPr>
                <w:sz w:val="20"/>
                <w:szCs w:val="20"/>
                <w:color w:val="auto"/>
              </w:rPr>
            </w:pPr>
            <w:r>
              <w:rPr>
                <w:rFonts w:ascii="Arial" w:cs="Arial" w:eastAsia="Arial" w:hAnsi="Arial"/>
                <w:sz w:val="21"/>
                <w:szCs w:val="21"/>
                <w:b w:val="1"/>
                <w:bCs w:val="1"/>
                <w:color w:val="auto"/>
                <w:w w:val="92"/>
              </w:rPr>
              <w:t>Identification No.)</w:t>
            </w:r>
          </w:p>
        </w:tc>
      </w:tr>
      <w:tr>
        <w:trPr>
          <w:trHeight w:val="429"/>
        </w:trPr>
        <w:tc>
          <w:tcPr>
            <w:tcW w:w="3240" w:type="dxa"/>
            <w:vAlign w:val="bottom"/>
          </w:tcPr>
          <w:p>
            <w:pPr>
              <w:spacing w:after="0"/>
              <w:rPr>
                <w:sz w:val="24"/>
                <w:szCs w:val="24"/>
                <w:color w:val="auto"/>
              </w:rPr>
            </w:pPr>
          </w:p>
        </w:tc>
        <w:tc>
          <w:tcPr>
            <w:tcW w:w="3800" w:type="dxa"/>
            <w:vAlign w:val="bottom"/>
          </w:tcPr>
          <w:p>
            <w:pPr>
              <w:jc w:val="center"/>
              <w:spacing w:after="0"/>
              <w:rPr>
                <w:sz w:val="20"/>
                <w:szCs w:val="20"/>
                <w:color w:val="auto"/>
              </w:rPr>
            </w:pPr>
            <w:r>
              <w:rPr>
                <w:rFonts w:ascii="Arial" w:cs="Arial" w:eastAsia="Arial" w:hAnsi="Arial"/>
                <w:sz w:val="21"/>
                <w:szCs w:val="21"/>
                <w:b w:val="1"/>
                <w:bCs w:val="1"/>
                <w:color w:val="auto"/>
                <w:w w:val="93"/>
              </w:rPr>
              <w:t>4th Floor</w:t>
            </w:r>
          </w:p>
        </w:tc>
        <w:tc>
          <w:tcPr>
            <w:tcW w:w="2160" w:type="dxa"/>
            <w:vAlign w:val="bottom"/>
          </w:tcPr>
          <w:p>
            <w:pPr>
              <w:spacing w:after="0"/>
              <w:rPr>
                <w:sz w:val="24"/>
                <w:szCs w:val="24"/>
                <w:color w:val="auto"/>
              </w:rPr>
            </w:pPr>
          </w:p>
        </w:tc>
      </w:tr>
      <w:tr>
        <w:trPr>
          <w:trHeight w:val="233"/>
        </w:trPr>
        <w:tc>
          <w:tcPr>
            <w:tcW w:w="3240" w:type="dxa"/>
            <w:vAlign w:val="bottom"/>
          </w:tcPr>
          <w:p>
            <w:pPr>
              <w:spacing w:after="0"/>
              <w:rPr>
                <w:sz w:val="20"/>
                <w:szCs w:val="20"/>
                <w:color w:val="auto"/>
              </w:rPr>
            </w:pP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88"/>
              </w:rPr>
              <w:t>Windsor Place</w:t>
            </w:r>
          </w:p>
        </w:tc>
        <w:tc>
          <w:tcPr>
            <w:tcW w:w="2160" w:type="dxa"/>
            <w:vAlign w:val="bottom"/>
          </w:tcPr>
          <w:p>
            <w:pPr>
              <w:spacing w:after="0"/>
              <w:rPr>
                <w:sz w:val="20"/>
                <w:szCs w:val="20"/>
                <w:color w:val="auto"/>
              </w:rPr>
            </w:pPr>
          </w:p>
        </w:tc>
      </w:tr>
      <w:tr>
        <w:trPr>
          <w:trHeight w:val="233"/>
        </w:trPr>
        <w:tc>
          <w:tcPr>
            <w:tcW w:w="3240" w:type="dxa"/>
            <w:vAlign w:val="bottom"/>
          </w:tcPr>
          <w:p>
            <w:pPr>
              <w:spacing w:after="0"/>
              <w:rPr>
                <w:sz w:val="20"/>
                <w:szCs w:val="20"/>
                <w:color w:val="auto"/>
              </w:rPr>
            </w:pP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87"/>
              </w:rPr>
              <w:t>22 Queen Street</w:t>
            </w:r>
          </w:p>
        </w:tc>
        <w:tc>
          <w:tcPr>
            <w:tcW w:w="2160" w:type="dxa"/>
            <w:vAlign w:val="bottom"/>
          </w:tcPr>
          <w:p>
            <w:pPr>
              <w:spacing w:after="0"/>
              <w:rPr>
                <w:sz w:val="20"/>
                <w:szCs w:val="20"/>
                <w:color w:val="auto"/>
              </w:rPr>
            </w:pPr>
          </w:p>
        </w:tc>
      </w:tr>
      <w:tr>
        <w:trPr>
          <w:trHeight w:val="233"/>
        </w:trPr>
        <w:tc>
          <w:tcPr>
            <w:tcW w:w="3240" w:type="dxa"/>
            <w:vAlign w:val="bottom"/>
          </w:tcPr>
          <w:p>
            <w:pPr>
              <w:spacing w:after="0"/>
              <w:rPr>
                <w:sz w:val="20"/>
                <w:szCs w:val="20"/>
                <w:color w:val="auto"/>
              </w:rPr>
            </w:pP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93"/>
              </w:rPr>
              <w:t>PO Box HM 1179</w:t>
            </w:r>
          </w:p>
        </w:tc>
        <w:tc>
          <w:tcPr>
            <w:tcW w:w="2160" w:type="dxa"/>
            <w:vAlign w:val="bottom"/>
          </w:tcPr>
          <w:p>
            <w:pPr>
              <w:spacing w:after="0"/>
              <w:rPr>
                <w:sz w:val="20"/>
                <w:szCs w:val="20"/>
                <w:color w:val="auto"/>
              </w:rPr>
            </w:pPr>
          </w:p>
        </w:tc>
      </w:tr>
      <w:tr>
        <w:trPr>
          <w:trHeight w:val="233"/>
        </w:trPr>
        <w:tc>
          <w:tcPr>
            <w:tcW w:w="3240" w:type="dxa"/>
            <w:vAlign w:val="bottom"/>
          </w:tcPr>
          <w:p>
            <w:pPr>
              <w:spacing w:after="0"/>
              <w:rPr>
                <w:sz w:val="20"/>
                <w:szCs w:val="20"/>
                <w:color w:val="auto"/>
              </w:rPr>
            </w:pP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98"/>
              </w:rPr>
              <w:t>Hamilton HM EX</w:t>
            </w:r>
          </w:p>
        </w:tc>
        <w:tc>
          <w:tcPr>
            <w:tcW w:w="2160" w:type="dxa"/>
            <w:vAlign w:val="bottom"/>
          </w:tcPr>
          <w:p>
            <w:pPr>
              <w:spacing w:after="0"/>
              <w:rPr>
                <w:sz w:val="20"/>
                <w:szCs w:val="20"/>
                <w:color w:val="auto"/>
              </w:rPr>
            </w:pPr>
          </w:p>
        </w:tc>
      </w:tr>
      <w:tr>
        <w:trPr>
          <w:trHeight w:val="233"/>
        </w:trPr>
        <w:tc>
          <w:tcPr>
            <w:tcW w:w="3240" w:type="dxa"/>
            <w:vAlign w:val="bottom"/>
          </w:tcPr>
          <w:p>
            <w:pPr>
              <w:spacing w:after="0"/>
              <w:rPr>
                <w:sz w:val="20"/>
                <w:szCs w:val="20"/>
                <w:color w:val="auto"/>
              </w:rPr>
            </w:pP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92"/>
              </w:rPr>
              <w:t>Bermuda</w:t>
            </w:r>
          </w:p>
        </w:tc>
        <w:tc>
          <w:tcPr>
            <w:tcW w:w="2160" w:type="dxa"/>
            <w:vAlign w:val="bottom"/>
          </w:tcPr>
          <w:p>
            <w:pPr>
              <w:spacing w:after="0"/>
              <w:rPr>
                <w:sz w:val="20"/>
                <w:szCs w:val="20"/>
                <w:color w:val="auto"/>
              </w:rPr>
            </w:pPr>
          </w:p>
        </w:tc>
      </w:tr>
      <w:tr>
        <w:trPr>
          <w:trHeight w:val="233"/>
        </w:trPr>
        <w:tc>
          <w:tcPr>
            <w:tcW w:w="3240" w:type="dxa"/>
            <w:vAlign w:val="bottom"/>
          </w:tcPr>
          <w:p>
            <w:pPr>
              <w:spacing w:after="0"/>
              <w:rPr>
                <w:sz w:val="20"/>
                <w:szCs w:val="20"/>
                <w:color w:val="auto"/>
              </w:rPr>
            </w:pPr>
          </w:p>
        </w:tc>
        <w:tc>
          <w:tcPr>
            <w:tcW w:w="3800" w:type="dxa"/>
            <w:vAlign w:val="bottom"/>
          </w:tcPr>
          <w:p>
            <w:pPr>
              <w:jc w:val="center"/>
              <w:spacing w:after="0" w:line="233" w:lineRule="exact"/>
              <w:rPr>
                <w:sz w:val="20"/>
                <w:szCs w:val="20"/>
                <w:color w:val="auto"/>
              </w:rPr>
            </w:pPr>
            <w:r>
              <w:rPr>
                <w:rFonts w:ascii="Arial" w:cs="Arial" w:eastAsia="Arial" w:hAnsi="Arial"/>
                <w:sz w:val="21"/>
                <w:szCs w:val="21"/>
                <w:b w:val="1"/>
                <w:bCs w:val="1"/>
                <w:color w:val="auto"/>
                <w:w w:val="88"/>
              </w:rPr>
              <w:t>(Address of principal executive</w:t>
            </w:r>
          </w:p>
        </w:tc>
        <w:tc>
          <w:tcPr>
            <w:tcW w:w="2160" w:type="dxa"/>
            <w:vAlign w:val="bottom"/>
          </w:tcPr>
          <w:p>
            <w:pPr>
              <w:spacing w:after="0"/>
              <w:rPr>
                <w:sz w:val="20"/>
                <w:szCs w:val="20"/>
                <w:color w:val="auto"/>
              </w:rPr>
            </w:pPr>
          </w:p>
        </w:tc>
      </w:tr>
      <w:tr>
        <w:trPr>
          <w:trHeight w:val="271"/>
        </w:trPr>
        <w:tc>
          <w:tcPr>
            <w:tcW w:w="3240" w:type="dxa"/>
            <w:vAlign w:val="bottom"/>
          </w:tcPr>
          <w:p>
            <w:pPr>
              <w:spacing w:after="0"/>
              <w:rPr>
                <w:sz w:val="23"/>
                <w:szCs w:val="23"/>
                <w:color w:val="auto"/>
              </w:rPr>
            </w:pPr>
          </w:p>
        </w:tc>
        <w:tc>
          <w:tcPr>
            <w:tcW w:w="3800" w:type="dxa"/>
            <w:vAlign w:val="bottom"/>
          </w:tcPr>
          <w:p>
            <w:pPr>
              <w:jc w:val="center"/>
              <w:spacing w:after="0"/>
              <w:rPr>
                <w:sz w:val="20"/>
                <w:szCs w:val="20"/>
                <w:color w:val="auto"/>
              </w:rPr>
            </w:pPr>
            <w:r>
              <w:rPr>
                <w:rFonts w:ascii="Arial" w:cs="Arial" w:eastAsia="Arial" w:hAnsi="Arial"/>
                <w:sz w:val="21"/>
                <w:szCs w:val="21"/>
                <w:b w:val="1"/>
                <w:bCs w:val="1"/>
                <w:color w:val="auto"/>
                <w:w w:val="85"/>
              </w:rPr>
              <w:t>offices)</w:t>
            </w:r>
          </w:p>
        </w:tc>
        <w:tc>
          <w:tcPr>
            <w:tcW w:w="2160" w:type="dxa"/>
            <w:vAlign w:val="bottom"/>
          </w:tcPr>
          <w:p>
            <w:pPr>
              <w:jc w:val="center"/>
              <w:ind w:left="416"/>
              <w:spacing w:after="0"/>
              <w:rPr>
                <w:sz w:val="20"/>
                <w:szCs w:val="20"/>
                <w:color w:val="auto"/>
              </w:rPr>
            </w:pPr>
            <w:r>
              <w:rPr>
                <w:rFonts w:ascii="Arial" w:cs="Arial" w:eastAsia="Arial" w:hAnsi="Arial"/>
                <w:sz w:val="21"/>
                <w:szCs w:val="21"/>
                <w:b w:val="1"/>
                <w:bCs w:val="1"/>
                <w:color w:val="auto"/>
                <w:w w:val="92"/>
              </w:rPr>
              <w:t>(Zip Code)</w:t>
            </w:r>
          </w:p>
        </w:tc>
      </w:tr>
    </w:tbl>
    <w:p>
      <w:pPr>
        <w:spacing w:after="0" w:line="170" w:lineRule="exact"/>
        <w:rPr>
          <w:sz w:val="24"/>
          <w:szCs w:val="24"/>
          <w:color w:val="auto"/>
        </w:rPr>
      </w:pPr>
    </w:p>
    <w:p>
      <w:pPr>
        <w:ind w:left="2740"/>
        <w:spacing w:after="0"/>
        <w:rPr>
          <w:sz w:val="20"/>
          <w:szCs w:val="20"/>
          <w:color w:val="auto"/>
        </w:rPr>
      </w:pPr>
      <w:r>
        <w:rPr>
          <w:rFonts w:ascii="Arial" w:cs="Arial" w:eastAsia="Arial" w:hAnsi="Arial"/>
          <w:sz w:val="21"/>
          <w:szCs w:val="21"/>
          <w:b w:val="1"/>
          <w:bCs w:val="1"/>
          <w:color w:val="auto"/>
        </w:rPr>
        <w:t>Registrant’s telephone number, including area code: (441) 296-6395</w:t>
      </w:r>
    </w:p>
    <w:p>
      <w:pPr>
        <w:spacing w:after="0" w:line="199" w:lineRule="exact"/>
        <w:rPr>
          <w:sz w:val="24"/>
          <w:szCs w:val="24"/>
          <w:color w:val="auto"/>
        </w:rPr>
      </w:pPr>
    </w:p>
    <w:p>
      <w:pPr>
        <w:ind w:left="5540"/>
        <w:spacing w:after="0"/>
        <w:rPr>
          <w:sz w:val="20"/>
          <w:szCs w:val="20"/>
          <w:color w:val="auto"/>
        </w:rPr>
      </w:pPr>
      <w:r>
        <w:rPr>
          <w:rFonts w:ascii="Arial" w:cs="Arial" w:eastAsia="Arial" w:hAnsi="Arial"/>
          <w:sz w:val="21"/>
          <w:szCs w:val="21"/>
          <w:b w:val="1"/>
          <w:bCs w:val="1"/>
          <w:color w:val="auto"/>
        </w:rPr>
        <w:t>N/A</w:t>
      </w:r>
    </w:p>
    <w:p>
      <w:pPr>
        <w:spacing w:after="0" w:line="16" w:lineRule="exact"/>
        <w:rPr>
          <w:sz w:val="24"/>
          <w:szCs w:val="24"/>
          <w:color w:val="auto"/>
        </w:rPr>
      </w:pPr>
    </w:p>
    <w:p>
      <w:pPr>
        <w:ind w:left="2900"/>
        <w:spacing w:after="0"/>
        <w:rPr>
          <w:sz w:val="20"/>
          <w:szCs w:val="20"/>
          <w:color w:val="auto"/>
        </w:rPr>
      </w:pPr>
      <w:r>
        <w:rPr>
          <w:rFonts w:ascii="Arial" w:cs="Arial" w:eastAsia="Arial" w:hAnsi="Arial"/>
          <w:sz w:val="21"/>
          <w:szCs w:val="21"/>
          <w:b w:val="1"/>
          <w:bCs w:val="1"/>
          <w:color w:val="auto"/>
        </w:rPr>
        <w:t>(Former name and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128905</wp:posOffset>
            </wp:positionV>
            <wp:extent cx="7252335"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335"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200660</wp:posOffset>
            </wp:positionV>
            <wp:extent cx="7256780" cy="374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6780" cy="3746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628650</wp:posOffset>
            </wp:positionV>
            <wp:extent cx="7256780" cy="209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6780" cy="209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9" w:lineRule="exact"/>
        <w:rPr>
          <w:sz w:val="24"/>
          <w:szCs w:val="24"/>
          <w:color w:val="auto"/>
        </w:rPr>
      </w:pPr>
    </w:p>
    <w:p>
      <w:pPr>
        <w:ind w:left="460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05" w:lineRule="exact"/>
        <w:rPr>
          <w:sz w:val="24"/>
          <w:szCs w:val="24"/>
          <w:color w:val="auto"/>
        </w:rPr>
      </w:pPr>
    </w:p>
    <w:p>
      <w:pPr>
        <w:ind w:left="900"/>
        <w:spacing w:after="0"/>
        <w:rPr>
          <w:rFonts w:ascii="Arial" w:cs="Arial" w:eastAsia="Arial" w:hAnsi="Arial"/>
          <w:sz w:val="21"/>
          <w:szCs w:val="21"/>
          <w:u w:val="single" w:color="auto"/>
          <w:color w:val="0000EE"/>
        </w:rPr>
      </w:pPr>
      <w:hyperlink w:anchor="page1">
        <w:r>
          <w:rPr>
            <w:rFonts w:ascii="Arial" w:cs="Arial" w:eastAsia="Arial" w:hAnsi="Arial"/>
            <w:sz w:val="21"/>
            <w:szCs w:val="21"/>
            <w:u w:val="single" w:color="auto"/>
            <w:color w:val="0000EE"/>
          </w:rPr>
          <w:t>Item 5. Other Events.</w:t>
        </w:r>
      </w:hyperlink>
    </w:p>
    <w:p>
      <w:pPr>
        <w:spacing w:after="0" w:line="2" w:lineRule="exact"/>
        <w:rPr>
          <w:sz w:val="24"/>
          <w:szCs w:val="24"/>
          <w:color w:val="auto"/>
        </w:rPr>
      </w:pPr>
    </w:p>
    <w:p>
      <w:pPr>
        <w:ind w:left="900"/>
        <w:spacing w:after="0"/>
        <w:rPr>
          <w:rFonts w:ascii="Arial" w:cs="Arial" w:eastAsia="Arial" w:hAnsi="Arial"/>
          <w:sz w:val="21"/>
          <w:szCs w:val="21"/>
          <w:u w:val="single" w:color="auto"/>
          <w:color w:val="0000EE"/>
        </w:rPr>
      </w:pPr>
      <w:hyperlink w:anchor="page1">
        <w:r>
          <w:rPr>
            <w:rFonts w:ascii="Arial" w:cs="Arial" w:eastAsia="Arial" w:hAnsi="Arial"/>
            <w:sz w:val="21"/>
            <w:szCs w:val="21"/>
            <w:u w:val="single" w:color="auto"/>
            <w:color w:val="0000EE"/>
          </w:rPr>
          <w:t>Item 7. Financial Statements, Pro Forma Financial Information and Exhibits.</w:t>
        </w:r>
      </w:hyperlink>
    </w:p>
    <w:p>
      <w:pPr>
        <w:ind w:left="580"/>
        <w:spacing w:after="0" w:line="231" w:lineRule="auto"/>
        <w:rPr>
          <w:rFonts w:ascii="Arial" w:cs="Arial" w:eastAsia="Arial" w:hAnsi="Arial"/>
          <w:sz w:val="21"/>
          <w:szCs w:val="21"/>
          <w:u w:val="single" w:color="auto"/>
          <w:color w:val="0000EE"/>
        </w:rPr>
      </w:pPr>
      <w:hyperlink w:anchor="page1">
        <w:r>
          <w:rPr>
            <w:rFonts w:ascii="Arial" w:cs="Arial" w:eastAsia="Arial" w:hAnsi="Arial"/>
            <w:sz w:val="21"/>
            <w:szCs w:val="21"/>
            <w:u w:val="single" w:color="auto"/>
            <w:color w:val="0000EE"/>
          </w:rPr>
          <w:t>SIGNATURE</w:t>
        </w:r>
      </w:hyperlink>
    </w:p>
    <w:p>
      <w:pPr>
        <w:ind w:left="580"/>
        <w:spacing w:after="0" w:line="232" w:lineRule="auto"/>
        <w:rPr>
          <w:rFonts w:ascii="Arial" w:cs="Arial" w:eastAsia="Arial" w:hAnsi="Arial"/>
          <w:sz w:val="21"/>
          <w:szCs w:val="21"/>
          <w:u w:val="single" w:color="auto"/>
          <w:color w:val="0000EE"/>
        </w:rPr>
      </w:pPr>
      <w:hyperlink w:anchor="page2">
        <w:r>
          <w:rPr>
            <w:rFonts w:ascii="Arial" w:cs="Arial" w:eastAsia="Arial" w:hAnsi="Arial"/>
            <w:sz w:val="21"/>
            <w:szCs w:val="21"/>
            <w:u w:val="single" w:color="auto"/>
            <w:color w:val="0000EE"/>
          </w:rPr>
          <w:t>EXHIBIT INDEX</w:t>
        </w:r>
      </w:hyperlink>
    </w:p>
    <w:p>
      <w:pPr>
        <w:spacing w:after="0" w:line="1" w:lineRule="exact"/>
        <w:rPr>
          <w:sz w:val="24"/>
          <w:szCs w:val="24"/>
          <w:color w:val="auto"/>
        </w:rPr>
      </w:pPr>
    </w:p>
    <w:p>
      <w:pPr>
        <w:ind w:left="580"/>
        <w:spacing w:after="0"/>
        <w:rPr>
          <w:sz w:val="20"/>
          <w:szCs w:val="20"/>
          <w:color w:val="auto"/>
        </w:rPr>
      </w:pPr>
      <w:r>
        <w:rPr>
          <w:rFonts w:ascii="Arial" w:cs="Arial" w:eastAsia="Arial" w:hAnsi="Arial"/>
          <w:sz w:val="21"/>
          <w:szCs w:val="21"/>
          <w:u w:val="single" w:color="auto"/>
          <w:color w:val="0000EE"/>
        </w:rPr>
        <w:t>EXHIBIT 99.1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126365</wp:posOffset>
            </wp:positionV>
            <wp:extent cx="7256780" cy="209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6780" cy="20955"/>
                    </a:xfrm>
                    <a:prstGeom prst="rect">
                      <a:avLst/>
                    </a:prstGeom>
                    <a:noFill/>
                  </pic:spPr>
                </pic:pic>
              </a:graphicData>
            </a:graphic>
          </wp:anchor>
        </w:drawing>
      </w:r>
    </w:p>
    <w:p>
      <w:pPr>
        <w:spacing w:after="0" w:line="200" w:lineRule="exact"/>
        <w:rPr>
          <w:sz w:val="24"/>
          <w:szCs w:val="24"/>
          <w:color w:val="auto"/>
        </w:rPr>
      </w:pPr>
    </w:p>
    <w:p>
      <w:pPr>
        <w:spacing w:after="0" w:line="276" w:lineRule="exact"/>
        <w:rPr>
          <w:sz w:val="24"/>
          <w:szCs w:val="24"/>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9" w:lineRule="exact"/>
        <w:rPr>
          <w:sz w:val="24"/>
          <w:szCs w:val="24"/>
          <w:color w:val="auto"/>
        </w:rPr>
      </w:pPr>
    </w:p>
    <w:p>
      <w:pPr>
        <w:ind w:left="3780"/>
        <w:spacing w:after="0"/>
        <w:rPr>
          <w:sz w:val="20"/>
          <w:szCs w:val="20"/>
          <w:color w:val="auto"/>
        </w:rPr>
      </w:pPr>
      <w:r>
        <w:rPr>
          <w:rFonts w:ascii="Arial" w:cs="Arial" w:eastAsia="Arial" w:hAnsi="Arial"/>
          <w:sz w:val="17"/>
          <w:szCs w:val="17"/>
          <w:color w:val="auto"/>
        </w:rPr>
        <w:t>INFORMATION TO BE INCLUDED IN THE REPORT</w:t>
      </w:r>
    </w:p>
    <w:p>
      <w:pPr>
        <w:spacing w:after="0" w:line="215" w:lineRule="exact"/>
        <w:rPr>
          <w:sz w:val="24"/>
          <w:szCs w:val="24"/>
          <w:color w:val="auto"/>
        </w:rPr>
      </w:pPr>
    </w:p>
    <w:p>
      <w:pPr>
        <w:spacing w:after="0"/>
        <w:rPr>
          <w:sz w:val="20"/>
          <w:szCs w:val="20"/>
          <w:color w:val="auto"/>
        </w:rPr>
      </w:pPr>
      <w:r>
        <w:rPr>
          <w:rFonts w:ascii="Arial" w:cs="Arial" w:eastAsia="Arial" w:hAnsi="Arial"/>
          <w:sz w:val="17"/>
          <w:szCs w:val="17"/>
          <w:b w:val="1"/>
          <w:bCs w:val="1"/>
          <w:color w:val="auto"/>
        </w:rPr>
        <w:t>Item 5. Other Events.</w:t>
      </w:r>
    </w:p>
    <w:p>
      <w:pPr>
        <w:spacing w:after="0" w:line="223" w:lineRule="exact"/>
        <w:rPr>
          <w:sz w:val="24"/>
          <w:szCs w:val="24"/>
          <w:color w:val="auto"/>
        </w:rPr>
      </w:pPr>
    </w:p>
    <w:p>
      <w:pPr>
        <w:ind w:right="80" w:firstLine="211"/>
        <w:spacing w:after="0" w:line="277" w:lineRule="auto"/>
        <w:rPr>
          <w:sz w:val="20"/>
          <w:szCs w:val="20"/>
          <w:color w:val="auto"/>
        </w:rPr>
      </w:pPr>
      <w:r>
        <w:rPr>
          <w:rFonts w:ascii="Arial" w:cs="Arial" w:eastAsia="Arial" w:hAnsi="Arial"/>
          <w:sz w:val="17"/>
          <w:szCs w:val="17"/>
          <w:color w:val="auto"/>
        </w:rPr>
        <w:t>On August 16, 2001, the Registrant issued a press release reporting its financial results for its second fiscal quarter ended July 28, 2001. Attached hereto as Exhibit 99.1 and incorporated by reference herein is a copy of the August 16, 2001 press release.</w:t>
      </w:r>
    </w:p>
    <w:p>
      <w:pPr>
        <w:spacing w:after="0" w:line="167" w:lineRule="exact"/>
        <w:rPr>
          <w:sz w:val="24"/>
          <w:szCs w:val="24"/>
          <w:color w:val="auto"/>
        </w:rPr>
      </w:pPr>
    </w:p>
    <w:p>
      <w:pPr>
        <w:spacing w:after="0"/>
        <w:rPr>
          <w:sz w:val="20"/>
          <w:szCs w:val="20"/>
          <w:color w:val="auto"/>
        </w:rPr>
      </w:pPr>
      <w:r>
        <w:rPr>
          <w:rFonts w:ascii="Arial" w:cs="Arial" w:eastAsia="Arial" w:hAnsi="Arial"/>
          <w:sz w:val="17"/>
          <w:szCs w:val="17"/>
          <w:b w:val="1"/>
          <w:bCs w:val="1"/>
          <w:color w:val="auto"/>
        </w:rPr>
        <w:t>Item 7. Financial Statements, Pro Forma Financial Information and Exhibits.</w:t>
      </w:r>
    </w:p>
    <w:p>
      <w:pPr>
        <w:spacing w:after="0" w:line="249" w:lineRule="exact"/>
        <w:rPr>
          <w:sz w:val="24"/>
          <w:szCs w:val="24"/>
          <w:color w:val="auto"/>
        </w:rPr>
      </w:pPr>
    </w:p>
    <w:p>
      <w:pPr>
        <w:spacing w:after="0"/>
        <w:tabs>
          <w:tab w:leader="none" w:pos="1720" w:val="left"/>
        </w:tabs>
        <w:rPr>
          <w:sz w:val="20"/>
          <w:szCs w:val="20"/>
          <w:color w:val="auto"/>
        </w:rPr>
      </w:pPr>
      <w:r>
        <w:rPr>
          <w:rFonts w:ascii="Arial" w:cs="Arial" w:eastAsia="Arial" w:hAnsi="Arial"/>
          <w:sz w:val="13"/>
          <w:szCs w:val="13"/>
          <w:color w:val="auto"/>
        </w:rPr>
        <w:t>Exhibit</w:t>
      </w:r>
      <w:r>
        <w:rPr>
          <w:sz w:val="20"/>
          <w:szCs w:val="20"/>
          <w:color w:val="auto"/>
        </w:rPr>
        <w:tab/>
      </w:r>
      <w:r>
        <w:rPr>
          <w:rFonts w:ascii="Arial" w:cs="Arial" w:eastAsia="Arial" w:hAnsi="Arial"/>
          <w:sz w:val="13"/>
          <w:szCs w:val="13"/>
          <w:color w:val="auto"/>
        </w:rPr>
        <w:t>Description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67310</wp:posOffset>
            </wp:positionV>
            <wp:extent cx="669226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92265" cy="8255"/>
                    </a:xfrm>
                    <a:prstGeom prst="rect">
                      <a:avLst/>
                    </a:prstGeom>
                    <a:noFill/>
                  </pic:spPr>
                </pic:pic>
              </a:graphicData>
            </a:graphic>
          </wp:anchor>
        </w:drawing>
      </w:r>
    </w:p>
    <w:p>
      <w:pPr>
        <w:spacing w:after="0" w:line="194" w:lineRule="exact"/>
        <w:rPr>
          <w:sz w:val="24"/>
          <w:szCs w:val="24"/>
          <w:color w:val="auto"/>
        </w:rPr>
      </w:pPr>
    </w:p>
    <w:p>
      <w:pPr>
        <w:spacing w:after="0"/>
        <w:tabs>
          <w:tab w:leader="none" w:pos="1720" w:val="left"/>
        </w:tabs>
        <w:rPr>
          <w:sz w:val="20"/>
          <w:szCs w:val="20"/>
          <w:color w:val="auto"/>
        </w:rPr>
      </w:pPr>
      <w:r>
        <w:rPr>
          <w:rFonts w:ascii="Arial" w:cs="Arial" w:eastAsia="Arial" w:hAnsi="Arial"/>
          <w:sz w:val="17"/>
          <w:szCs w:val="17"/>
          <w:color w:val="auto"/>
        </w:rPr>
        <w:t>99.1</w:t>
      </w:r>
      <w:r>
        <w:rPr>
          <w:sz w:val="20"/>
          <w:szCs w:val="20"/>
          <w:color w:val="auto"/>
        </w:rPr>
        <w:tab/>
      </w:r>
      <w:r>
        <w:rPr>
          <w:rFonts w:ascii="Arial" w:cs="Arial" w:eastAsia="Arial" w:hAnsi="Arial"/>
          <w:sz w:val="14"/>
          <w:szCs w:val="14"/>
          <w:color w:val="auto"/>
        </w:rPr>
        <w:t>Press Release dated August 16, 2001.</w:t>
      </w:r>
    </w:p>
    <w:p>
      <w:pPr>
        <w:spacing w:after="0" w:line="215" w:lineRule="exact"/>
        <w:rPr>
          <w:sz w:val="24"/>
          <w:szCs w:val="24"/>
          <w:color w:val="auto"/>
        </w:rPr>
      </w:pPr>
    </w:p>
    <w:p>
      <w:pPr>
        <w:jc w:val="center"/>
        <w:ind w:right="-659"/>
        <w:spacing w:after="0"/>
        <w:rPr>
          <w:sz w:val="20"/>
          <w:szCs w:val="20"/>
          <w:color w:val="auto"/>
        </w:rPr>
      </w:pPr>
      <w:r>
        <w:rPr>
          <w:rFonts w:ascii="Arial" w:cs="Arial" w:eastAsia="Arial" w:hAnsi="Arial"/>
          <w:sz w:val="17"/>
          <w:szCs w:val="17"/>
          <w:b w:val="1"/>
          <w:bCs w:val="1"/>
          <w:color w:val="auto"/>
        </w:rPr>
        <w:t>SIGNATURE</w:t>
      </w:r>
    </w:p>
    <w:p>
      <w:pPr>
        <w:spacing w:after="0" w:line="223" w:lineRule="exact"/>
        <w:rPr>
          <w:sz w:val="24"/>
          <w:szCs w:val="24"/>
          <w:color w:val="auto"/>
        </w:rPr>
      </w:pPr>
    </w:p>
    <w:p>
      <w:pPr>
        <w:ind w:firstLine="211"/>
        <w:spacing w:after="0" w:line="277" w:lineRule="auto"/>
        <w:rPr>
          <w:sz w:val="20"/>
          <w:szCs w:val="20"/>
          <w:color w:val="auto"/>
        </w:rPr>
      </w:pPr>
      <w:r>
        <w:rPr>
          <w:rFonts w:ascii="Arial" w:cs="Arial" w:eastAsia="Arial" w:hAnsi="Arial"/>
          <w:sz w:val="17"/>
          <w:szCs w:val="17"/>
          <w:color w:val="auto"/>
        </w:rPr>
        <w:t>Pursuant to the requirements of the Securities Exchange Act of 1934, as amended, the Registrant has duly caused this report to be signed on its behalf by the undersigned hereunto duly authorized.</w:t>
      </w:r>
    </w:p>
    <w:p>
      <w:pPr>
        <w:sectPr>
          <w:pgSz w:w="11900" w:h="16838" w:orient="portrait"/>
          <w:cols w:equalWidth="0" w:num="1">
            <w:col w:w="10760"/>
          </w:cols>
          <w:pgMar w:left="240" w:top="225" w:right="899" w:bottom="0" w:gutter="0" w:footer="0" w:header="0"/>
        </w:sectPr>
      </w:pPr>
    </w:p>
    <w:bookmarkStart w:id="1" w:name="page2"/>
    <w:bookmarkEnd w:id="1"/>
    <w:p>
      <w:pPr>
        <w:ind w:left="220"/>
        <w:spacing w:after="0"/>
        <w:rPr>
          <w:sz w:val="20"/>
          <w:szCs w:val="20"/>
          <w:color w:val="auto"/>
        </w:rPr>
      </w:pPr>
      <w:r>
        <w:rPr>
          <w:rFonts w:ascii="Arial" w:cs="Arial" w:eastAsia="Arial" w:hAnsi="Arial"/>
          <w:sz w:val="17"/>
          <w:szCs w:val="17"/>
          <w:color w:val="auto"/>
        </w:rPr>
        <w:t>Date: August 16, 2001</w:t>
      </w:r>
    </w:p>
    <w:p>
      <w:pPr>
        <w:spacing w:after="0" w:line="241" w:lineRule="exact"/>
        <w:rPr>
          <w:sz w:val="20"/>
          <w:szCs w:val="20"/>
          <w:color w:val="auto"/>
        </w:rPr>
      </w:pPr>
    </w:p>
    <w:p>
      <w:pPr>
        <w:jc w:val="right"/>
        <w:ind w:right="1560"/>
        <w:spacing w:after="0"/>
        <w:rPr>
          <w:sz w:val="20"/>
          <w:szCs w:val="20"/>
          <w:color w:val="auto"/>
        </w:rPr>
      </w:pPr>
      <w:r>
        <w:rPr>
          <w:rFonts w:ascii="Arial" w:cs="Arial" w:eastAsia="Arial" w:hAnsi="Arial"/>
          <w:sz w:val="17"/>
          <w:szCs w:val="17"/>
          <w:b w:val="1"/>
          <w:bCs w:val="1"/>
          <w:color w:val="auto"/>
        </w:rPr>
        <w:t>MARVELL TECHNOLOGY GROUP LTD</w:t>
      </w:r>
    </w:p>
    <w:p>
      <w:pPr>
        <w:spacing w:after="0" w:line="200" w:lineRule="exact"/>
        <w:rPr>
          <w:sz w:val="20"/>
          <w:szCs w:val="20"/>
          <w:color w:val="auto"/>
        </w:rPr>
      </w:pPr>
    </w:p>
    <w:p>
      <w:pPr>
        <w:spacing w:after="0" w:line="309" w:lineRule="exact"/>
        <w:rPr>
          <w:sz w:val="20"/>
          <w:szCs w:val="20"/>
          <w:color w:val="auto"/>
        </w:rPr>
      </w:pPr>
    </w:p>
    <w:p>
      <w:pPr>
        <w:ind w:left="5720"/>
        <w:spacing w:after="0"/>
        <w:tabs>
          <w:tab w:leader="none" w:pos="6480" w:val="left"/>
        </w:tabs>
        <w:rPr>
          <w:sz w:val="20"/>
          <w:szCs w:val="20"/>
          <w:color w:val="auto"/>
        </w:rPr>
      </w:pPr>
      <w:r>
        <w:rPr>
          <w:rFonts w:ascii="Arial" w:cs="Arial" w:eastAsia="Arial" w:hAnsi="Arial"/>
          <w:sz w:val="17"/>
          <w:szCs w:val="17"/>
          <w:color w:val="auto"/>
        </w:rPr>
        <w:t>By:</w:t>
      </w:r>
      <w:r>
        <w:rPr>
          <w:sz w:val="20"/>
          <w:szCs w:val="20"/>
          <w:color w:val="auto"/>
        </w:rPr>
        <w:tab/>
      </w:r>
      <w:r>
        <w:rPr>
          <w:rFonts w:ascii="Arial" w:cs="Arial" w:eastAsia="Arial" w:hAnsi="Arial"/>
          <w:sz w:val="17"/>
          <w:szCs w:val="17"/>
          <w:color w:val="auto"/>
        </w:rPr>
        <w:t>/s/ George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3994785</wp:posOffset>
            </wp:positionH>
            <wp:positionV relativeFrom="paragraph">
              <wp:posOffset>86995</wp:posOffset>
            </wp:positionV>
            <wp:extent cx="325945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259455" cy="8255"/>
                    </a:xfrm>
                    <a:prstGeom prst="rect">
                      <a:avLst/>
                    </a:prstGeom>
                    <a:noFill/>
                  </pic:spPr>
                </pic:pic>
              </a:graphicData>
            </a:graphic>
          </wp:anchor>
        </w:drawing>
      </w:r>
    </w:p>
    <w:p>
      <w:pPr>
        <w:spacing w:after="0" w:line="225" w:lineRule="exact"/>
        <w:rPr>
          <w:sz w:val="20"/>
          <w:szCs w:val="20"/>
          <w:color w:val="auto"/>
        </w:rPr>
      </w:pPr>
    </w:p>
    <w:p>
      <w:pPr>
        <w:ind w:left="6500"/>
        <w:spacing w:after="0"/>
        <w:rPr>
          <w:sz w:val="20"/>
          <w:szCs w:val="20"/>
          <w:color w:val="auto"/>
        </w:rPr>
      </w:pPr>
      <w:r>
        <w:rPr>
          <w:rFonts w:ascii="Arial" w:cs="Arial" w:eastAsia="Arial" w:hAnsi="Arial"/>
          <w:sz w:val="17"/>
          <w:szCs w:val="17"/>
          <w:color w:val="auto"/>
        </w:rPr>
        <w:t>George Hervey</w:t>
      </w:r>
    </w:p>
    <w:p>
      <w:pPr>
        <w:spacing w:after="0" w:line="19" w:lineRule="exact"/>
        <w:rPr>
          <w:sz w:val="20"/>
          <w:szCs w:val="20"/>
          <w:color w:val="auto"/>
        </w:rPr>
      </w:pPr>
    </w:p>
    <w:p>
      <w:pPr>
        <w:ind w:left="6500"/>
        <w:spacing w:after="0"/>
        <w:rPr>
          <w:sz w:val="20"/>
          <w:szCs w:val="20"/>
          <w:color w:val="auto"/>
        </w:rPr>
      </w:pPr>
      <w:r>
        <w:rPr>
          <w:rFonts w:ascii="Arial" w:cs="Arial" w:eastAsia="Arial" w:hAnsi="Arial"/>
          <w:sz w:val="17"/>
          <w:szCs w:val="17"/>
          <w:color w:val="auto"/>
        </w:rPr>
        <w:t>Vice President of Finance and</w:t>
      </w:r>
    </w:p>
    <w:p>
      <w:pPr>
        <w:spacing w:after="0" w:line="12" w:lineRule="exact"/>
        <w:rPr>
          <w:sz w:val="20"/>
          <w:szCs w:val="20"/>
          <w:color w:val="auto"/>
        </w:rPr>
      </w:pPr>
    </w:p>
    <w:p>
      <w:pPr>
        <w:ind w:left="6500"/>
        <w:spacing w:after="0"/>
        <w:rPr>
          <w:sz w:val="20"/>
          <w:szCs w:val="20"/>
          <w:color w:val="auto"/>
        </w:rPr>
      </w:pPr>
      <w:r>
        <w:rPr>
          <w:rFonts w:ascii="Arial" w:cs="Arial" w:eastAsia="Arial" w:hAnsi="Arial"/>
          <w:sz w:val="17"/>
          <w:szCs w:val="17"/>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401955</wp:posOffset>
            </wp:positionV>
            <wp:extent cx="7256780" cy="209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6780" cy="209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6" w:lineRule="exact"/>
        <w:rPr>
          <w:sz w:val="20"/>
          <w:szCs w:val="20"/>
          <w:color w:val="auto"/>
        </w:rPr>
      </w:pPr>
    </w:p>
    <w:p>
      <w:pPr>
        <w:ind w:left="5100"/>
        <w:spacing w:after="0"/>
        <w:rPr>
          <w:sz w:val="20"/>
          <w:szCs w:val="20"/>
          <w:color w:val="auto"/>
        </w:rPr>
      </w:pPr>
      <w:r>
        <w:rPr>
          <w:rFonts w:ascii="Arial" w:cs="Arial" w:eastAsia="Arial" w:hAnsi="Arial"/>
          <w:sz w:val="17"/>
          <w:szCs w:val="17"/>
          <w:color w:val="auto"/>
        </w:rPr>
        <w:t>EXHIBIT INDEX</w:t>
      </w: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4"/>
        </w:trPr>
        <w:tc>
          <w:tcPr>
            <w:tcW w:w="1780" w:type="dxa"/>
            <w:vAlign w:val="bottom"/>
          </w:tcPr>
          <w:p>
            <w:pPr>
              <w:spacing w:after="0"/>
              <w:rPr>
                <w:sz w:val="20"/>
                <w:szCs w:val="20"/>
                <w:color w:val="auto"/>
              </w:rPr>
            </w:pPr>
            <w:r>
              <w:rPr>
                <w:rFonts w:ascii="Arial" w:cs="Arial" w:eastAsia="Arial" w:hAnsi="Arial"/>
                <w:sz w:val="13"/>
                <w:szCs w:val="13"/>
                <w:color w:val="auto"/>
              </w:rPr>
              <w:t>Exhibit No.</w:t>
            </w:r>
          </w:p>
        </w:tc>
        <w:tc>
          <w:tcPr>
            <w:tcW w:w="640" w:type="dxa"/>
            <w:vAlign w:val="bottom"/>
          </w:tcPr>
          <w:p>
            <w:pPr>
              <w:spacing w:after="0"/>
              <w:rPr>
                <w:sz w:val="14"/>
                <w:szCs w:val="14"/>
                <w:color w:val="auto"/>
              </w:rPr>
            </w:pPr>
          </w:p>
        </w:tc>
        <w:tc>
          <w:tcPr>
            <w:tcW w:w="8000" w:type="dxa"/>
            <w:vAlign w:val="bottom"/>
          </w:tcPr>
          <w:p>
            <w:pPr>
              <w:ind w:left="320"/>
              <w:spacing w:after="0"/>
              <w:rPr>
                <w:sz w:val="20"/>
                <w:szCs w:val="20"/>
                <w:color w:val="auto"/>
              </w:rPr>
            </w:pPr>
            <w:r>
              <w:rPr>
                <w:rFonts w:ascii="Arial" w:cs="Arial" w:eastAsia="Arial" w:hAnsi="Arial"/>
                <w:sz w:val="13"/>
                <w:szCs w:val="13"/>
                <w:color w:val="auto"/>
              </w:rPr>
              <w:t>Document</w:t>
            </w:r>
          </w:p>
        </w:tc>
      </w:tr>
      <w:tr>
        <w:trPr>
          <w:trHeight w:val="92"/>
        </w:trPr>
        <w:tc>
          <w:tcPr>
            <w:tcW w:w="1780" w:type="dxa"/>
            <w:vAlign w:val="bottom"/>
            <w:tcBorders>
              <w:bottom w:val="single" w:sz="8" w:color="808080"/>
            </w:tcBorders>
          </w:tcPr>
          <w:p>
            <w:pPr>
              <w:spacing w:after="0"/>
              <w:rPr>
                <w:sz w:val="7"/>
                <w:szCs w:val="7"/>
                <w:color w:val="auto"/>
              </w:rPr>
            </w:pPr>
          </w:p>
        </w:tc>
        <w:tc>
          <w:tcPr>
            <w:tcW w:w="640" w:type="dxa"/>
            <w:vAlign w:val="bottom"/>
          </w:tcPr>
          <w:p>
            <w:pPr>
              <w:spacing w:after="0"/>
              <w:rPr>
                <w:sz w:val="7"/>
                <w:szCs w:val="7"/>
                <w:color w:val="auto"/>
              </w:rPr>
            </w:pPr>
          </w:p>
        </w:tc>
        <w:tc>
          <w:tcPr>
            <w:tcW w:w="8000" w:type="dxa"/>
            <w:vAlign w:val="bottom"/>
            <w:tcBorders>
              <w:bottom w:val="single" w:sz="8" w:color="808080"/>
            </w:tcBorders>
          </w:tcPr>
          <w:p>
            <w:pPr>
              <w:spacing w:after="0"/>
              <w:rPr>
                <w:sz w:val="7"/>
                <w:szCs w:val="7"/>
                <w:color w:val="auto"/>
              </w:rPr>
            </w:pPr>
          </w:p>
        </w:tc>
      </w:tr>
      <w:tr>
        <w:trPr>
          <w:trHeight w:val="302"/>
        </w:trPr>
        <w:tc>
          <w:tcPr>
            <w:tcW w:w="1780" w:type="dxa"/>
            <w:vAlign w:val="bottom"/>
          </w:tcPr>
          <w:p>
            <w:pPr>
              <w:spacing w:after="0"/>
              <w:rPr>
                <w:sz w:val="20"/>
                <w:szCs w:val="20"/>
                <w:color w:val="auto"/>
              </w:rPr>
            </w:pPr>
            <w:r>
              <w:rPr>
                <w:rFonts w:ascii="Arial" w:cs="Arial" w:eastAsia="Arial" w:hAnsi="Arial"/>
                <w:sz w:val="17"/>
                <w:szCs w:val="17"/>
                <w:color w:val="auto"/>
              </w:rPr>
              <w:t>Exhibit 99.1</w:t>
            </w:r>
          </w:p>
        </w:tc>
        <w:tc>
          <w:tcPr>
            <w:tcW w:w="8640" w:type="dxa"/>
            <w:vAlign w:val="bottom"/>
            <w:gridSpan w:val="2"/>
          </w:tcPr>
          <w:p>
            <w:pPr>
              <w:ind w:left="640"/>
              <w:spacing w:after="0"/>
              <w:rPr>
                <w:sz w:val="20"/>
                <w:szCs w:val="20"/>
                <w:color w:val="auto"/>
              </w:rPr>
            </w:pPr>
            <w:r>
              <w:rPr>
                <w:rFonts w:ascii="Arial" w:cs="Arial" w:eastAsia="Arial" w:hAnsi="Arial"/>
                <w:sz w:val="17"/>
                <w:szCs w:val="17"/>
                <w:color w:val="auto"/>
              </w:rPr>
              <w:t>Press Release issued August 16, 2001.</w:t>
            </w:r>
          </w:p>
        </w:tc>
      </w:tr>
    </w:tbl>
    <w:p>
      <w:pPr>
        <w:sectPr>
          <w:pgSz w:w="11900" w:h="16838" w:orient="portrait"/>
          <w:cols w:equalWidth="0" w:num="1">
            <w:col w:w="10420"/>
          </w:cols>
          <w:pgMar w:left="240" w:top="131" w:right="1239" w:bottom="1440" w:gutter="0" w:footer="0" w:header="0"/>
        </w:sectPr>
      </w:pPr>
    </w:p>
    <w:bookmarkStart w:id="2" w:name="page3"/>
    <w:bookmarkEnd w:id="2"/>
    <w:p>
      <w:pPr>
        <w:ind w:left="300"/>
        <w:spacing w:after="0"/>
        <w:rPr>
          <w:sz w:val="20"/>
          <w:szCs w:val="20"/>
          <w:color w:val="auto"/>
        </w:rPr>
      </w:pPr>
      <w:r>
        <w:rPr>
          <w:rFonts w:ascii="Courier New" w:cs="Courier New" w:eastAsia="Courier New" w:hAnsi="Courier New"/>
          <w:sz w:val="17"/>
          <w:szCs w:val="17"/>
          <w:color w:val="auto"/>
        </w:rPr>
        <w:t>1</w:t>
      </w:r>
    </w:p>
    <w:p>
      <w:pPr>
        <w:spacing w:after="0" w:line="2" w:lineRule="exact"/>
        <w:rPr>
          <w:sz w:val="20"/>
          <w:szCs w:val="20"/>
          <w:color w:val="auto"/>
        </w:rPr>
      </w:pPr>
    </w:p>
    <w:p>
      <w:pPr>
        <w:jc w:val="right"/>
        <w:ind w:right="2119"/>
        <w:spacing w:after="0"/>
        <w:rPr>
          <w:sz w:val="20"/>
          <w:szCs w:val="20"/>
          <w:color w:val="auto"/>
        </w:rPr>
      </w:pPr>
      <w:r>
        <w:rPr>
          <w:rFonts w:ascii="Courier New" w:cs="Courier New" w:eastAsia="Courier New" w:hAnsi="Courier New"/>
          <w:sz w:val="17"/>
          <w:szCs w:val="17"/>
          <w:color w:val="auto"/>
        </w:rPr>
        <w:t>EXHIBIT 99.1</w:t>
      </w: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NEWS RELEASE</w:t>
      </w:r>
    </w:p>
    <w:p>
      <w:pPr>
        <w:spacing w:after="0" w:line="391"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MARVELL TECHNOLOGY GROUP LTD. REPORTS SECOND QUARTER FISCAL 2002 RESULTS</w:t>
      </w:r>
    </w:p>
    <w:p>
      <w:pPr>
        <w:spacing w:after="0" w:line="199" w:lineRule="exact"/>
        <w:rPr>
          <w:sz w:val="20"/>
          <w:szCs w:val="20"/>
          <w:color w:val="auto"/>
        </w:rPr>
      </w:pPr>
    </w:p>
    <w:p>
      <w:pPr>
        <w:ind w:right="2119"/>
        <w:spacing w:after="0" w:line="241" w:lineRule="auto"/>
        <w:rPr>
          <w:sz w:val="20"/>
          <w:szCs w:val="20"/>
          <w:color w:val="auto"/>
        </w:rPr>
      </w:pPr>
      <w:r>
        <w:rPr>
          <w:rFonts w:ascii="Courier New" w:cs="Courier New" w:eastAsia="Courier New" w:hAnsi="Courier New"/>
          <w:sz w:val="17"/>
          <w:szCs w:val="17"/>
          <w:color w:val="auto"/>
        </w:rPr>
        <w:t>SUNNYVALE, CA. (AUGUST 16, 2001) - Marvell Technology Group Ltd. (NASDAQ: MRVL), a technology leader in the development of extreme broadband communications solutions, today reported financial results for its second fiscal quarter ended July 28, 2001.</w:t>
      </w:r>
    </w:p>
    <w:p>
      <w:pPr>
        <w:spacing w:after="0" w:line="199" w:lineRule="exact"/>
        <w:rPr>
          <w:sz w:val="20"/>
          <w:szCs w:val="20"/>
          <w:color w:val="auto"/>
        </w:rPr>
      </w:pPr>
    </w:p>
    <w:p>
      <w:pPr>
        <w:ind w:right="2119"/>
        <w:spacing w:after="0" w:line="241" w:lineRule="auto"/>
        <w:rPr>
          <w:sz w:val="20"/>
          <w:szCs w:val="20"/>
          <w:color w:val="auto"/>
        </w:rPr>
      </w:pPr>
      <w:r>
        <w:rPr>
          <w:rFonts w:ascii="Courier New" w:cs="Courier New" w:eastAsia="Courier New" w:hAnsi="Courier New"/>
          <w:sz w:val="17"/>
          <w:szCs w:val="17"/>
          <w:color w:val="auto"/>
        </w:rPr>
        <w:t>Net revenue for the second quarter of fiscal 2002 was $68.7 million, an increase of 113% over net revenue of $32.2 million for the second quarter of fiscal 2001 and a 7% sequential increase from net revenue of $64.2 million for the first quarter of fiscal 2002. Pro forma net income, which excludes the effect of acquisition-related expenses and amortization of stock-based compensation, was $3.4 million, or $0.03 per share (diluted), for the second quarter of fiscal 2002, compared with pro forma net income of $2.3 million, or $0.03 per share (diluted), for the second quarter of fiscal 2001.</w:t>
      </w:r>
    </w:p>
    <w:p>
      <w:pPr>
        <w:spacing w:after="0" w:line="203" w:lineRule="exact"/>
        <w:rPr>
          <w:sz w:val="20"/>
          <w:szCs w:val="20"/>
          <w:color w:val="auto"/>
        </w:rPr>
      </w:pPr>
    </w:p>
    <w:p>
      <w:pPr>
        <w:ind w:right="2219"/>
        <w:spacing w:after="0" w:line="241" w:lineRule="auto"/>
        <w:rPr>
          <w:sz w:val="20"/>
          <w:szCs w:val="20"/>
          <w:color w:val="auto"/>
        </w:rPr>
      </w:pPr>
      <w:r>
        <w:rPr>
          <w:rFonts w:ascii="Courier New" w:cs="Courier New" w:eastAsia="Courier New" w:hAnsi="Courier New"/>
          <w:sz w:val="17"/>
          <w:szCs w:val="17"/>
          <w:color w:val="auto"/>
        </w:rPr>
        <w:t>Net revenue for the first six months of fiscal 2002 was $132.9 million, an increase of 115% over net revenue of $61.8 million for the first six months of fiscal 2001. Pro forma net income was $7.9 million, or $0.06 per share (diluted), for the first six months of fiscal 2002, compared with pro forma net income of $6.1 million, or $0.07 per share (diluted), for the first six months of fiscal 2001.</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Net loss under generally accepted accounting principles (GAAP), which includes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the effect of acquisition-related expenses and amortization of stock-based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compensation, was $105.2 million, or $0.93 per share (diluted), for the second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quarter of fiscal 2002, compared with net income under GAAP of $624,000, 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$0.01 per share (diluted), for the second quarter of fiscal 2001. Net loss under</w:t>
      </w:r>
    </w:p>
    <w:p>
      <w:pPr>
        <w:spacing w:after="0" w:line="11"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GAAP was $210.2 million, or $1.86 per share (diluted), for the first six months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of fiscal 2002, compared with net income under GAAP of $2.7 million, or $0.03</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per share (diluted), for the first six months of fiscal 2001.</w:t>
      </w:r>
    </w:p>
    <w:p>
      <w:pPr>
        <w:spacing w:after="0" w:line="199" w:lineRule="exact"/>
        <w:rPr>
          <w:sz w:val="20"/>
          <w:szCs w:val="20"/>
          <w:color w:val="auto"/>
        </w:rPr>
      </w:pPr>
    </w:p>
    <w:p>
      <w:pPr>
        <w:ind w:right="2119"/>
        <w:spacing w:after="0" w:line="242" w:lineRule="auto"/>
        <w:rPr>
          <w:sz w:val="20"/>
          <w:szCs w:val="20"/>
          <w:color w:val="auto"/>
        </w:rPr>
      </w:pPr>
      <w:r>
        <w:rPr>
          <w:rFonts w:ascii="Courier New" w:cs="Courier New" w:eastAsia="Courier New" w:hAnsi="Courier New"/>
          <w:sz w:val="17"/>
          <w:szCs w:val="17"/>
          <w:color w:val="auto"/>
        </w:rPr>
        <w:t>"We are pleased to announce that our second quarter revenue increased 7% sequentially over the prior quarter in a challenging economic climate," stated Dr. Sehat Sutardja, Marvell's President and CEO. "Also, during the quarter, Marvell achieved significant product and technology milestones. We announced the industry's first hardware implementation of Network Address Translation (NAT) in commercial Ethernet switching devices and the industry's first hardware-based Multiprotocol Label Switch (MPLS) solution for Ethernet switches, which operates in conjunction with our GalNet(R)-3 family of Layer 3/4/5 switch processors. Marvell also introduced several new members of its industry-leading Discovery(TM) family of system controllers for MIPS(R) and PowerPC based processors, which now completes a full line of system controller products that offer superior performance and integration across a broad application range in all market segments. In addition, our industry-leading Alaska(TM) Gigabit Ethernet over copper solutions continue to become widely adopted by tier one networking OEMs, enhancing the rapid deployment of Gigabit Ethernet to the desktop."</w:t>
      </w:r>
    </w:p>
    <w:p>
      <w:pPr>
        <w:spacing w:after="0" w:line="199" w:lineRule="exact"/>
        <w:rPr>
          <w:sz w:val="20"/>
          <w:szCs w:val="20"/>
          <w:color w:val="auto"/>
        </w:rPr>
      </w:pPr>
    </w:p>
    <w:p>
      <w:pPr>
        <w:ind w:right="2119"/>
        <w:spacing w:after="0" w:line="241" w:lineRule="auto"/>
        <w:rPr>
          <w:sz w:val="20"/>
          <w:szCs w:val="20"/>
          <w:color w:val="auto"/>
        </w:rPr>
      </w:pPr>
      <w:r>
        <w:rPr>
          <w:rFonts w:ascii="Courier New" w:cs="Courier New" w:eastAsia="Courier New" w:hAnsi="Courier New"/>
          <w:sz w:val="17"/>
          <w:szCs w:val="17"/>
          <w:color w:val="auto"/>
        </w:rPr>
        <w:t>Added Dr. Sutardja, "Marvell will continue to focus on expanding our broadband communications product offerings and technology leadership, which will enable us to further strengthen our position as the leader in providing complete communications solutions to our networking and storage customers."</w:t>
      </w:r>
    </w:p>
    <w:p>
      <w:pPr>
        <w:sectPr>
          <w:pgSz w:w="11900" w:h="16838" w:orient="portrait"/>
          <w:cols w:equalWidth="0" w:num="1">
            <w:col w:w="10219"/>
          </w:cols>
          <w:pgMar w:left="240" w:top="140" w:right="1440" w:bottom="1440" w:gutter="0" w:footer="0" w:header="0"/>
        </w:sectPr>
      </w:pPr>
    </w:p>
    <w:bookmarkStart w:id="3" w:name="page4"/>
    <w:bookmarkEnd w:id="3"/>
    <w:p>
      <w:pPr>
        <w:ind w:left="300"/>
        <w:spacing w:after="0"/>
        <w:rPr>
          <w:sz w:val="20"/>
          <w:szCs w:val="20"/>
          <w:color w:val="auto"/>
        </w:rPr>
      </w:pPr>
      <w:r>
        <w:rPr>
          <w:rFonts w:ascii="Courier New" w:cs="Courier New" w:eastAsia="Courier New" w:hAnsi="Courier New"/>
          <w:sz w:val="17"/>
          <w:szCs w:val="17"/>
          <w:color w:val="auto"/>
        </w:rPr>
        <w:t>2</w:t>
      </w:r>
    </w:p>
    <w:p>
      <w:pPr>
        <w:spacing w:after="0" w:line="199" w:lineRule="exact"/>
        <w:rPr>
          <w:sz w:val="20"/>
          <w:szCs w:val="20"/>
          <w:color w:val="auto"/>
        </w:rPr>
      </w:pPr>
    </w:p>
    <w:p>
      <w:pPr>
        <w:ind w:right="2219"/>
        <w:spacing w:after="0" w:line="241" w:lineRule="auto"/>
        <w:rPr>
          <w:sz w:val="20"/>
          <w:szCs w:val="20"/>
          <w:color w:val="auto"/>
        </w:rPr>
      </w:pPr>
      <w:r>
        <w:rPr>
          <w:rFonts w:ascii="Courier New" w:cs="Courier New" w:eastAsia="Courier New" w:hAnsi="Courier New"/>
          <w:sz w:val="17"/>
          <w:szCs w:val="17"/>
          <w:color w:val="auto"/>
        </w:rPr>
        <w:t>Marvell will be conducting a conference call today at 2 p.m. PDT to discuss its second quarter financial results. To listen to the conference call, investors can access the webcast via www.StreetFusion.com by clicking on the Marvell conference link. This audio webcast will be available on a replay basis until September 16, 2001. To listen to the conference by phone, please dial 719/457-2649 approximately 10 minutes prior to the initiation of the teleconference and refer to conference code 469507. Telephone replay of the conference call will be available until August 24, 2001 at 10 p.m. PDT by calling 719/457-0820.</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ABOUT MARVELL</w:t>
      </w:r>
    </w:p>
    <w:p>
      <w:pPr>
        <w:spacing w:after="0" w:line="199" w:lineRule="exact"/>
        <w:rPr>
          <w:sz w:val="20"/>
          <w:szCs w:val="20"/>
          <w:color w:val="auto"/>
        </w:rPr>
      </w:pPr>
    </w:p>
    <w:p>
      <w:pPr>
        <w:ind w:right="2119"/>
        <w:spacing w:after="0" w:line="242" w:lineRule="auto"/>
        <w:rPr>
          <w:sz w:val="20"/>
          <w:szCs w:val="20"/>
          <w:color w:val="auto"/>
        </w:rPr>
      </w:pPr>
      <w:r>
        <w:rPr>
          <w:rFonts w:ascii="Courier New" w:cs="Courier New" w:eastAsia="Courier New" w:hAnsi="Courier New"/>
          <w:sz w:val="17"/>
          <w:szCs w:val="17"/>
          <w:color w:val="auto"/>
        </w:rPr>
        <w:t>Marvell, a technology leader in the development of extreme broadband system-level IC solutions for Internet connectivity and infrastructure, comprises Marvell Technology Group Ltd. (MTGL) and its subsidiaries, Marvell Semiconductor, Inc. (MSI), Marvell Asia Pte Ltd. (MAPL), Marvell Japan K.K. (MJKK), and Galileo Technology Ltd. (GTL).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w:t>
      </w:r>
    </w:p>
    <w:p>
      <w:pPr>
        <w:spacing w:after="0" w:line="4" w:lineRule="exact"/>
        <w:rPr>
          <w:sz w:val="20"/>
          <w:szCs w:val="20"/>
          <w:color w:val="auto"/>
        </w:rPr>
      </w:pPr>
    </w:p>
    <w:p>
      <w:pPr>
        <w:ind w:right="2219"/>
        <w:spacing w:after="0"/>
        <w:rPr>
          <w:sz w:val="20"/>
          <w:szCs w:val="20"/>
          <w:color w:val="auto"/>
        </w:rPr>
      </w:pPr>
      <w:r>
        <w:rPr>
          <w:rFonts w:ascii="Courier New" w:cs="Courier New" w:eastAsia="Courier New" w:hAnsi="Courier New"/>
          <w:sz w:val="17"/>
          <w:szCs w:val="17"/>
          <w:color w:val="auto"/>
        </w:rPr>
        <w:t>328-0120. Marvell's common stock is traded on the NASDAQ under the symbol MRVL. More information on Marvell is available on the Internet at http://www.marvell.com.</w:t>
      </w:r>
    </w:p>
    <w:p>
      <w:pPr>
        <w:spacing w:after="0" w:line="395" w:lineRule="exact"/>
        <w:rPr>
          <w:sz w:val="20"/>
          <w:szCs w:val="20"/>
          <w:color w:val="auto"/>
        </w:rPr>
      </w:pPr>
    </w:p>
    <w:p>
      <w:pPr>
        <w:ind w:right="2639"/>
        <w:spacing w:after="0" w:line="239" w:lineRule="auto"/>
        <w:rPr>
          <w:sz w:val="20"/>
          <w:szCs w:val="20"/>
          <w:color w:val="auto"/>
        </w:rPr>
      </w:pPr>
      <w:r>
        <w:rPr>
          <w:rFonts w:ascii="Courier New" w:cs="Courier New" w:eastAsia="Courier New" w:hAnsi="Courier New"/>
          <w:sz w:val="17"/>
          <w:szCs w:val="17"/>
          <w:color w:val="auto"/>
        </w:rPr>
        <w:t>SAFE HARBOR STATEMENT UNDER THE PRIVATE SECURITIES LITIGATION REFORM ACT OF 1995:</w:t>
      </w:r>
    </w:p>
    <w:p>
      <w:pPr>
        <w:spacing w:after="0" w:line="200" w:lineRule="exact"/>
        <w:rPr>
          <w:sz w:val="20"/>
          <w:szCs w:val="20"/>
          <w:color w:val="auto"/>
        </w:rPr>
      </w:pPr>
    </w:p>
    <w:p>
      <w:pPr>
        <w:ind w:right="2119"/>
        <w:spacing w:after="0" w:line="242" w:lineRule="auto"/>
        <w:rPr>
          <w:sz w:val="20"/>
          <w:szCs w:val="20"/>
          <w:color w:val="auto"/>
        </w:rPr>
      </w:pPr>
      <w:r>
        <w:rPr>
          <w:rFonts w:ascii="Courier New" w:cs="Courier New" w:eastAsia="Courier New" w:hAnsi="Courier New"/>
          <w:sz w:val="17"/>
          <w:szCs w:val="17"/>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198" w:lineRule="exact"/>
        <w:rPr>
          <w:sz w:val="20"/>
          <w:szCs w:val="20"/>
          <w:color w:val="auto"/>
        </w:rPr>
      </w:pPr>
    </w:p>
    <w:p>
      <w:pPr>
        <w:ind w:right="2219"/>
        <w:spacing w:after="0" w:line="258" w:lineRule="auto"/>
        <w:rPr>
          <w:sz w:val="20"/>
          <w:szCs w:val="20"/>
          <w:color w:val="auto"/>
        </w:rPr>
      </w:pPr>
      <w:r>
        <w:rPr>
          <w:rFonts w:ascii="Courier New" w:cs="Courier New" w:eastAsia="Courier New" w:hAnsi="Courier New"/>
          <w:sz w:val="16"/>
          <w:szCs w:val="16"/>
          <w:color w:val="auto"/>
        </w:rPr>
        <w:t>Important risks, uncertainties and assumptions that may cause such a difference for Marvell in connection with our near term financial results include, but are not limited to, the timing, cost and successful completion of technology and product development through volume production; the timing, rescheduling and/or cancellation of significant customer orders; general economic conditions and specific conditions in the markets we address, including periodic downturns in the integrated circuit industry; the rate at which our present and future customers and end-users adopt our products; and the timing and results of customer-industry qualification and certification of our products.</w:t>
      </w:r>
    </w:p>
    <w:p>
      <w:pPr>
        <w:spacing w:after="0" w:line="191" w:lineRule="exact"/>
        <w:rPr>
          <w:sz w:val="20"/>
          <w:szCs w:val="20"/>
          <w:color w:val="auto"/>
        </w:rPr>
      </w:pPr>
    </w:p>
    <w:p>
      <w:pPr>
        <w:ind w:right="2219"/>
        <w:spacing w:after="0" w:line="241" w:lineRule="auto"/>
        <w:rPr>
          <w:sz w:val="20"/>
          <w:szCs w:val="20"/>
          <w:color w:val="auto"/>
        </w:rPr>
      </w:pPr>
      <w:r>
        <w:rPr>
          <w:rFonts w:ascii="Courier New" w:cs="Courier New" w:eastAsia="Courier New" w:hAnsi="Courier New"/>
          <w:sz w:val="17"/>
          <w:szCs w:val="17"/>
          <w:color w:val="auto"/>
        </w:rPr>
        <w:t>For other factors that could cause the Marvell's results to vary from expectations, please see the section titled "Additional Factors That May Affect Future Results" in Marvell's annual report on Form 10-K for the year ended January 27, 2001 and Marvell's quarterly report on Form 10-Q for the quarter ended April 28, 2001.</w:t>
      </w:r>
    </w:p>
    <w:p>
      <w:pPr>
        <w:spacing w:after="0" w:line="200" w:lineRule="exact"/>
        <w:rPr>
          <w:sz w:val="20"/>
          <w:szCs w:val="20"/>
          <w:color w:val="auto"/>
        </w:rPr>
      </w:pPr>
    </w:p>
    <w:p>
      <w:pPr>
        <w:ind w:right="2639"/>
        <w:spacing w:after="0" w:line="239" w:lineRule="auto"/>
        <w:rPr>
          <w:sz w:val="20"/>
          <w:szCs w:val="20"/>
          <w:color w:val="auto"/>
        </w:rPr>
      </w:pPr>
      <w:r>
        <w:rPr>
          <w:rFonts w:ascii="Courier New" w:cs="Courier New" w:eastAsia="Courier New" w:hAnsi="Courier New"/>
          <w:sz w:val="17"/>
          <w:szCs w:val="17"/>
          <w:color w:val="auto"/>
        </w:rPr>
        <w:t>We undertake no obligation to revise or update publicly any forward-looking statements for any reason.</w:t>
      </w:r>
    </w:p>
    <w:p>
      <w:pPr>
        <w:sectPr>
          <w:pgSz w:w="11900" w:h="16838" w:orient="portrait"/>
          <w:cols w:equalWidth="0" w:num="1">
            <w:col w:w="10219"/>
          </w:cols>
          <w:pgMar w:left="240" w:top="308" w:right="1440" w:bottom="1440" w:gutter="0" w:footer="0" w:header="0"/>
        </w:sectPr>
      </w:pPr>
    </w:p>
    <w:bookmarkStart w:id="4" w:name="page5"/>
    <w:bookmarkEnd w:id="4"/>
    <w:p>
      <w:pPr>
        <w:ind w:left="300"/>
        <w:spacing w:after="0"/>
        <w:rPr>
          <w:sz w:val="20"/>
          <w:szCs w:val="20"/>
          <w:color w:val="auto"/>
        </w:rPr>
      </w:pPr>
      <w:r>
        <w:rPr>
          <w:rFonts w:ascii="Courier New" w:cs="Courier New" w:eastAsia="Courier New" w:hAnsi="Courier New"/>
          <w:sz w:val="17"/>
          <w:szCs w:val="17"/>
          <w:color w:val="auto"/>
        </w:rPr>
        <w:t>3</w:t>
      </w:r>
    </w:p>
    <w:p>
      <w:pPr>
        <w:spacing w:after="0" w:line="2" w:lineRule="exact"/>
        <w:rPr>
          <w:sz w:val="20"/>
          <w:szCs w:val="20"/>
          <w:color w:val="auto"/>
        </w:rPr>
      </w:pPr>
    </w:p>
    <w:p>
      <w:pPr>
        <w:jc w:val="center"/>
        <w:ind w:right="3320"/>
        <w:spacing w:after="0"/>
        <w:rPr>
          <w:sz w:val="20"/>
          <w:szCs w:val="20"/>
          <w:color w:val="auto"/>
        </w:rPr>
      </w:pPr>
      <w:r>
        <w:rPr>
          <w:rFonts w:ascii="Courier New" w:cs="Courier New" w:eastAsia="Courier New" w:hAnsi="Courier New"/>
          <w:sz w:val="17"/>
          <w:szCs w:val="17"/>
          <w:color w:val="auto"/>
        </w:rPr>
        <w:t>MARVELL TECHNOLOGY GROUP LTD.</w:t>
      </w:r>
    </w:p>
    <w:p>
      <w:pPr>
        <w:spacing w:after="0" w:line="2" w:lineRule="exact"/>
        <w:rPr>
          <w:sz w:val="20"/>
          <w:szCs w:val="20"/>
          <w:color w:val="auto"/>
        </w:rPr>
      </w:pPr>
    </w:p>
    <w:p>
      <w:pPr>
        <w:jc w:val="center"/>
        <w:ind w:right="3320"/>
        <w:spacing w:after="0"/>
        <w:rPr>
          <w:sz w:val="20"/>
          <w:szCs w:val="20"/>
          <w:color w:val="auto"/>
        </w:rPr>
      </w:pPr>
      <w:r>
        <w:rPr>
          <w:rFonts w:ascii="Courier New" w:cs="Courier New" w:eastAsia="Courier New" w:hAnsi="Courier New"/>
          <w:sz w:val="17"/>
          <w:szCs w:val="17"/>
          <w:color w:val="auto"/>
        </w:rPr>
        <w:t>PRO FORMA CONSOLIDATED STATEMENTS OF OPERATIONS</w:t>
      </w:r>
    </w:p>
    <w:p>
      <w:pPr>
        <w:spacing w:after="0" w:line="2" w:lineRule="exact"/>
        <w:rPr>
          <w:sz w:val="20"/>
          <w:szCs w:val="20"/>
          <w:color w:val="auto"/>
        </w:rPr>
      </w:pPr>
    </w:p>
    <w:p>
      <w:pPr>
        <w:jc w:val="center"/>
        <w:ind w:right="3320"/>
        <w:spacing w:after="0"/>
        <w:rPr>
          <w:sz w:val="20"/>
          <w:szCs w:val="20"/>
          <w:color w:val="auto"/>
        </w:rPr>
      </w:pPr>
      <w:r>
        <w:rPr>
          <w:rFonts w:ascii="Courier New" w:cs="Courier New" w:eastAsia="Courier New" w:hAnsi="Courier New"/>
          <w:sz w:val="17"/>
          <w:szCs w:val="17"/>
          <w:color w:val="auto"/>
        </w:rPr>
        <w:t>(UNAUDITED)</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6980" w:type="dxa"/>
            <w:vAlign w:val="bottom"/>
            <w:gridSpan w:val="3"/>
          </w:tcPr>
          <w:p>
            <w:pPr>
              <w:jc w:val="right"/>
              <w:ind w:right="816"/>
              <w:spacing w:after="0"/>
              <w:rPr>
                <w:sz w:val="20"/>
                <w:szCs w:val="20"/>
                <w:color w:val="auto"/>
              </w:rPr>
            </w:pPr>
            <w:r>
              <w:rPr>
                <w:rFonts w:ascii="Courier New" w:cs="Courier New" w:eastAsia="Courier New" w:hAnsi="Courier New"/>
                <w:sz w:val="17"/>
                <w:szCs w:val="17"/>
                <w:color w:val="auto"/>
              </w:rPr>
              <w:t>(IN THOUSANDS, EXCEPT PER SHARE AMOUNTS)</w:t>
            </w:r>
          </w:p>
        </w:tc>
        <w:tc>
          <w:tcPr>
            <w:tcW w:w="4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40" w:type="dxa"/>
            <w:vAlign w:val="bottom"/>
          </w:tcPr>
          <w:p>
            <w:pPr>
              <w:spacing w:after="0"/>
              <w:rPr>
                <w:sz w:val="16"/>
                <w:szCs w:val="16"/>
                <w:color w:val="auto"/>
              </w:rPr>
            </w:pPr>
          </w:p>
        </w:tc>
      </w:tr>
      <w:tr>
        <w:trPr>
          <w:trHeight w:val="778"/>
        </w:trPr>
        <w:tc>
          <w:tcPr>
            <w:tcW w:w="5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40" w:type="dxa"/>
            <w:vAlign w:val="bottom"/>
            <w:gridSpan w:val="3"/>
          </w:tcPr>
          <w:p>
            <w:pPr>
              <w:jc w:val="right"/>
              <w:ind w:right="736"/>
              <w:spacing w:after="0"/>
              <w:rPr>
                <w:sz w:val="20"/>
                <w:szCs w:val="20"/>
                <w:color w:val="auto"/>
              </w:rPr>
            </w:pPr>
            <w:r>
              <w:rPr>
                <w:rFonts w:ascii="Courier New" w:cs="Courier New" w:eastAsia="Courier New" w:hAnsi="Courier New"/>
                <w:sz w:val="17"/>
                <w:szCs w:val="17"/>
                <w:color w:val="auto"/>
              </w:rPr>
              <w:t>THREE MONTHS ENDED</w:t>
            </w:r>
          </w:p>
        </w:tc>
        <w:tc>
          <w:tcPr>
            <w:tcW w:w="400" w:type="dxa"/>
            <w:vAlign w:val="bottom"/>
          </w:tcPr>
          <w:p>
            <w:pPr>
              <w:spacing w:after="0"/>
              <w:rPr>
                <w:sz w:val="24"/>
                <w:szCs w:val="24"/>
                <w:color w:val="auto"/>
              </w:rPr>
            </w:pPr>
          </w:p>
        </w:tc>
        <w:tc>
          <w:tcPr>
            <w:tcW w:w="2520" w:type="dxa"/>
            <w:vAlign w:val="bottom"/>
            <w:gridSpan w:val="3"/>
          </w:tcPr>
          <w:p>
            <w:pPr>
              <w:jc w:val="right"/>
              <w:ind w:right="516"/>
              <w:spacing w:after="0"/>
              <w:rPr>
                <w:sz w:val="20"/>
                <w:szCs w:val="20"/>
                <w:color w:val="auto"/>
              </w:rPr>
            </w:pPr>
            <w:r>
              <w:rPr>
                <w:rFonts w:ascii="Courier New" w:cs="Courier New" w:eastAsia="Courier New" w:hAnsi="Courier New"/>
                <w:sz w:val="17"/>
                <w:szCs w:val="17"/>
                <w:color w:val="auto"/>
              </w:rPr>
              <w:t>SIX MONTHS ENDED</w:t>
            </w:r>
          </w:p>
        </w:tc>
      </w:tr>
      <w:tr>
        <w:trPr>
          <w:trHeight w:val="194"/>
        </w:trPr>
        <w:tc>
          <w:tcPr>
            <w:tcW w:w="5360" w:type="dxa"/>
            <w:vAlign w:val="bottom"/>
          </w:tcPr>
          <w:p>
            <w:pPr>
              <w:spacing w:after="0"/>
              <w:rPr>
                <w:sz w:val="16"/>
                <w:szCs w:val="16"/>
                <w:color w:val="auto"/>
              </w:rPr>
            </w:pPr>
          </w:p>
        </w:tc>
        <w:tc>
          <w:tcPr>
            <w:tcW w:w="1620" w:type="dxa"/>
            <w:vAlign w:val="bottom"/>
            <w:gridSpan w:val="2"/>
          </w:tcPr>
          <w:p>
            <w:pPr>
              <w:ind w:left="300"/>
              <w:spacing w:after="0"/>
              <w:rPr>
                <w:sz w:val="20"/>
                <w:szCs w:val="20"/>
                <w:color w:val="auto"/>
              </w:rPr>
            </w:pPr>
            <w:r>
              <w:rPr>
                <w:rFonts w:ascii="Courier New" w:cs="Courier New" w:eastAsia="Courier New" w:hAnsi="Courier New"/>
                <w:sz w:val="12"/>
                <w:szCs w:val="12"/>
                <w:color w:val="auto"/>
                <w:w w:val="72"/>
              </w:rPr>
              <w:t>-------------------------</w:t>
            </w:r>
          </w:p>
        </w:tc>
        <w:tc>
          <w:tcPr>
            <w:tcW w:w="4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2920" w:type="dxa"/>
            <w:vAlign w:val="bottom"/>
            <w:gridSpan w:val="4"/>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416"/>
              <w:spacing w:after="0"/>
              <w:rPr>
                <w:sz w:val="20"/>
                <w:szCs w:val="20"/>
                <w:color w:val="auto"/>
              </w:rPr>
            </w:pPr>
            <w:r>
              <w:rPr>
                <w:rFonts w:ascii="Courier New" w:cs="Courier New" w:eastAsia="Courier New" w:hAnsi="Courier New"/>
                <w:sz w:val="17"/>
                <w:szCs w:val="17"/>
                <w:color w:val="auto"/>
              </w:rPr>
              <w:t>JULY 28,</w:t>
            </w:r>
          </w:p>
        </w:tc>
        <w:tc>
          <w:tcPr>
            <w:tcW w:w="1620" w:type="dxa"/>
            <w:vAlign w:val="bottom"/>
            <w:gridSpan w:val="2"/>
          </w:tcPr>
          <w:p>
            <w:pPr>
              <w:ind w:left="300"/>
              <w:spacing w:after="0"/>
              <w:rPr>
                <w:sz w:val="20"/>
                <w:szCs w:val="20"/>
                <w:color w:val="auto"/>
              </w:rPr>
            </w:pPr>
            <w:r>
              <w:rPr>
                <w:rFonts w:ascii="Courier New" w:cs="Courier New" w:eastAsia="Courier New" w:hAnsi="Courier New"/>
                <w:sz w:val="17"/>
                <w:szCs w:val="17"/>
                <w:color w:val="auto"/>
              </w:rPr>
              <w:t>JULY 29,</w:t>
            </w:r>
          </w:p>
        </w:tc>
        <w:tc>
          <w:tcPr>
            <w:tcW w:w="1620" w:type="dxa"/>
            <w:vAlign w:val="bottom"/>
            <w:gridSpan w:val="2"/>
          </w:tcPr>
          <w:p>
            <w:pPr>
              <w:ind w:left="300"/>
              <w:spacing w:after="0"/>
              <w:rPr>
                <w:sz w:val="20"/>
                <w:szCs w:val="20"/>
                <w:color w:val="auto"/>
              </w:rPr>
            </w:pPr>
            <w:r>
              <w:rPr>
                <w:rFonts w:ascii="Courier New" w:cs="Courier New" w:eastAsia="Courier New" w:hAnsi="Courier New"/>
                <w:sz w:val="17"/>
                <w:szCs w:val="17"/>
                <w:color w:val="auto"/>
              </w:rPr>
              <w:t>JULY 28,</w:t>
            </w:r>
          </w:p>
        </w:tc>
        <w:tc>
          <w:tcPr>
            <w:tcW w:w="1300" w:type="dxa"/>
            <w:vAlign w:val="bottom"/>
            <w:gridSpan w:val="2"/>
          </w:tcPr>
          <w:p>
            <w:pPr>
              <w:ind w:left="300"/>
              <w:spacing w:after="0"/>
              <w:rPr>
                <w:sz w:val="20"/>
                <w:szCs w:val="20"/>
                <w:color w:val="auto"/>
              </w:rPr>
            </w:pPr>
            <w:r>
              <w:rPr>
                <w:rFonts w:ascii="Courier New" w:cs="Courier New" w:eastAsia="Courier New" w:hAnsi="Courier New"/>
                <w:sz w:val="17"/>
                <w:szCs w:val="17"/>
                <w:color w:val="auto"/>
              </w:rPr>
              <w:t>JULY 29,</w:t>
            </w:r>
          </w:p>
        </w:tc>
      </w:tr>
      <w:tr>
        <w:trPr>
          <w:trHeight w:val="194"/>
        </w:trPr>
        <w:tc>
          <w:tcPr>
            <w:tcW w:w="53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jc w:val="right"/>
              <w:ind w:right="616"/>
              <w:spacing w:after="0"/>
              <w:rPr>
                <w:sz w:val="20"/>
                <w:szCs w:val="20"/>
                <w:color w:val="auto"/>
              </w:rPr>
            </w:pPr>
            <w:r>
              <w:rPr>
                <w:rFonts w:ascii="Courier New" w:cs="Courier New" w:eastAsia="Courier New" w:hAnsi="Courier New"/>
                <w:sz w:val="17"/>
                <w:szCs w:val="17"/>
                <w:color w:val="auto"/>
              </w:rPr>
              <w:t>2001</w:t>
            </w:r>
          </w:p>
        </w:tc>
        <w:tc>
          <w:tcPr>
            <w:tcW w:w="460" w:type="dxa"/>
            <w:vAlign w:val="bottom"/>
          </w:tcPr>
          <w:p>
            <w:pPr>
              <w:spacing w:after="0"/>
              <w:rPr>
                <w:sz w:val="16"/>
                <w:szCs w:val="16"/>
                <w:color w:val="auto"/>
              </w:rPr>
            </w:pPr>
          </w:p>
        </w:tc>
        <w:tc>
          <w:tcPr>
            <w:tcW w:w="1160" w:type="dxa"/>
            <w:vAlign w:val="bottom"/>
          </w:tcPr>
          <w:p>
            <w:pPr>
              <w:jc w:val="right"/>
              <w:ind w:right="616"/>
              <w:spacing w:after="0"/>
              <w:rPr>
                <w:sz w:val="20"/>
                <w:szCs w:val="20"/>
                <w:color w:val="auto"/>
              </w:rPr>
            </w:pPr>
            <w:r>
              <w:rPr>
                <w:rFonts w:ascii="Courier New" w:cs="Courier New" w:eastAsia="Courier New" w:hAnsi="Courier New"/>
                <w:sz w:val="17"/>
                <w:szCs w:val="17"/>
                <w:color w:val="auto"/>
              </w:rPr>
              <w:t>2000</w:t>
            </w:r>
          </w:p>
        </w:tc>
        <w:tc>
          <w:tcPr>
            <w:tcW w:w="400" w:type="dxa"/>
            <w:vAlign w:val="bottom"/>
          </w:tcPr>
          <w:p>
            <w:pPr>
              <w:spacing w:after="0"/>
              <w:rPr>
                <w:sz w:val="16"/>
                <w:szCs w:val="16"/>
                <w:color w:val="auto"/>
              </w:rPr>
            </w:pPr>
          </w:p>
        </w:tc>
        <w:tc>
          <w:tcPr>
            <w:tcW w:w="1220" w:type="dxa"/>
            <w:vAlign w:val="bottom"/>
          </w:tcPr>
          <w:p>
            <w:pPr>
              <w:jc w:val="right"/>
              <w:ind w:right="636"/>
              <w:spacing w:after="0"/>
              <w:rPr>
                <w:sz w:val="20"/>
                <w:szCs w:val="20"/>
                <w:color w:val="auto"/>
              </w:rPr>
            </w:pPr>
            <w:r>
              <w:rPr>
                <w:rFonts w:ascii="Courier New" w:cs="Courier New" w:eastAsia="Courier New" w:hAnsi="Courier New"/>
                <w:sz w:val="17"/>
                <w:szCs w:val="17"/>
                <w:color w:val="auto"/>
              </w:rPr>
              <w:t>2001</w:t>
            </w:r>
          </w:p>
        </w:tc>
        <w:tc>
          <w:tcPr>
            <w:tcW w:w="460" w:type="dxa"/>
            <w:vAlign w:val="bottom"/>
          </w:tcPr>
          <w:p>
            <w:pPr>
              <w:spacing w:after="0"/>
              <w:rPr>
                <w:sz w:val="16"/>
                <w:szCs w:val="16"/>
                <w:color w:val="auto"/>
              </w:rPr>
            </w:pPr>
          </w:p>
        </w:tc>
        <w:tc>
          <w:tcPr>
            <w:tcW w:w="8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2000</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9"/>
        </w:trPr>
        <w:tc>
          <w:tcPr>
            <w:tcW w:w="5360" w:type="dxa"/>
            <w:vAlign w:val="bottom"/>
          </w:tcPr>
          <w:p>
            <w:pPr>
              <w:spacing w:after="0"/>
              <w:rPr>
                <w:sz w:val="20"/>
                <w:szCs w:val="20"/>
                <w:color w:val="auto"/>
              </w:rPr>
            </w:pPr>
            <w:r>
              <w:rPr>
                <w:rFonts w:ascii="Courier New" w:cs="Courier New" w:eastAsia="Courier New" w:hAnsi="Courier New"/>
                <w:sz w:val="17"/>
                <w:szCs w:val="17"/>
                <w:color w:val="auto"/>
              </w:rPr>
              <w:t>Net revenue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68,649</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32,175</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$ 132,879</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61,839</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Cost of goods sold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31,419</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15,080</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60,784</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28,260</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Gross profit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37,230</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17,095</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72,095</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33,579</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40" w:type="dxa"/>
            <w:vAlign w:val="bottom"/>
          </w:tcPr>
          <w:p>
            <w:pPr>
              <w:spacing w:after="0"/>
              <w:rPr>
                <w:sz w:val="16"/>
                <w:szCs w:val="16"/>
                <w:color w:val="auto"/>
              </w:rPr>
            </w:pPr>
          </w:p>
        </w:tc>
      </w:tr>
      <w:tr>
        <w:trPr>
          <w:trHeight w:val="194"/>
        </w:trPr>
        <w:tc>
          <w:tcPr>
            <w:tcW w:w="53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Research and development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21,843</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7,812</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41,909</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13,930</w:t>
            </w:r>
          </w:p>
        </w:tc>
      </w:tr>
      <w:tr>
        <w:trPr>
          <w:trHeight w:val="194"/>
        </w:trPr>
        <w:tc>
          <w:tcPr>
            <w:tcW w:w="53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Selling and marketing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10,103</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5,595</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19,648</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9,679</w:t>
            </w:r>
          </w:p>
        </w:tc>
      </w:tr>
      <w:tr>
        <w:trPr>
          <w:trHeight w:val="194"/>
        </w:trPr>
        <w:tc>
          <w:tcPr>
            <w:tcW w:w="53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General and administrative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3,734</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1,427</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6,719</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2,931</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operating expenses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35,680</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14,834</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68,276</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26,540</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Operating income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1,550</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2,261</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3,819</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7,039</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2,459</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794</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5,426</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1,034</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Income before income taxes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4,009</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3,055</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9,245</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8,073</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Provision for income taxes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603</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764</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1,388</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2,018</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Pro forma net income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3,406</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2,291</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7,857</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6,055</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9"/>
        </w:trPr>
        <w:tc>
          <w:tcPr>
            <w:tcW w:w="5360" w:type="dxa"/>
            <w:vAlign w:val="bottom"/>
          </w:tcPr>
          <w:p>
            <w:pPr>
              <w:spacing w:after="0"/>
              <w:rPr>
                <w:sz w:val="20"/>
                <w:szCs w:val="20"/>
                <w:color w:val="auto"/>
              </w:rPr>
            </w:pPr>
            <w:r>
              <w:rPr>
                <w:rFonts w:ascii="Courier New" w:cs="Courier New" w:eastAsia="Courier New" w:hAnsi="Courier New"/>
                <w:sz w:val="17"/>
                <w:szCs w:val="17"/>
                <w:color w:val="auto"/>
              </w:rPr>
              <w:t>Basic pro forma net income per share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0.03</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0.04</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0.07</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0.12</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Diluted pro forma net income per share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0.03</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0.03</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0.06</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0.07</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9"/>
        </w:trPr>
        <w:tc>
          <w:tcPr>
            <w:tcW w:w="5360" w:type="dxa"/>
            <w:vAlign w:val="bottom"/>
          </w:tcPr>
          <w:p>
            <w:pPr>
              <w:spacing w:after="0"/>
              <w:rPr>
                <w:sz w:val="20"/>
                <w:szCs w:val="20"/>
                <w:color w:val="auto"/>
              </w:rPr>
            </w:pPr>
            <w:r>
              <w:rPr>
                <w:rFonts w:ascii="Courier New" w:cs="Courier New" w:eastAsia="Courier New" w:hAnsi="Courier New"/>
                <w:sz w:val="17"/>
                <w:szCs w:val="17"/>
                <w:color w:val="auto"/>
              </w:rPr>
              <w:t>Weighted average shares -- basic .................</w:t>
            </w:r>
          </w:p>
        </w:tc>
        <w:tc>
          <w:tcPr>
            <w:tcW w:w="400" w:type="dxa"/>
            <w:vAlign w:val="bottom"/>
          </w:tcPr>
          <w:p>
            <w:pPr>
              <w:spacing w:after="0"/>
              <w:rPr>
                <w:sz w:val="24"/>
                <w:szCs w:val="24"/>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113,714</w:t>
            </w:r>
          </w:p>
        </w:tc>
        <w:tc>
          <w:tcPr>
            <w:tcW w:w="460" w:type="dxa"/>
            <w:vAlign w:val="bottom"/>
          </w:tcPr>
          <w:p>
            <w:pPr>
              <w:spacing w:after="0"/>
              <w:rPr>
                <w:sz w:val="24"/>
                <w:szCs w:val="24"/>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54,910</w:t>
            </w:r>
          </w:p>
        </w:tc>
        <w:tc>
          <w:tcPr>
            <w:tcW w:w="400" w:type="dxa"/>
            <w:vAlign w:val="bottom"/>
          </w:tcPr>
          <w:p>
            <w:pPr>
              <w:spacing w:after="0"/>
              <w:rPr>
                <w:sz w:val="24"/>
                <w:szCs w:val="24"/>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113,115</w:t>
            </w:r>
          </w:p>
        </w:tc>
        <w:tc>
          <w:tcPr>
            <w:tcW w:w="460" w:type="dxa"/>
            <w:vAlign w:val="bottom"/>
          </w:tcPr>
          <w:p>
            <w:pPr>
              <w:spacing w:after="0"/>
              <w:rPr>
                <w:sz w:val="24"/>
                <w:szCs w:val="24"/>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50,702</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Weighted average shares -- diluted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127,444</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90,056</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126,300</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87,426</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9"/>
        </w:trPr>
        <w:tc>
          <w:tcPr>
            <w:tcW w:w="5360" w:type="dxa"/>
            <w:vAlign w:val="bottom"/>
          </w:tcPr>
          <w:p>
            <w:pPr>
              <w:spacing w:after="0"/>
              <w:rPr>
                <w:sz w:val="20"/>
                <w:szCs w:val="20"/>
                <w:color w:val="auto"/>
              </w:rPr>
            </w:pPr>
            <w:r>
              <w:rPr>
                <w:rFonts w:ascii="Courier New" w:cs="Courier New" w:eastAsia="Courier New" w:hAnsi="Courier New"/>
                <w:sz w:val="17"/>
                <w:szCs w:val="17"/>
                <w:color w:val="auto"/>
              </w:rPr>
              <w:t>RECONCILIATION TO GAAP NET INCOME (LOSS):</w:t>
            </w:r>
          </w:p>
        </w:tc>
        <w:tc>
          <w:tcPr>
            <w:tcW w:w="4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389"/>
        </w:trPr>
        <w:tc>
          <w:tcPr>
            <w:tcW w:w="5360" w:type="dxa"/>
            <w:vAlign w:val="bottom"/>
          </w:tcPr>
          <w:p>
            <w:pPr>
              <w:spacing w:after="0"/>
              <w:rPr>
                <w:sz w:val="20"/>
                <w:szCs w:val="20"/>
                <w:color w:val="auto"/>
              </w:rPr>
            </w:pPr>
            <w:r>
              <w:rPr>
                <w:rFonts w:ascii="Courier New" w:cs="Courier New" w:eastAsia="Courier New" w:hAnsi="Courier New"/>
                <w:sz w:val="17"/>
                <w:szCs w:val="17"/>
                <w:color w:val="auto"/>
              </w:rPr>
              <w:t>Pro forma net income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3,406</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2,291</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7,857</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6,055</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Amortization of stock-based compensation .........</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(4,095)</w:t>
            </w:r>
          </w:p>
        </w:tc>
        <w:tc>
          <w:tcPr>
            <w:tcW w:w="460" w:type="dxa"/>
            <w:vAlign w:val="bottom"/>
          </w:tcPr>
          <w:p>
            <w:pPr>
              <w:spacing w:after="0"/>
              <w:rPr>
                <w:sz w:val="16"/>
                <w:szCs w:val="16"/>
                <w:color w:val="auto"/>
              </w:rPr>
            </w:pPr>
          </w:p>
        </w:tc>
        <w:tc>
          <w:tcPr>
            <w:tcW w:w="11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(2,223)</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(8,208)</w:t>
            </w:r>
          </w:p>
        </w:tc>
        <w:tc>
          <w:tcPr>
            <w:tcW w:w="460" w:type="dxa"/>
            <w:vAlign w:val="bottom"/>
          </w:tcPr>
          <w:p>
            <w:pPr>
              <w:spacing w:after="0"/>
              <w:rPr>
                <w:sz w:val="16"/>
                <w:szCs w:val="16"/>
                <w:color w:val="auto"/>
              </w:rPr>
            </w:pPr>
          </w:p>
        </w:tc>
        <w:tc>
          <w:tcPr>
            <w:tcW w:w="840" w:type="dxa"/>
            <w:vAlign w:val="bottom"/>
          </w:tcPr>
          <w:p>
            <w:pPr>
              <w:jc w:val="right"/>
              <w:spacing w:after="0"/>
              <w:rPr>
                <w:sz w:val="20"/>
                <w:szCs w:val="20"/>
                <w:color w:val="auto"/>
              </w:rPr>
            </w:pPr>
            <w:r>
              <w:rPr>
                <w:rFonts w:ascii="Courier New" w:cs="Courier New" w:eastAsia="Courier New" w:hAnsi="Courier New"/>
                <w:sz w:val="17"/>
                <w:szCs w:val="17"/>
                <w:color w:val="auto"/>
              </w:rPr>
              <w:t>(4,484)</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Amortization of goodwill and acquired</w:t>
            </w: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40" w:type="dxa"/>
            <w:vAlign w:val="bottom"/>
          </w:tcPr>
          <w:p>
            <w:pPr>
              <w:spacing w:after="0"/>
              <w:rPr>
                <w:sz w:val="16"/>
                <w:szCs w:val="16"/>
                <w:color w:val="auto"/>
              </w:rPr>
            </w:pPr>
          </w:p>
        </w:tc>
      </w:tr>
      <w:tr>
        <w:trPr>
          <w:trHeight w:val="194"/>
        </w:trPr>
        <w:tc>
          <w:tcPr>
            <w:tcW w:w="53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intangible assets ...........................</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7"/>
              </w:rPr>
              <w:t>(104,508)</w:t>
            </w:r>
          </w:p>
        </w:tc>
        <w:tc>
          <w:tcPr>
            <w:tcW w:w="460" w:type="dxa"/>
            <w:vAlign w:val="bottom"/>
          </w:tcPr>
          <w:p>
            <w:pPr>
              <w:spacing w:after="0"/>
              <w:rPr>
                <w:sz w:val="16"/>
                <w:szCs w:val="16"/>
                <w:color w:val="auto"/>
              </w:rPr>
            </w:pPr>
          </w:p>
        </w:tc>
        <w:tc>
          <w:tcPr>
            <w:tcW w:w="116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7"/>
              </w:rPr>
              <w:t>(209,016)</w:t>
            </w:r>
          </w:p>
        </w:tc>
        <w:tc>
          <w:tcPr>
            <w:tcW w:w="460" w:type="dxa"/>
            <w:vAlign w:val="bottom"/>
          </w:tcPr>
          <w:p>
            <w:pPr>
              <w:spacing w:after="0"/>
              <w:rPr>
                <w:sz w:val="16"/>
                <w:szCs w:val="16"/>
                <w:color w:val="auto"/>
              </w:rPr>
            </w:pPr>
          </w:p>
        </w:tc>
        <w:tc>
          <w:tcPr>
            <w:tcW w:w="84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Amortization of inventory fair value adjustment ..</w:t>
            </w:r>
          </w:p>
        </w:tc>
        <w:tc>
          <w:tcPr>
            <w:tcW w:w="400" w:type="dxa"/>
            <w:vAlign w:val="bottom"/>
          </w:tcPr>
          <w:p>
            <w:pPr>
              <w:spacing w:after="0"/>
              <w:rPr>
                <w:sz w:val="16"/>
                <w:szCs w:val="16"/>
                <w:color w:val="auto"/>
              </w:rPr>
            </w:pPr>
          </w:p>
        </w:tc>
        <w:tc>
          <w:tcPr>
            <w:tcW w:w="122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w:t>
            </w:r>
          </w:p>
        </w:tc>
        <w:tc>
          <w:tcPr>
            <w:tcW w:w="460" w:type="dxa"/>
            <w:vAlign w:val="bottom"/>
          </w:tcPr>
          <w:p>
            <w:pPr>
              <w:spacing w:after="0"/>
              <w:rPr>
                <w:sz w:val="16"/>
                <w:szCs w:val="16"/>
                <w:color w:val="auto"/>
              </w:rPr>
            </w:pPr>
          </w:p>
        </w:tc>
        <w:tc>
          <w:tcPr>
            <w:tcW w:w="116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(796)</w:t>
            </w:r>
          </w:p>
        </w:tc>
        <w:tc>
          <w:tcPr>
            <w:tcW w:w="460" w:type="dxa"/>
            <w:vAlign w:val="bottom"/>
          </w:tcPr>
          <w:p>
            <w:pPr>
              <w:spacing w:after="0"/>
              <w:rPr>
                <w:sz w:val="16"/>
                <w:szCs w:val="16"/>
                <w:color w:val="auto"/>
              </w:rPr>
            </w:pPr>
          </w:p>
        </w:tc>
        <w:tc>
          <w:tcPr>
            <w:tcW w:w="84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Income tax effect ................................</w:t>
            </w:r>
          </w:p>
        </w:tc>
        <w:tc>
          <w:tcPr>
            <w:tcW w:w="400" w:type="dxa"/>
            <w:vAlign w:val="bottom"/>
          </w:tcPr>
          <w:p>
            <w:pPr>
              <w:spacing w:after="0"/>
              <w:rPr>
                <w:sz w:val="16"/>
                <w:szCs w:val="16"/>
                <w:color w:val="auto"/>
              </w:rPr>
            </w:pPr>
          </w:p>
        </w:tc>
        <w:tc>
          <w:tcPr>
            <w:tcW w:w="122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w:t>
            </w:r>
          </w:p>
        </w:tc>
        <w:tc>
          <w:tcPr>
            <w:tcW w:w="46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556</w:t>
            </w:r>
          </w:p>
        </w:tc>
        <w:tc>
          <w:tcPr>
            <w:tcW w:w="400" w:type="dxa"/>
            <w:vAlign w:val="bottom"/>
          </w:tcPr>
          <w:p>
            <w:pPr>
              <w:spacing w:after="0"/>
              <w:rPr>
                <w:sz w:val="16"/>
                <w:szCs w:val="16"/>
                <w:color w:val="auto"/>
              </w:rPr>
            </w:pPr>
          </w:p>
        </w:tc>
        <w:tc>
          <w:tcPr>
            <w:tcW w:w="1220" w:type="dxa"/>
            <w:vAlign w:val="bottom"/>
          </w:tcPr>
          <w:p>
            <w:pPr>
              <w:jc w:val="right"/>
              <w:ind w:right="536"/>
              <w:spacing w:after="0"/>
              <w:rPr>
                <w:sz w:val="20"/>
                <w:szCs w:val="20"/>
                <w:color w:val="auto"/>
              </w:rPr>
            </w:pPr>
            <w:r>
              <w:rPr>
                <w:rFonts w:ascii="Courier New" w:cs="Courier New" w:eastAsia="Courier New" w:hAnsi="Courier New"/>
                <w:sz w:val="17"/>
                <w:szCs w:val="17"/>
                <w:color w:val="auto"/>
              </w:rPr>
              <w:t>--</w:t>
            </w:r>
          </w:p>
        </w:tc>
        <w:tc>
          <w:tcPr>
            <w:tcW w:w="460" w:type="dxa"/>
            <w:vAlign w:val="bottom"/>
          </w:tcPr>
          <w:p>
            <w:pPr>
              <w:spacing w:after="0"/>
              <w:rPr>
                <w:sz w:val="16"/>
                <w:szCs w:val="16"/>
                <w:color w:val="auto"/>
              </w:rPr>
            </w:pP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1,121</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360" w:type="dxa"/>
            <w:vAlign w:val="bottom"/>
          </w:tcPr>
          <w:p>
            <w:pPr>
              <w:spacing w:after="0"/>
              <w:rPr>
                <w:sz w:val="20"/>
                <w:szCs w:val="20"/>
                <w:color w:val="auto"/>
              </w:rPr>
            </w:pPr>
            <w:r>
              <w:rPr>
                <w:rFonts w:ascii="Courier New" w:cs="Courier New" w:eastAsia="Courier New" w:hAnsi="Courier New"/>
                <w:sz w:val="17"/>
                <w:szCs w:val="17"/>
                <w:color w:val="auto"/>
              </w:rPr>
              <w:t>GAAP net income (loss) ...........................</w:t>
            </w:r>
          </w:p>
        </w:tc>
        <w:tc>
          <w:tcPr>
            <w:tcW w:w="16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$(105,197)</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624</w:t>
            </w:r>
          </w:p>
        </w:tc>
        <w:tc>
          <w:tcPr>
            <w:tcW w:w="16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$(210,163)</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8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2,692</w:t>
            </w:r>
          </w:p>
        </w:tc>
      </w:tr>
      <w:tr>
        <w:trPr>
          <w:trHeight w:val="194"/>
        </w:trPr>
        <w:tc>
          <w:tcPr>
            <w:tcW w:w="53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bl>
    <w:p>
      <w:pPr>
        <w:spacing w:after="0" w:line="200" w:lineRule="exact"/>
        <w:rPr>
          <w:sz w:val="20"/>
          <w:szCs w:val="20"/>
          <w:color w:val="auto"/>
        </w:rPr>
      </w:pPr>
    </w:p>
    <w:p>
      <w:pPr>
        <w:spacing w:after="0" w:line="387" w:lineRule="exact"/>
        <w:rPr>
          <w:sz w:val="20"/>
          <w:szCs w:val="20"/>
          <w:color w:val="auto"/>
        </w:rPr>
      </w:pPr>
    </w:p>
    <w:p>
      <w:pPr>
        <w:ind w:right="3520"/>
        <w:spacing w:after="0" w:line="241" w:lineRule="auto"/>
        <w:rPr>
          <w:sz w:val="20"/>
          <w:szCs w:val="20"/>
          <w:color w:val="auto"/>
        </w:rPr>
      </w:pPr>
      <w:r>
        <w:rPr>
          <w:rFonts w:ascii="Courier New" w:cs="Courier New" w:eastAsia="Courier New" w:hAnsi="Courier New"/>
          <w:sz w:val="17"/>
          <w:szCs w:val="17"/>
          <w:color w:val="auto"/>
        </w:rPr>
        <w:t>The above pro forma statement of operations is for informational purposes only. It is not prepared in accordance with GAAP and should not be considered a substitute for our historical financial information prepared in accordance with GAAP.</w:t>
      </w:r>
    </w:p>
    <w:p>
      <w:pPr>
        <w:sectPr>
          <w:pgSz w:w="11900" w:h="16838" w:orient="portrait"/>
          <w:cols w:equalWidth="0" w:num="1">
            <w:col w:w="11520"/>
          </w:cols>
          <w:pgMar w:left="240" w:top="308" w:right="139" w:bottom="1440" w:gutter="0" w:footer="0" w:header="0"/>
        </w:sectPr>
      </w:pPr>
    </w:p>
    <w:bookmarkStart w:id="5" w:name="page6"/>
    <w:bookmarkEnd w:id="5"/>
    <w:p>
      <w:pPr>
        <w:ind w:left="300"/>
        <w:spacing w:after="0"/>
        <w:rPr>
          <w:sz w:val="20"/>
          <w:szCs w:val="20"/>
          <w:color w:val="auto"/>
        </w:rPr>
      </w:pPr>
      <w:r>
        <w:rPr>
          <w:rFonts w:ascii="Courier New" w:cs="Courier New" w:eastAsia="Courier New" w:hAnsi="Courier New"/>
          <w:sz w:val="17"/>
          <w:szCs w:val="17"/>
          <w:color w:val="auto"/>
        </w:rPr>
        <w:t>4</w:t>
      </w:r>
    </w:p>
    <w:p>
      <w:pPr>
        <w:spacing w:after="0" w:line="2" w:lineRule="exact"/>
        <w:rPr>
          <w:sz w:val="20"/>
          <w:szCs w:val="20"/>
          <w:color w:val="auto"/>
        </w:rPr>
      </w:pPr>
    </w:p>
    <w:p>
      <w:pPr>
        <w:jc w:val="center"/>
        <w:ind w:right="3320"/>
        <w:spacing w:after="0"/>
        <w:rPr>
          <w:sz w:val="20"/>
          <w:szCs w:val="20"/>
          <w:color w:val="auto"/>
        </w:rPr>
      </w:pPr>
      <w:r>
        <w:rPr>
          <w:rFonts w:ascii="Courier New" w:cs="Courier New" w:eastAsia="Courier New" w:hAnsi="Courier New"/>
          <w:sz w:val="17"/>
          <w:szCs w:val="17"/>
          <w:color w:val="auto"/>
        </w:rPr>
        <w:t>MARVELL TECHNOLOGY GROUP LTD.</w:t>
      </w:r>
    </w:p>
    <w:p>
      <w:pPr>
        <w:spacing w:after="0" w:line="2" w:lineRule="exact"/>
        <w:rPr>
          <w:sz w:val="20"/>
          <w:szCs w:val="20"/>
          <w:color w:val="auto"/>
        </w:rPr>
      </w:pPr>
    </w:p>
    <w:p>
      <w:pPr>
        <w:jc w:val="center"/>
        <w:ind w:right="3320"/>
        <w:spacing w:after="0"/>
        <w:rPr>
          <w:sz w:val="20"/>
          <w:szCs w:val="20"/>
          <w:color w:val="auto"/>
        </w:rPr>
      </w:pPr>
      <w:r>
        <w:rPr>
          <w:rFonts w:ascii="Courier New" w:cs="Courier New" w:eastAsia="Courier New" w:hAnsi="Courier New"/>
          <w:sz w:val="17"/>
          <w:szCs w:val="17"/>
          <w:color w:val="auto"/>
        </w:rPr>
        <w:t>CONSOLIDATED STATEMENTS OF OPERATIONS</w:t>
      </w:r>
    </w:p>
    <w:p>
      <w:pPr>
        <w:spacing w:after="0" w:line="2" w:lineRule="exact"/>
        <w:rPr>
          <w:sz w:val="20"/>
          <w:szCs w:val="20"/>
          <w:color w:val="auto"/>
        </w:rPr>
      </w:pPr>
    </w:p>
    <w:p>
      <w:pPr>
        <w:jc w:val="center"/>
        <w:ind w:right="3320"/>
        <w:spacing w:after="0"/>
        <w:rPr>
          <w:sz w:val="20"/>
          <w:szCs w:val="20"/>
          <w:color w:val="auto"/>
        </w:rPr>
      </w:pPr>
      <w:r>
        <w:rPr>
          <w:rFonts w:ascii="Courier New" w:cs="Courier New" w:eastAsia="Courier New" w:hAnsi="Courier New"/>
          <w:sz w:val="17"/>
          <w:szCs w:val="17"/>
          <w:color w:val="auto"/>
        </w:rPr>
        <w:t>(UNAUDITED)</w:t>
      </w:r>
    </w:p>
    <w:p>
      <w:pPr>
        <w:spacing w:after="0" w:line="2" w:lineRule="exact"/>
        <w:rPr>
          <w:sz w:val="20"/>
          <w:szCs w:val="20"/>
          <w:color w:val="auto"/>
        </w:rPr>
      </w:pPr>
    </w:p>
    <w:p>
      <w:pPr>
        <w:jc w:val="center"/>
        <w:ind w:right="3420"/>
        <w:spacing w:after="0"/>
        <w:rPr>
          <w:sz w:val="20"/>
          <w:szCs w:val="20"/>
          <w:color w:val="auto"/>
        </w:rPr>
      </w:pPr>
      <w:r>
        <w:rPr>
          <w:rFonts w:ascii="Courier New" w:cs="Courier New" w:eastAsia="Courier New" w:hAnsi="Courier New"/>
          <w:sz w:val="17"/>
          <w:szCs w:val="17"/>
          <w:color w:val="auto"/>
        </w:rPr>
        <w:t>(IN THOUSANDS, EXCEPT PER SHARE AMOUNTS)</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5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740" w:type="dxa"/>
            <w:vAlign w:val="bottom"/>
            <w:gridSpan w:val="3"/>
          </w:tcPr>
          <w:p>
            <w:pPr>
              <w:jc w:val="right"/>
              <w:ind w:right="616"/>
              <w:spacing w:after="0"/>
              <w:rPr>
                <w:sz w:val="20"/>
                <w:szCs w:val="20"/>
                <w:color w:val="auto"/>
              </w:rPr>
            </w:pPr>
            <w:r>
              <w:rPr>
                <w:rFonts w:ascii="Courier New" w:cs="Courier New" w:eastAsia="Courier New" w:hAnsi="Courier New"/>
                <w:sz w:val="17"/>
                <w:szCs w:val="17"/>
                <w:color w:val="auto"/>
              </w:rPr>
              <w:t>THREE MONTHS ENDED</w:t>
            </w:r>
          </w:p>
        </w:tc>
        <w:tc>
          <w:tcPr>
            <w:tcW w:w="400" w:type="dxa"/>
            <w:vAlign w:val="bottom"/>
          </w:tcPr>
          <w:p>
            <w:pPr>
              <w:spacing w:after="0"/>
              <w:rPr>
                <w:sz w:val="16"/>
                <w:szCs w:val="16"/>
                <w:color w:val="auto"/>
              </w:rPr>
            </w:pPr>
          </w:p>
        </w:tc>
        <w:tc>
          <w:tcPr>
            <w:tcW w:w="2420" w:type="dxa"/>
            <w:vAlign w:val="bottom"/>
            <w:gridSpan w:val="3"/>
          </w:tcPr>
          <w:p>
            <w:pPr>
              <w:jc w:val="right"/>
              <w:ind w:right="416"/>
              <w:spacing w:after="0"/>
              <w:rPr>
                <w:sz w:val="20"/>
                <w:szCs w:val="20"/>
                <w:color w:val="auto"/>
              </w:rPr>
            </w:pPr>
            <w:r>
              <w:rPr>
                <w:rFonts w:ascii="Courier New" w:cs="Courier New" w:eastAsia="Courier New" w:hAnsi="Courier New"/>
                <w:sz w:val="17"/>
                <w:szCs w:val="17"/>
                <w:color w:val="auto"/>
              </w:rPr>
              <w:t>SIX MONTHS ENDED</w:t>
            </w:r>
          </w:p>
        </w:tc>
      </w:tr>
      <w:tr>
        <w:trPr>
          <w:trHeight w:val="194"/>
        </w:trPr>
        <w:tc>
          <w:tcPr>
            <w:tcW w:w="5560" w:type="dxa"/>
            <w:vAlign w:val="bottom"/>
          </w:tcPr>
          <w:p>
            <w:pPr>
              <w:spacing w:after="0"/>
              <w:rPr>
                <w:sz w:val="16"/>
                <w:szCs w:val="16"/>
                <w:color w:val="auto"/>
              </w:rPr>
            </w:pPr>
          </w:p>
        </w:tc>
        <w:tc>
          <w:tcPr>
            <w:tcW w:w="1620" w:type="dxa"/>
            <w:vAlign w:val="bottom"/>
            <w:gridSpan w:val="2"/>
          </w:tcPr>
          <w:p>
            <w:pPr>
              <w:ind w:left="300"/>
              <w:spacing w:after="0"/>
              <w:rPr>
                <w:sz w:val="20"/>
                <w:szCs w:val="20"/>
                <w:color w:val="auto"/>
              </w:rPr>
            </w:pPr>
            <w:r>
              <w:rPr>
                <w:rFonts w:ascii="Courier New" w:cs="Courier New" w:eastAsia="Courier New" w:hAnsi="Courier New"/>
                <w:sz w:val="12"/>
                <w:szCs w:val="12"/>
                <w:color w:val="auto"/>
                <w:w w:val="72"/>
              </w:rPr>
              <w:t>-------------------------</w:t>
            </w:r>
          </w:p>
        </w:tc>
        <w:tc>
          <w:tcPr>
            <w:tcW w:w="4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2820" w:type="dxa"/>
            <w:vAlign w:val="bottom"/>
            <w:gridSpan w:val="4"/>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416"/>
              <w:spacing w:after="0"/>
              <w:rPr>
                <w:sz w:val="20"/>
                <w:szCs w:val="20"/>
                <w:color w:val="auto"/>
              </w:rPr>
            </w:pPr>
            <w:r>
              <w:rPr>
                <w:rFonts w:ascii="Courier New" w:cs="Courier New" w:eastAsia="Courier New" w:hAnsi="Courier New"/>
                <w:sz w:val="17"/>
                <w:szCs w:val="17"/>
                <w:color w:val="auto"/>
              </w:rPr>
              <w:t>JULY 28,</w:t>
            </w:r>
          </w:p>
        </w:tc>
        <w:tc>
          <w:tcPr>
            <w:tcW w:w="1520" w:type="dxa"/>
            <w:vAlign w:val="bottom"/>
            <w:gridSpan w:val="2"/>
          </w:tcPr>
          <w:p>
            <w:pPr>
              <w:ind w:left="300"/>
              <w:spacing w:after="0"/>
              <w:rPr>
                <w:sz w:val="20"/>
                <w:szCs w:val="20"/>
                <w:color w:val="auto"/>
              </w:rPr>
            </w:pPr>
            <w:r>
              <w:rPr>
                <w:rFonts w:ascii="Courier New" w:cs="Courier New" w:eastAsia="Courier New" w:hAnsi="Courier New"/>
                <w:sz w:val="17"/>
                <w:szCs w:val="17"/>
                <w:color w:val="auto"/>
              </w:rPr>
              <w:t>JULY 29,</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w w:val="97"/>
              </w:rPr>
              <w:t>JULY 28,</w:t>
            </w:r>
          </w:p>
        </w:tc>
        <w:tc>
          <w:tcPr>
            <w:tcW w:w="1200" w:type="dxa"/>
            <w:vAlign w:val="bottom"/>
            <w:gridSpan w:val="2"/>
          </w:tcPr>
          <w:p>
            <w:pPr>
              <w:ind w:left="300"/>
              <w:spacing w:after="0"/>
              <w:rPr>
                <w:sz w:val="20"/>
                <w:szCs w:val="20"/>
                <w:color w:val="auto"/>
              </w:rPr>
            </w:pPr>
            <w:r>
              <w:rPr>
                <w:rFonts w:ascii="Courier New" w:cs="Courier New" w:eastAsia="Courier New" w:hAnsi="Courier New"/>
                <w:sz w:val="17"/>
                <w:szCs w:val="17"/>
                <w:color w:val="auto"/>
              </w:rPr>
              <w:t>JULY 29,</w:t>
            </w:r>
          </w:p>
        </w:tc>
      </w:tr>
      <w:tr>
        <w:trPr>
          <w:trHeight w:val="194"/>
        </w:trPr>
        <w:tc>
          <w:tcPr>
            <w:tcW w:w="55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jc w:val="right"/>
              <w:ind w:right="616"/>
              <w:spacing w:after="0"/>
              <w:rPr>
                <w:sz w:val="20"/>
                <w:szCs w:val="20"/>
                <w:color w:val="auto"/>
              </w:rPr>
            </w:pPr>
            <w:r>
              <w:rPr>
                <w:rFonts w:ascii="Courier New" w:cs="Courier New" w:eastAsia="Courier New" w:hAnsi="Courier New"/>
                <w:sz w:val="17"/>
                <w:szCs w:val="17"/>
                <w:color w:val="auto"/>
              </w:rPr>
              <w:t>2001</w:t>
            </w:r>
          </w:p>
        </w:tc>
        <w:tc>
          <w:tcPr>
            <w:tcW w:w="460" w:type="dxa"/>
            <w:vAlign w:val="bottom"/>
          </w:tcPr>
          <w:p>
            <w:pPr>
              <w:spacing w:after="0"/>
              <w:rPr>
                <w:sz w:val="16"/>
                <w:szCs w:val="16"/>
                <w:color w:val="auto"/>
              </w:rPr>
            </w:pPr>
          </w:p>
        </w:tc>
        <w:tc>
          <w:tcPr>
            <w:tcW w:w="106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2000</w:t>
            </w:r>
          </w:p>
        </w:tc>
        <w:tc>
          <w:tcPr>
            <w:tcW w:w="400" w:type="dxa"/>
            <w:vAlign w:val="bottom"/>
          </w:tcPr>
          <w:p>
            <w:pPr>
              <w:spacing w:after="0"/>
              <w:rPr>
                <w:sz w:val="16"/>
                <w:szCs w:val="16"/>
                <w:color w:val="auto"/>
              </w:rPr>
            </w:pPr>
          </w:p>
        </w:tc>
        <w:tc>
          <w:tcPr>
            <w:tcW w:w="1220" w:type="dxa"/>
            <w:vAlign w:val="bottom"/>
          </w:tcPr>
          <w:p>
            <w:pPr>
              <w:jc w:val="right"/>
              <w:ind w:right="636"/>
              <w:spacing w:after="0"/>
              <w:rPr>
                <w:sz w:val="20"/>
                <w:szCs w:val="20"/>
                <w:color w:val="auto"/>
              </w:rPr>
            </w:pPr>
            <w:r>
              <w:rPr>
                <w:rFonts w:ascii="Courier New" w:cs="Courier New" w:eastAsia="Courier New" w:hAnsi="Courier New"/>
                <w:sz w:val="17"/>
                <w:szCs w:val="17"/>
                <w:color w:val="auto"/>
              </w:rPr>
              <w:t>2001</w:t>
            </w:r>
          </w:p>
        </w:tc>
        <w:tc>
          <w:tcPr>
            <w:tcW w:w="400" w:type="dxa"/>
            <w:vAlign w:val="bottom"/>
          </w:tcPr>
          <w:p>
            <w:pPr>
              <w:spacing w:after="0"/>
              <w:rPr>
                <w:sz w:val="16"/>
                <w:szCs w:val="16"/>
                <w:color w:val="auto"/>
              </w:rPr>
            </w:pPr>
          </w:p>
        </w:tc>
        <w:tc>
          <w:tcPr>
            <w:tcW w:w="800" w:type="dxa"/>
            <w:vAlign w:val="bottom"/>
          </w:tcPr>
          <w:p>
            <w:pPr>
              <w:jc w:val="right"/>
              <w:ind w:right="316"/>
              <w:spacing w:after="0"/>
              <w:rPr>
                <w:sz w:val="20"/>
                <w:szCs w:val="20"/>
                <w:color w:val="auto"/>
              </w:rPr>
            </w:pPr>
            <w:r>
              <w:rPr>
                <w:rFonts w:ascii="Courier New" w:cs="Courier New" w:eastAsia="Courier New" w:hAnsi="Courier New"/>
                <w:sz w:val="17"/>
                <w:szCs w:val="17"/>
                <w:color w:val="auto"/>
                <w:w w:val="93"/>
              </w:rPr>
              <w:t>2000</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389"/>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Net revenue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68,649</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32,175</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$ 132,879</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61,839</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Cost of goods sold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31,419</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15,080</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61,580</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28,260</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Gross profit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37,230</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17,095</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71,299</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33,579</w:t>
            </w:r>
          </w:p>
        </w:tc>
      </w:tr>
      <w:tr>
        <w:trPr>
          <w:trHeight w:val="194"/>
        </w:trPr>
        <w:tc>
          <w:tcPr>
            <w:tcW w:w="5560" w:type="dxa"/>
            <w:vAlign w:val="bottom"/>
          </w:tcPr>
          <w:p>
            <w:pPr>
              <w:jc w:val="right"/>
              <w:ind w:right="3556"/>
              <w:spacing w:after="0"/>
              <w:rPr>
                <w:sz w:val="20"/>
                <w:szCs w:val="20"/>
                <w:color w:val="auto"/>
              </w:rPr>
            </w:pPr>
            <w:r>
              <w:rPr>
                <w:rFonts w:ascii="Courier New" w:cs="Courier New" w:eastAsia="Courier New" w:hAnsi="Courier New"/>
                <w:sz w:val="17"/>
                <w:szCs w:val="17"/>
                <w:color w:val="auto"/>
                <w:w w:val="98"/>
              </w:rPr>
              <w:t>Operating expenses:</w:t>
            </w: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800" w:type="dxa"/>
            <w:vAlign w:val="bottom"/>
          </w:tcPr>
          <w:p>
            <w:pPr>
              <w:spacing w:after="0"/>
              <w:rPr>
                <w:sz w:val="16"/>
                <w:szCs w:val="16"/>
                <w:color w:val="auto"/>
              </w:rPr>
            </w:pP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Research and development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21,843</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7,812</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41,909</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13,930</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Selling and marketing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10,103</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5,595</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19,648</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9,679</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General and administrative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3,734</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1,427</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6,719</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2,931</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Amortization of stock-based compensation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4,095</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2,223</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8,208</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4,484</w:t>
            </w:r>
          </w:p>
        </w:tc>
      </w:tr>
      <w:tr>
        <w:trPr>
          <w:trHeight w:val="194"/>
        </w:trPr>
        <w:tc>
          <w:tcPr>
            <w:tcW w:w="5560" w:type="dxa"/>
            <w:vAlign w:val="bottom"/>
          </w:tcPr>
          <w:p>
            <w:pPr>
              <w:jc w:val="right"/>
              <w:ind w:right="1216"/>
              <w:spacing w:after="0"/>
              <w:rPr>
                <w:sz w:val="20"/>
                <w:szCs w:val="20"/>
                <w:color w:val="auto"/>
              </w:rPr>
            </w:pPr>
            <w:r>
              <w:rPr>
                <w:rFonts w:ascii="Courier New" w:cs="Courier New" w:eastAsia="Courier New" w:hAnsi="Courier New"/>
                <w:sz w:val="17"/>
                <w:szCs w:val="17"/>
                <w:color w:val="auto"/>
              </w:rPr>
              <w:t>Amortization of goodwill and acquired</w:t>
            </w: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800" w:type="dxa"/>
            <w:vAlign w:val="bottom"/>
          </w:tcPr>
          <w:p>
            <w:pPr>
              <w:spacing w:after="0"/>
              <w:rPr>
                <w:sz w:val="16"/>
                <w:szCs w:val="16"/>
                <w:color w:val="auto"/>
              </w:rPr>
            </w:pP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intangible assets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104,508</w:t>
            </w:r>
          </w:p>
        </w:tc>
        <w:tc>
          <w:tcPr>
            <w:tcW w:w="460" w:type="dxa"/>
            <w:vAlign w:val="bottom"/>
          </w:tcPr>
          <w:p>
            <w:pPr>
              <w:spacing w:after="0"/>
              <w:rPr>
                <w:sz w:val="16"/>
                <w:szCs w:val="16"/>
                <w:color w:val="auto"/>
              </w:rPr>
            </w:pPr>
          </w:p>
        </w:tc>
        <w:tc>
          <w:tcPr>
            <w:tcW w:w="1060" w:type="dxa"/>
            <w:vAlign w:val="bottom"/>
          </w:tcPr>
          <w:p>
            <w:pPr>
              <w:jc w:val="right"/>
              <w:ind w:right="416"/>
              <w:spacing w:after="0"/>
              <w:rPr>
                <w:sz w:val="20"/>
                <w:szCs w:val="20"/>
                <w:color w:val="auto"/>
              </w:rPr>
            </w:pPr>
            <w:r>
              <w:rPr>
                <w:rFonts w:ascii="Courier New" w:cs="Courier New" w:eastAsia="Courier New" w:hAnsi="Courier New"/>
                <w:sz w:val="17"/>
                <w:szCs w:val="17"/>
                <w:color w:val="auto"/>
              </w:rPr>
              <w:t>--</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209,016</w:t>
            </w:r>
          </w:p>
        </w:tc>
        <w:tc>
          <w:tcPr>
            <w:tcW w:w="400" w:type="dxa"/>
            <w:vAlign w:val="bottom"/>
          </w:tcPr>
          <w:p>
            <w:pPr>
              <w:spacing w:after="0"/>
              <w:rPr>
                <w:sz w:val="16"/>
                <w:szCs w:val="16"/>
                <w:color w:val="auto"/>
              </w:rPr>
            </w:pPr>
          </w:p>
        </w:tc>
        <w:tc>
          <w:tcPr>
            <w:tcW w:w="8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operating expenses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144,283</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17,057</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285,500</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31,024</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Operating income (loss) ............................</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7"/>
              </w:rPr>
              <w:t>(107,053)</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38</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7"/>
              </w:rPr>
              <w:t>(214,201)</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2,555</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Interest and other income, net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2,459</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794</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5,426</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1,034</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Income (loss) before income taxes ..................</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7"/>
              </w:rPr>
              <w:t>(104,594)</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832</w:t>
            </w:r>
          </w:p>
        </w:tc>
        <w:tc>
          <w:tcPr>
            <w:tcW w:w="400" w:type="dxa"/>
            <w:vAlign w:val="bottom"/>
          </w:tcPr>
          <w:p>
            <w:pPr>
              <w:spacing w:after="0"/>
              <w:rPr>
                <w:sz w:val="16"/>
                <w:szCs w:val="16"/>
                <w:color w:val="auto"/>
              </w:rPr>
            </w:pP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7"/>
              </w:rPr>
              <w:t>(208,775)</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3,589</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Provision for income taxes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603</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208</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1,388</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897</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Net income (loss) ..................................</w:t>
            </w:r>
          </w:p>
        </w:tc>
        <w:tc>
          <w:tcPr>
            <w:tcW w:w="16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$(105,197)</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624</w:t>
            </w:r>
          </w:p>
        </w:tc>
        <w:tc>
          <w:tcPr>
            <w:tcW w:w="16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$(210,163)</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2,692</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389"/>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Basic net income (loss) per share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(0.93)</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0.01</w:t>
            </w:r>
          </w:p>
        </w:tc>
        <w:tc>
          <w:tcPr>
            <w:tcW w:w="4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(1.86)</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0.05</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Diluted net income (loss) per share ................</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(0.93)</w:t>
            </w:r>
          </w:p>
        </w:tc>
        <w:tc>
          <w:tcPr>
            <w:tcW w:w="460" w:type="dxa"/>
            <w:vAlign w:val="bottom"/>
          </w:tcPr>
          <w:p>
            <w:pPr>
              <w:ind w:left="300"/>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0.01</w:t>
            </w:r>
          </w:p>
        </w:tc>
        <w:tc>
          <w:tcPr>
            <w:tcW w:w="4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(1.86)</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0.03</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389"/>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Weighted average shares -- basic ...................</w:t>
            </w:r>
          </w:p>
        </w:tc>
        <w:tc>
          <w:tcPr>
            <w:tcW w:w="400" w:type="dxa"/>
            <w:vAlign w:val="bottom"/>
          </w:tcPr>
          <w:p>
            <w:pPr>
              <w:spacing w:after="0"/>
              <w:rPr>
                <w:sz w:val="24"/>
                <w:szCs w:val="24"/>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113,714</w:t>
            </w:r>
          </w:p>
        </w:tc>
        <w:tc>
          <w:tcPr>
            <w:tcW w:w="460" w:type="dxa"/>
            <w:vAlign w:val="bottom"/>
          </w:tcPr>
          <w:p>
            <w:pPr>
              <w:spacing w:after="0"/>
              <w:rPr>
                <w:sz w:val="24"/>
                <w:szCs w:val="24"/>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54,910</w:t>
            </w:r>
          </w:p>
        </w:tc>
        <w:tc>
          <w:tcPr>
            <w:tcW w:w="400" w:type="dxa"/>
            <w:vAlign w:val="bottom"/>
          </w:tcPr>
          <w:p>
            <w:pPr>
              <w:spacing w:after="0"/>
              <w:rPr>
                <w:sz w:val="24"/>
                <w:szCs w:val="24"/>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113,115</w:t>
            </w:r>
          </w:p>
        </w:tc>
        <w:tc>
          <w:tcPr>
            <w:tcW w:w="400" w:type="dxa"/>
            <w:vAlign w:val="bottom"/>
          </w:tcPr>
          <w:p>
            <w:pPr>
              <w:spacing w:after="0"/>
              <w:rPr>
                <w:sz w:val="24"/>
                <w:szCs w:val="24"/>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50,702</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4"/>
        </w:trPr>
        <w:tc>
          <w:tcPr>
            <w:tcW w:w="55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Weighted average shares -- diluted .................</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113,714</w:t>
            </w:r>
          </w:p>
        </w:tc>
        <w:tc>
          <w:tcPr>
            <w:tcW w:w="46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90,056</w:t>
            </w:r>
          </w:p>
        </w:tc>
        <w:tc>
          <w:tcPr>
            <w:tcW w:w="400" w:type="dxa"/>
            <w:vAlign w:val="bottom"/>
          </w:tcPr>
          <w:p>
            <w:pPr>
              <w:spacing w:after="0"/>
              <w:rPr>
                <w:sz w:val="16"/>
                <w:szCs w:val="16"/>
                <w:color w:val="auto"/>
              </w:rPr>
            </w:pPr>
          </w:p>
        </w:tc>
        <w:tc>
          <w:tcPr>
            <w:tcW w:w="12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113,115</w:t>
            </w:r>
          </w:p>
        </w:tc>
        <w:tc>
          <w:tcPr>
            <w:tcW w:w="40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7"/>
                <w:szCs w:val="17"/>
                <w:color w:val="auto"/>
              </w:rPr>
              <w:t>87,426</w:t>
            </w:r>
          </w:p>
        </w:tc>
      </w:tr>
      <w:tr>
        <w:trPr>
          <w:trHeight w:val="194"/>
        </w:trPr>
        <w:tc>
          <w:tcPr>
            <w:tcW w:w="5560" w:type="dxa"/>
            <w:vAlign w:val="bottom"/>
          </w:tcPr>
          <w:p>
            <w:pPr>
              <w:spacing w:after="0"/>
              <w:rPr>
                <w:sz w:val="16"/>
                <w:szCs w:val="16"/>
                <w:color w:val="auto"/>
              </w:rPr>
            </w:pP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bl>
    <w:p>
      <w:pPr>
        <w:sectPr>
          <w:pgSz w:w="11900" w:h="16838" w:orient="portrait"/>
          <w:cols w:equalWidth="0" w:num="1">
            <w:col w:w="11520"/>
          </w:cols>
          <w:pgMar w:left="240" w:top="308" w:right="139" w:bottom="1440" w:gutter="0" w:footer="0" w:header="0"/>
        </w:sectPr>
      </w:pPr>
    </w:p>
    <w:bookmarkStart w:id="6" w:name="page7"/>
    <w:bookmarkEnd w:id="6"/>
    <w:p>
      <w:pPr>
        <w:ind w:left="300"/>
        <w:spacing w:after="0"/>
        <w:rPr>
          <w:sz w:val="20"/>
          <w:szCs w:val="20"/>
          <w:color w:val="auto"/>
        </w:rPr>
      </w:pPr>
      <w:r>
        <w:rPr>
          <w:rFonts w:ascii="Courier New" w:cs="Courier New" w:eastAsia="Courier New" w:hAnsi="Courier New"/>
          <w:sz w:val="17"/>
          <w:szCs w:val="17"/>
          <w:color w:val="auto"/>
        </w:rPr>
        <w:t>5</w:t>
      </w:r>
    </w:p>
    <w:p>
      <w:pPr>
        <w:spacing w:after="0" w:line="2" w:lineRule="exact"/>
        <w:rPr>
          <w:sz w:val="20"/>
          <w:szCs w:val="20"/>
          <w:color w:val="auto"/>
        </w:rPr>
      </w:pPr>
    </w:p>
    <w:p>
      <w:pPr>
        <w:jc w:val="center"/>
        <w:ind w:right="2019"/>
        <w:spacing w:after="0"/>
        <w:rPr>
          <w:sz w:val="20"/>
          <w:szCs w:val="20"/>
          <w:color w:val="auto"/>
        </w:rPr>
      </w:pPr>
      <w:r>
        <w:rPr>
          <w:rFonts w:ascii="Courier New" w:cs="Courier New" w:eastAsia="Courier New" w:hAnsi="Courier New"/>
          <w:sz w:val="17"/>
          <w:szCs w:val="17"/>
          <w:color w:val="auto"/>
        </w:rPr>
        <w:t>MARVELL TECHNOLOGY GROUP LTD.</w:t>
      </w:r>
    </w:p>
    <w:p>
      <w:pPr>
        <w:spacing w:after="0" w:line="2" w:lineRule="exact"/>
        <w:rPr>
          <w:sz w:val="20"/>
          <w:szCs w:val="20"/>
          <w:color w:val="auto"/>
        </w:rPr>
      </w:pPr>
    </w:p>
    <w:p>
      <w:pPr>
        <w:jc w:val="center"/>
        <w:ind w:right="2019"/>
        <w:spacing w:after="0"/>
        <w:rPr>
          <w:sz w:val="20"/>
          <w:szCs w:val="20"/>
          <w:color w:val="auto"/>
        </w:rPr>
      </w:pPr>
      <w:r>
        <w:rPr>
          <w:rFonts w:ascii="Courier New" w:cs="Courier New" w:eastAsia="Courier New" w:hAnsi="Courier New"/>
          <w:sz w:val="17"/>
          <w:szCs w:val="17"/>
          <w:color w:val="auto"/>
        </w:rPr>
        <w:t>CONSOLIDATED BALANCE SHEETS</w:t>
      </w:r>
    </w:p>
    <w:p>
      <w:pPr>
        <w:spacing w:after="0" w:line="2" w:lineRule="exact"/>
        <w:rPr>
          <w:sz w:val="20"/>
          <w:szCs w:val="20"/>
          <w:color w:val="auto"/>
        </w:rPr>
      </w:pPr>
    </w:p>
    <w:p>
      <w:pPr>
        <w:ind w:left="3540"/>
        <w:spacing w:after="0"/>
        <w:rPr>
          <w:sz w:val="20"/>
          <w:szCs w:val="20"/>
          <w:color w:val="auto"/>
        </w:rPr>
      </w:pPr>
      <w:r>
        <w:rPr>
          <w:rFonts w:ascii="Courier New" w:cs="Courier New" w:eastAsia="Courier New" w:hAnsi="Courier New"/>
          <w:sz w:val="17"/>
          <w:szCs w:val="17"/>
          <w:color w:val="auto"/>
        </w:rPr>
        <w:t>(UNAUDITED)</w:t>
      </w:r>
    </w:p>
    <w:p>
      <w:pPr>
        <w:spacing w:after="0" w:line="2" w:lineRule="exact"/>
        <w:rPr>
          <w:sz w:val="20"/>
          <w:szCs w:val="20"/>
          <w:color w:val="auto"/>
        </w:rPr>
      </w:pPr>
    </w:p>
    <w:p>
      <w:pPr>
        <w:ind w:left="3340"/>
        <w:spacing w:after="0"/>
        <w:rPr>
          <w:sz w:val="20"/>
          <w:szCs w:val="20"/>
          <w:color w:val="auto"/>
        </w:rPr>
      </w:pPr>
      <w:r>
        <w:rPr>
          <w:rFonts w:ascii="Courier New" w:cs="Courier New" w:eastAsia="Courier New" w:hAnsi="Courier New"/>
          <w:sz w:val="17"/>
          <w:szCs w:val="17"/>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8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400" w:type="dxa"/>
            <w:vAlign w:val="bottom"/>
          </w:tcPr>
          <w:p>
            <w:pPr>
              <w:jc w:val="right"/>
              <w:ind w:right="516"/>
              <w:spacing w:after="0"/>
              <w:rPr>
                <w:sz w:val="20"/>
                <w:szCs w:val="20"/>
                <w:color w:val="auto"/>
              </w:rPr>
            </w:pPr>
            <w:r>
              <w:rPr>
                <w:rFonts w:ascii="Courier New" w:cs="Courier New" w:eastAsia="Courier New" w:hAnsi="Courier New"/>
                <w:sz w:val="17"/>
                <w:szCs w:val="17"/>
                <w:color w:val="auto"/>
                <w:w w:val="95"/>
              </w:rPr>
              <w:t>JULY 28,</w:t>
            </w:r>
          </w:p>
        </w:tc>
        <w:tc>
          <w:tcPr>
            <w:tcW w:w="1520" w:type="dxa"/>
            <w:vAlign w:val="bottom"/>
            <w:gridSpan w:val="2"/>
          </w:tcPr>
          <w:p>
            <w:pPr>
              <w:ind w:left="320"/>
              <w:spacing w:after="0"/>
              <w:rPr>
                <w:sz w:val="20"/>
                <w:szCs w:val="20"/>
                <w:color w:val="auto"/>
              </w:rPr>
            </w:pPr>
            <w:r>
              <w:rPr>
                <w:rFonts w:ascii="Courier New" w:cs="Courier New" w:eastAsia="Courier New" w:hAnsi="Courier New"/>
                <w:sz w:val="17"/>
                <w:szCs w:val="17"/>
                <w:color w:val="auto"/>
              </w:rPr>
              <w:t>JANUARY 27,</w:t>
            </w:r>
          </w:p>
        </w:tc>
      </w:tr>
      <w:tr>
        <w:trPr>
          <w:trHeight w:val="194"/>
        </w:trPr>
        <w:tc>
          <w:tcPr>
            <w:tcW w:w="5860" w:type="dxa"/>
            <w:vAlign w:val="bottom"/>
          </w:tcPr>
          <w:p>
            <w:pPr>
              <w:spacing w:after="0"/>
              <w:rPr>
                <w:sz w:val="20"/>
                <w:szCs w:val="20"/>
                <w:color w:val="auto"/>
              </w:rPr>
            </w:pPr>
            <w:r>
              <w:rPr>
                <w:rFonts w:ascii="Courier New" w:cs="Courier New" w:eastAsia="Courier New" w:hAnsi="Courier New"/>
                <w:sz w:val="17"/>
                <w:szCs w:val="17"/>
                <w:color w:val="auto"/>
              </w:rPr>
              <w:t>ASSETS</w:t>
            </w:r>
          </w:p>
        </w:tc>
        <w:tc>
          <w:tcPr>
            <w:tcW w:w="420" w:type="dxa"/>
            <w:vAlign w:val="bottom"/>
          </w:tcPr>
          <w:p>
            <w:pPr>
              <w:spacing w:after="0"/>
              <w:rPr>
                <w:sz w:val="16"/>
                <w:szCs w:val="16"/>
                <w:color w:val="auto"/>
              </w:rPr>
            </w:pPr>
          </w:p>
        </w:tc>
        <w:tc>
          <w:tcPr>
            <w:tcW w:w="1400" w:type="dxa"/>
            <w:vAlign w:val="bottom"/>
          </w:tcPr>
          <w:p>
            <w:pPr>
              <w:jc w:val="right"/>
              <w:ind w:right="716"/>
              <w:spacing w:after="0"/>
              <w:rPr>
                <w:sz w:val="20"/>
                <w:szCs w:val="20"/>
                <w:color w:val="auto"/>
              </w:rPr>
            </w:pPr>
            <w:r>
              <w:rPr>
                <w:rFonts w:ascii="Courier New" w:cs="Courier New" w:eastAsia="Courier New" w:hAnsi="Courier New"/>
                <w:sz w:val="17"/>
                <w:szCs w:val="17"/>
                <w:color w:val="auto"/>
              </w:rPr>
              <w:t>2001</w:t>
            </w:r>
          </w:p>
        </w:tc>
        <w:tc>
          <w:tcPr>
            <w:tcW w:w="460" w:type="dxa"/>
            <w:vAlign w:val="bottom"/>
          </w:tcPr>
          <w:p>
            <w:pPr>
              <w:spacing w:after="0"/>
              <w:rPr>
                <w:sz w:val="16"/>
                <w:szCs w:val="16"/>
                <w:color w:val="auto"/>
              </w:rPr>
            </w:pPr>
          </w:p>
        </w:tc>
        <w:tc>
          <w:tcPr>
            <w:tcW w:w="1060" w:type="dxa"/>
            <w:vAlign w:val="bottom"/>
          </w:tcPr>
          <w:p>
            <w:pPr>
              <w:jc w:val="right"/>
              <w:ind w:right="416"/>
              <w:spacing w:after="0"/>
              <w:rPr>
                <w:sz w:val="20"/>
                <w:szCs w:val="20"/>
                <w:color w:val="auto"/>
              </w:rPr>
            </w:pPr>
            <w:r>
              <w:rPr>
                <w:rFonts w:ascii="Courier New" w:cs="Courier New" w:eastAsia="Courier New" w:hAnsi="Courier New"/>
                <w:sz w:val="17"/>
                <w:szCs w:val="17"/>
                <w:color w:val="auto"/>
              </w:rPr>
              <w:t>2001</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9"/>
        </w:trPr>
        <w:tc>
          <w:tcPr>
            <w:tcW w:w="5860" w:type="dxa"/>
            <w:vAlign w:val="bottom"/>
          </w:tcPr>
          <w:p>
            <w:pPr>
              <w:spacing w:after="0"/>
              <w:rPr>
                <w:sz w:val="20"/>
                <w:szCs w:val="20"/>
                <w:color w:val="auto"/>
              </w:rPr>
            </w:pPr>
            <w:r>
              <w:rPr>
                <w:rFonts w:ascii="Courier New" w:cs="Courier New" w:eastAsia="Courier New" w:hAnsi="Courier New"/>
                <w:sz w:val="17"/>
                <w:szCs w:val="17"/>
                <w:color w:val="auto"/>
              </w:rPr>
              <w:t>Current assets:</w:t>
            </w:r>
          </w:p>
        </w:tc>
        <w:tc>
          <w:tcPr>
            <w:tcW w:w="4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Cash and cash equivalents ........................</w:t>
            </w:r>
          </w:p>
        </w:tc>
        <w:tc>
          <w:tcPr>
            <w:tcW w:w="4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174,203</w:t>
            </w:r>
          </w:p>
        </w:tc>
        <w:tc>
          <w:tcPr>
            <w:tcW w:w="46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184,128</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Short-term investments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41,176</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39,935</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Accounts receivable, net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38,016</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37,543</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Inventory, net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24,730</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30,924</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Prepaid expenses and other current assets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14,553</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11,479</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current assets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292,678</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304,009</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Property and equipment, net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33,892</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31,184</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Goodwill and acquired intangible assets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1,891,823</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2,100,839</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Other noncurrent assets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15,408</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11,454</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assets .................................</w:t>
            </w: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$ 2,233,801</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$ 2,447,486</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spacing w:after="0"/>
              <w:rPr>
                <w:sz w:val="20"/>
                <w:szCs w:val="20"/>
                <w:color w:val="auto"/>
              </w:rPr>
            </w:pPr>
            <w:r>
              <w:rPr>
                <w:rFonts w:ascii="Courier New" w:cs="Courier New" w:eastAsia="Courier New" w:hAnsi="Courier New"/>
                <w:sz w:val="17"/>
                <w:szCs w:val="17"/>
                <w:color w:val="auto"/>
              </w:rPr>
              <w:t>LIABILITIES AND SHAREHOLDERS' EQUITY</w:t>
            </w:r>
          </w:p>
        </w:tc>
        <w:tc>
          <w:tcPr>
            <w:tcW w:w="4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060" w:type="dxa"/>
            <w:vAlign w:val="bottom"/>
          </w:tcPr>
          <w:p>
            <w:pPr>
              <w:spacing w:after="0"/>
              <w:rPr>
                <w:sz w:val="16"/>
                <w:szCs w:val="16"/>
                <w:color w:val="auto"/>
              </w:rPr>
            </w:pPr>
          </w:p>
        </w:tc>
      </w:tr>
      <w:tr>
        <w:trPr>
          <w:trHeight w:val="194"/>
        </w:trPr>
        <w:tc>
          <w:tcPr>
            <w:tcW w:w="5860" w:type="dxa"/>
            <w:vAlign w:val="bottom"/>
          </w:tcPr>
          <w:p>
            <w:pPr>
              <w:spacing w:after="0"/>
              <w:rPr>
                <w:sz w:val="20"/>
                <w:szCs w:val="20"/>
                <w:color w:val="auto"/>
              </w:rPr>
            </w:pPr>
            <w:r>
              <w:rPr>
                <w:rFonts w:ascii="Courier New" w:cs="Courier New" w:eastAsia="Courier New" w:hAnsi="Courier New"/>
                <w:sz w:val="17"/>
                <w:szCs w:val="17"/>
                <w:color w:val="auto"/>
              </w:rPr>
              <w:t>Current liabilities:</w:t>
            </w:r>
          </w:p>
        </w:tc>
        <w:tc>
          <w:tcPr>
            <w:tcW w:w="4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060" w:type="dxa"/>
            <w:vAlign w:val="bottom"/>
          </w:tcPr>
          <w:p>
            <w:pPr>
              <w:spacing w:after="0"/>
              <w:rPr>
                <w:sz w:val="16"/>
                <w:szCs w:val="16"/>
                <w:color w:val="auto"/>
              </w:rPr>
            </w:pP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Accounts payable .................................</w:t>
            </w:r>
          </w:p>
        </w:tc>
        <w:tc>
          <w:tcPr>
            <w:tcW w:w="4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27,162</w:t>
            </w:r>
          </w:p>
        </w:tc>
        <w:tc>
          <w:tcPr>
            <w:tcW w:w="46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24,818</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Accrued liabilities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18,151</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17,323</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Accrued acquisition costs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204</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29,530</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Income taxes payable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11,731</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9,998</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Deferred revenue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5,142</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6,516</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Capital lease obligations ........................</w:t>
            </w:r>
          </w:p>
        </w:tc>
        <w:tc>
          <w:tcPr>
            <w:tcW w:w="420" w:type="dxa"/>
            <w:vAlign w:val="bottom"/>
          </w:tcPr>
          <w:p>
            <w:pPr>
              <w:spacing w:after="0"/>
              <w:rPr>
                <w:sz w:val="16"/>
                <w:szCs w:val="16"/>
                <w:color w:val="auto"/>
              </w:rPr>
            </w:pPr>
          </w:p>
        </w:tc>
        <w:tc>
          <w:tcPr>
            <w:tcW w:w="140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37</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current liabilities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62,390</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88,222</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8"/>
              </w:rPr>
              <w:t>Long-term liabilities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5,902</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2,598</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liabilities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68,292</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90,820</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spacing w:after="0"/>
              <w:rPr>
                <w:sz w:val="20"/>
                <w:szCs w:val="20"/>
                <w:color w:val="auto"/>
              </w:rPr>
            </w:pPr>
            <w:r>
              <w:rPr>
                <w:rFonts w:ascii="Courier New" w:cs="Courier New" w:eastAsia="Courier New" w:hAnsi="Courier New"/>
                <w:sz w:val="17"/>
                <w:szCs w:val="17"/>
                <w:color w:val="auto"/>
              </w:rPr>
              <w:t>Shareholders' equity:</w:t>
            </w:r>
          </w:p>
        </w:tc>
        <w:tc>
          <w:tcPr>
            <w:tcW w:w="42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060" w:type="dxa"/>
            <w:vAlign w:val="bottom"/>
          </w:tcPr>
          <w:p>
            <w:pPr>
              <w:spacing w:after="0"/>
              <w:rPr>
                <w:sz w:val="16"/>
                <w:szCs w:val="16"/>
                <w:color w:val="auto"/>
              </w:rPr>
            </w:pP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Common stock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233</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231</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Additional paid-in capital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2,627,011</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2,617,490</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Deferred stock-based compensation ................</w:t>
            </w:r>
          </w:p>
        </w:tc>
        <w:tc>
          <w:tcPr>
            <w:tcW w:w="420" w:type="dxa"/>
            <w:vAlign w:val="bottom"/>
          </w:tcPr>
          <w:p>
            <w:pPr>
              <w:spacing w:after="0"/>
              <w:rPr>
                <w:sz w:val="16"/>
                <w:szCs w:val="16"/>
                <w:color w:val="auto"/>
              </w:rPr>
            </w:pPr>
          </w:p>
        </w:tc>
        <w:tc>
          <w:tcPr>
            <w:tcW w:w="14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(19,905)</w:t>
            </w:r>
          </w:p>
        </w:tc>
        <w:tc>
          <w:tcPr>
            <w:tcW w:w="460" w:type="dxa"/>
            <w:vAlign w:val="bottom"/>
          </w:tcPr>
          <w:p>
            <w:pPr>
              <w:spacing w:after="0"/>
              <w:rPr>
                <w:sz w:val="16"/>
                <w:szCs w:val="16"/>
                <w:color w:val="auto"/>
              </w:rPr>
            </w:pPr>
          </w:p>
        </w:tc>
        <w:tc>
          <w:tcPr>
            <w:tcW w:w="1060" w:type="dxa"/>
            <w:vAlign w:val="bottom"/>
          </w:tcPr>
          <w:p>
            <w:pPr>
              <w:jc w:val="right"/>
              <w:spacing w:after="0"/>
              <w:rPr>
                <w:sz w:val="20"/>
                <w:szCs w:val="20"/>
                <w:color w:val="auto"/>
              </w:rPr>
            </w:pPr>
            <w:r>
              <w:rPr>
                <w:rFonts w:ascii="Courier New" w:cs="Courier New" w:eastAsia="Courier New" w:hAnsi="Courier New"/>
                <w:sz w:val="17"/>
                <w:szCs w:val="17"/>
                <w:color w:val="auto"/>
              </w:rPr>
              <w:t>(28,113)</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Accumulated other comprehensive income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1,294</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19</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Accumulated deficit ..............................</w:t>
            </w:r>
          </w:p>
        </w:tc>
        <w:tc>
          <w:tcPr>
            <w:tcW w:w="420" w:type="dxa"/>
            <w:vAlign w:val="bottom"/>
          </w:tcPr>
          <w:p>
            <w:pPr>
              <w:spacing w:after="0"/>
              <w:rPr>
                <w:sz w:val="16"/>
                <w:szCs w:val="16"/>
                <w:color w:val="auto"/>
              </w:rPr>
            </w:pPr>
          </w:p>
        </w:tc>
        <w:tc>
          <w:tcPr>
            <w:tcW w:w="14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(443,124)</w:t>
            </w:r>
          </w:p>
        </w:tc>
        <w:tc>
          <w:tcPr>
            <w:tcW w:w="460" w:type="dxa"/>
            <w:vAlign w:val="bottom"/>
          </w:tcPr>
          <w:p>
            <w:pPr>
              <w:spacing w:after="0"/>
              <w:rPr>
                <w:sz w:val="16"/>
                <w:szCs w:val="16"/>
                <w:color w:val="auto"/>
              </w:rPr>
            </w:pPr>
          </w:p>
        </w:tc>
        <w:tc>
          <w:tcPr>
            <w:tcW w:w="1060" w:type="dxa"/>
            <w:vAlign w:val="bottom"/>
          </w:tcPr>
          <w:p>
            <w:pPr>
              <w:jc w:val="right"/>
              <w:spacing w:after="0"/>
              <w:rPr>
                <w:sz w:val="20"/>
                <w:szCs w:val="20"/>
                <w:color w:val="auto"/>
              </w:rPr>
            </w:pPr>
            <w:r>
              <w:rPr>
                <w:rFonts w:ascii="Courier New" w:cs="Courier New" w:eastAsia="Courier New" w:hAnsi="Courier New"/>
                <w:sz w:val="17"/>
                <w:szCs w:val="17"/>
                <w:color w:val="auto"/>
              </w:rPr>
              <w:t>(232,961)</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shareholders' equity ...................</w:t>
            </w:r>
          </w:p>
        </w:tc>
        <w:tc>
          <w:tcPr>
            <w:tcW w:w="420" w:type="dxa"/>
            <w:vAlign w:val="bottom"/>
          </w:tcPr>
          <w:p>
            <w:pPr>
              <w:spacing w:after="0"/>
              <w:rPr>
                <w:sz w:val="16"/>
                <w:szCs w:val="16"/>
                <w:color w:val="auto"/>
              </w:rPr>
            </w:pPr>
          </w:p>
        </w:tc>
        <w:tc>
          <w:tcPr>
            <w:tcW w:w="14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2,165,509</w:t>
            </w:r>
          </w:p>
        </w:tc>
        <w:tc>
          <w:tcPr>
            <w:tcW w:w="460" w:type="dxa"/>
            <w:vAlign w:val="bottom"/>
          </w:tcPr>
          <w:p>
            <w:pPr>
              <w:spacing w:after="0"/>
              <w:rPr>
                <w:sz w:val="16"/>
                <w:szCs w:val="16"/>
                <w:color w:val="auto"/>
              </w:rPr>
            </w:pPr>
          </w:p>
        </w:tc>
        <w:tc>
          <w:tcPr>
            <w:tcW w:w="106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2,356,666</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4"/>
        </w:trPr>
        <w:tc>
          <w:tcPr>
            <w:tcW w:w="58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Total liabilities and shareholders' equity ...</w:t>
            </w: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$ 2,233,801</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$ 2,447,486</w:t>
            </w:r>
          </w:p>
        </w:tc>
      </w:tr>
      <w:tr>
        <w:trPr>
          <w:trHeight w:val="194"/>
        </w:trPr>
        <w:tc>
          <w:tcPr>
            <w:tcW w:w="5860" w:type="dxa"/>
            <w:vAlign w:val="bottom"/>
          </w:tcPr>
          <w:p>
            <w:pPr>
              <w:spacing w:after="0"/>
              <w:rPr>
                <w:sz w:val="16"/>
                <w:szCs w:val="16"/>
                <w:color w:val="auto"/>
              </w:rPr>
            </w:pPr>
          </w:p>
        </w:tc>
        <w:tc>
          <w:tcPr>
            <w:tcW w:w="182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52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bl>
    <w:p>
      <w:pPr>
        <w:spacing w:after="0" w:line="1" w:lineRule="exact"/>
        <w:rPr>
          <w:sz w:val="20"/>
          <w:szCs w:val="20"/>
          <w:color w:val="auto"/>
        </w:rPr>
      </w:pPr>
    </w:p>
    <w:sectPr>
      <w:pgSz w:w="11900" w:h="16838" w:orient="portrait"/>
      <w:cols w:equalWidth="0" w:num="1">
        <w:col w:w="10219"/>
      </w:cols>
      <w:pgMar w:left="240" w:top="308"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2019-12-14T19:01:50Z</dcterms:created>
  <dcterms:modified xsi:type="dcterms:W3CDTF">2019-12-14T19:01:50Z</dcterms:modified>
</cp:coreProperties>
</file>