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0</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#57499V224</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#57499V224</w:t>
      </w:r>
    </w:p>
    <w:p>
      <w:pPr>
        <w:spacing w:after="0" w:line="238" w:lineRule="auto"/>
        <w:rPr>
          <w:sz w:val="20"/>
          <w:szCs w:val="20"/>
          <w:color w:val="auto"/>
        </w:rPr>
      </w:pPr>
      <w:r>
        <w:rPr>
          <w:rFonts w:ascii="Courier New" w:cs="Courier New" w:eastAsia="Courier New" w:hAnsi="Courier New"/>
          <w:sz w:val="18"/>
          <w:szCs w:val="18"/>
          <w:color w:val="auto"/>
        </w:rPr>
        <w:t>Item 1: Reporting Person - FMR Corp.</w:t>
      </w:r>
    </w:p>
    <w:p>
      <w:pPr>
        <w:spacing w:after="0"/>
        <w:rPr>
          <w:sz w:val="20"/>
          <w:szCs w:val="20"/>
          <w:color w:val="auto"/>
        </w:rPr>
      </w:pPr>
      <w:r>
        <w:rPr>
          <w:rFonts w:ascii="Courier New" w:cs="Courier New" w:eastAsia="Courier New" w:hAnsi="Courier New"/>
          <w:sz w:val="18"/>
          <w:szCs w:val="18"/>
          <w:color w:val="auto"/>
        </w:rPr>
        <w:t>Item 4: Commonwealth of Massachusetts</w:t>
      </w:r>
    </w:p>
    <w:p>
      <w:pPr>
        <w:spacing w:after="0" w:line="237" w:lineRule="auto"/>
        <w:rPr>
          <w:sz w:val="20"/>
          <w:szCs w:val="20"/>
          <w:color w:val="auto"/>
        </w:rPr>
      </w:pPr>
      <w:r>
        <w:rPr>
          <w:rFonts w:ascii="Courier New" w:cs="Courier New" w:eastAsia="Courier New" w:hAnsi="Courier New"/>
          <w:sz w:val="18"/>
          <w:szCs w:val="18"/>
          <w:color w:val="auto"/>
        </w:rPr>
        <w:t>Item 5: 28,060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12,632,240</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12,632,240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10.938%</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#57499V224</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12,632,240</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12,632,240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10.938%</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#57499V224</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None</w:t>
      </w:r>
    </w:p>
    <w:p>
      <w:pPr>
        <w:spacing w:after="0" w:line="238" w:lineRule="auto"/>
        <w:rPr>
          <w:sz w:val="20"/>
          <w:szCs w:val="20"/>
          <w:color w:val="auto"/>
        </w:rPr>
      </w:pPr>
      <w:r>
        <w:rPr>
          <w:rFonts w:ascii="Courier New" w:cs="Courier New" w:eastAsia="Courier New" w:hAnsi="Courier New"/>
          <w:sz w:val="18"/>
          <w:szCs w:val="18"/>
          <w:color w:val="auto"/>
        </w:rPr>
        <w:t>Item 6: None</w:t>
      </w:r>
    </w:p>
    <w:p>
      <w:pPr>
        <w:spacing w:after="0"/>
        <w:rPr>
          <w:sz w:val="20"/>
          <w:szCs w:val="20"/>
          <w:color w:val="auto"/>
        </w:rPr>
      </w:pPr>
      <w:r>
        <w:rPr>
          <w:rFonts w:ascii="Courier New" w:cs="Courier New" w:eastAsia="Courier New" w:hAnsi="Courier New"/>
          <w:sz w:val="18"/>
          <w:szCs w:val="18"/>
          <w:color w:val="auto"/>
        </w:rPr>
        <w:t>Item 7: 12,632,240</w:t>
      </w:r>
    </w:p>
    <w:p>
      <w:pPr>
        <w:spacing w:after="0" w:line="237" w:lineRule="auto"/>
        <w:rPr>
          <w:sz w:val="20"/>
          <w:szCs w:val="20"/>
          <w:color w:val="auto"/>
        </w:rPr>
      </w:pPr>
      <w:r>
        <w:rPr>
          <w:rFonts w:ascii="Courier New" w:cs="Courier New" w:eastAsia="Courier New" w:hAnsi="Courier New"/>
          <w:sz w:val="18"/>
          <w:szCs w:val="18"/>
          <w:color w:val="auto"/>
        </w:rPr>
        <w:t>Item 8: None</w:t>
      </w:r>
    </w:p>
    <w:p>
      <w:pPr>
        <w:spacing w:after="0"/>
        <w:rPr>
          <w:sz w:val="20"/>
          <w:szCs w:val="20"/>
          <w:color w:val="auto"/>
        </w:rPr>
      </w:pPr>
      <w:r>
        <w:rPr>
          <w:rFonts w:ascii="Courier New" w:cs="Courier New" w:eastAsia="Courier New" w:hAnsi="Courier New"/>
          <w:sz w:val="18"/>
          <w:szCs w:val="18"/>
          <w:color w:val="auto"/>
        </w:rPr>
        <w:t>Item 9: 12,632,240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10.938%</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 - TO BE INCLUDED IN STATEMENTS</w:t>
      </w:r>
    </w:p>
    <w:p>
      <w:pPr>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4"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Richmond House 3rd Floor, PO Box</w:t>
      </w:r>
    </w:p>
    <w:p>
      <w:pPr>
        <w:spacing w:after="0" w:line="238" w:lineRule="auto"/>
        <w:rPr>
          <w:sz w:val="20"/>
          <w:szCs w:val="20"/>
          <w:color w:val="auto"/>
        </w:rPr>
      </w:pPr>
      <w:r>
        <w:rPr>
          <w:rFonts w:ascii="Courier New" w:cs="Courier New" w:eastAsia="Courier New" w:hAnsi="Courier New"/>
          <w:sz w:val="18"/>
          <w:szCs w:val="18"/>
          <w:color w:val="auto"/>
        </w:rPr>
        <w:t>HM 1022</w:t>
      </w:r>
    </w:p>
    <w:p>
      <w:pPr>
        <w:ind w:left="1700"/>
        <w:spacing w:after="0"/>
        <w:rPr>
          <w:sz w:val="20"/>
          <w:szCs w:val="20"/>
          <w:color w:val="auto"/>
        </w:rPr>
      </w:pPr>
      <w:r>
        <w:rPr>
          <w:rFonts w:ascii="Courier New" w:cs="Courier New" w:eastAsia="Courier New" w:hAnsi="Courier New"/>
          <w:sz w:val="18"/>
          <w:szCs w:val="18"/>
          <w:color w:val="auto"/>
        </w:rPr>
        <w:t>Hamilton HM DX Bermuda, D0</w:t>
      </w:r>
    </w:p>
    <w:p>
      <w:pPr>
        <w:spacing w:after="0" w:line="200"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Corp.</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57499V224</w:t>
      </w:r>
    </w:p>
    <w:p>
      <w:pPr>
        <w:sectPr>
          <w:pgSz w:w="11900" w:h="16838"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12,632,240</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10.938%</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142"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28,060</w:t>
      </w:r>
    </w:p>
    <w:p>
      <w:pPr>
        <w:spacing w:after="0" w:line="200" w:lineRule="exact"/>
        <w:rPr>
          <w:sz w:val="20"/>
          <w:szCs w:val="20"/>
          <w:color w:val="auto"/>
        </w:rPr>
      </w:pPr>
    </w:p>
    <w:p>
      <w:pPr>
        <w:sectPr>
          <w:pgSz w:w="11900" w:h="16838" w:orient="portrait"/>
          <w:cols w:equalWidth="0" w:num="2">
            <w:col w:w="1160" w:space="540"/>
            <w:col w:w="8519"/>
          </w:cols>
          <w:pgMar w:left="240" w:top="142"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12,632,240</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235" w:lineRule="auto"/>
        <w:rPr>
          <w:sz w:val="20"/>
          <w:szCs w:val="20"/>
          <w:color w:val="auto"/>
        </w:rPr>
      </w:pPr>
      <w:r>
        <w:rPr>
          <w:rFonts w:ascii="Courier New" w:cs="Courier New" w:eastAsia="Courier New" w:hAnsi="Courier New"/>
          <w:sz w:val="18"/>
          <w:szCs w:val="18"/>
          <w:color w:val="auto"/>
        </w:rPr>
        <w:t>the Common Stock of Marvell Technology Group Ltd. at August 31, 2001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September 10, 2001</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142"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SCHEDULE 13G - TO BE INCLUDED IN STATEMENTS</w:t>
      </w:r>
    </w:p>
    <w:p>
      <w:pPr>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12,561,380 shares or 10.877%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12,561,380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42,800 shares or 0.037%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42,800 shares and sole power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vote or to direct the voting of 0 shares, and no power to vote</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or to direct the voting of 42,800 shares of Common Stock</w:t>
      </w:r>
    </w:p>
    <w:p>
      <w:pPr>
        <w:spacing w:after="0" w:line="238" w:lineRule="auto"/>
        <w:rPr>
          <w:sz w:val="20"/>
          <w:szCs w:val="20"/>
          <w:color w:val="auto"/>
        </w:rPr>
      </w:pPr>
      <w:r>
        <w:rPr>
          <w:rFonts w:ascii="Courier New" w:cs="Courier New" w:eastAsia="Courier New" w:hAnsi="Courier New"/>
          <w:sz w:val="18"/>
          <w:szCs w:val="18"/>
          <w:color w:val="auto"/>
        </w:rPr>
        <w:t>owned by the institutional account(s) as reported above.</w:t>
      </w:r>
    </w:p>
    <w:p>
      <w:pPr>
        <w:spacing w:after="0" w:line="207"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8"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28,060 shares or 0.024% of the Common Stock outstanding</w:t>
      </w:r>
    </w:p>
    <w:p>
      <w:pPr>
        <w:spacing w:after="0" w:line="1"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of the Company. Additional information with respect to the beneficial ownership of Fidelity International Limited is shown on Exhibit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sectPr>
          <w:pgSz w:w="11900" w:h="16838" w:orient="portrait"/>
          <w:cols w:equalWidth="0" w:num="1">
            <w:col w:w="10219"/>
          </w:cols>
          <w:pgMar w:left="240" w:top="136" w:right="1440" w:bottom="0" w:gutter="0" w:footer="0" w:header="0"/>
        </w:sectPr>
      </w:pPr>
    </w:p>
    <w:bookmarkStart w:id="3" w:name="page4"/>
    <w:bookmarkEnd w:id="3"/>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7"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28,060 shares or 0.024% of the Common Stock outstanding of Marvell Technology Group Ltd..</w:t>
      </w:r>
    </w:p>
    <w:p>
      <w:pPr>
        <w:spacing w:after="0" w:line="39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pacing w:after="0" w:line="207"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2"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 the Company's charter or by-laws, or (v) the Company's common stock becoming eligible for termination of its registration pursuant to Section 12(g)(4) of the 1934 Act.</w:t>
      </w:r>
    </w:p>
    <w:p>
      <w:pPr>
        <w:spacing w:after="0" w:line="186"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28,060 shares.</w:t>
      </w:r>
    </w:p>
    <w:p>
      <w:pPr>
        <w:sectPr>
          <w:pgSz w:w="11900" w:h="16838" w:orient="portrait"/>
          <w:cols w:equalWidth="0" w:num="1">
            <w:col w:w="10219"/>
          </w:cols>
          <w:pgMar w:left="240" w:top="136" w:right="1440" w:bottom="0" w:gutter="0" w:footer="0" w:header="0"/>
        </w:sectPr>
      </w:pPr>
    </w:p>
    <w:bookmarkStart w:id="4" w:name="page5"/>
    <w:bookmarkEnd w:id="4"/>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779" w:firstLine="843"/>
        <w:spacing w:after="0" w:line="268" w:lineRule="auto"/>
        <w:rPr>
          <w:sz w:val="20"/>
          <w:szCs w:val="20"/>
          <w:color w:val="auto"/>
        </w:rPr>
      </w:pPr>
      <w:r>
        <w:rPr>
          <w:rFonts w:ascii="Courier New" w:cs="Courier New" w:eastAsia="Courier New" w:hAnsi="Courier New"/>
          <w:sz w:val="16"/>
          <w:szCs w:val="16"/>
          <w:color w:val="auto"/>
        </w:rPr>
        <w:t>The undersigned persons, on September 10, 2001, agree and consent to the joint filing on their behalf of this</w:t>
      </w:r>
    </w:p>
    <w:tbl>
      <w:tblPr>
        <w:tblLayout w:type="fixed"/>
        <w:tblInd w:w="0" w:type="dxa"/>
        <w:tblCellMar>
          <w:top w:w="0" w:type="dxa"/>
          <w:left w:w="0" w:type="dxa"/>
          <w:bottom w:w="0" w:type="dxa"/>
          <w:right w:w="0" w:type="dxa"/>
        </w:tblCellMar>
      </w:tblPr>
      <w:tr>
        <w:trPr>
          <w:trHeight w:val="199"/>
        </w:trPr>
        <w:tc>
          <w:tcPr>
            <w:tcW w:w="1320" w:type="dxa"/>
            <w:vAlign w:val="bottom"/>
            <w:gridSpan w:val="2"/>
          </w:tcPr>
          <w:p>
            <w:pPr>
              <w:spacing w:after="0" w:line="198" w:lineRule="exact"/>
              <w:rPr>
                <w:sz w:val="20"/>
                <w:szCs w:val="20"/>
                <w:color w:val="auto"/>
              </w:rPr>
            </w:pPr>
            <w:r>
              <w:rPr>
                <w:rFonts w:ascii="Courier New" w:cs="Courier New" w:eastAsia="Courier New" w:hAnsi="Courier New"/>
                <w:sz w:val="18"/>
                <w:szCs w:val="18"/>
                <w:color w:val="auto"/>
              </w:rPr>
              <w:t>Schedule 13G</w:t>
            </w:r>
          </w:p>
        </w:tc>
        <w:tc>
          <w:tcPr>
            <w:tcW w:w="5120" w:type="dxa"/>
            <w:vAlign w:val="bottom"/>
          </w:tcPr>
          <w:p>
            <w:pPr>
              <w:ind w:left="60"/>
              <w:spacing w:after="0" w:line="198" w:lineRule="exact"/>
              <w:rPr>
                <w:sz w:val="20"/>
                <w:szCs w:val="20"/>
                <w:color w:val="auto"/>
              </w:rPr>
            </w:pPr>
            <w:r>
              <w:rPr>
                <w:rFonts w:ascii="Courier New" w:cs="Courier New" w:eastAsia="Courier New" w:hAnsi="Courier New"/>
                <w:sz w:val="18"/>
                <w:szCs w:val="18"/>
                <w:color w:val="auto"/>
                <w:w w:val="97"/>
              </w:rPr>
              <w:t>in connection with their beneficial ownership of</w:t>
            </w:r>
          </w:p>
        </w:tc>
      </w:tr>
      <w:tr>
        <w:trPr>
          <w:trHeight w:val="203"/>
        </w:trPr>
        <w:tc>
          <w:tcPr>
            <w:tcW w:w="1120" w:type="dxa"/>
            <w:vAlign w:val="bottom"/>
          </w:tcPr>
          <w:p>
            <w:pPr>
              <w:spacing w:after="0" w:line="203" w:lineRule="exact"/>
              <w:rPr>
                <w:sz w:val="20"/>
                <w:szCs w:val="20"/>
                <w:color w:val="auto"/>
              </w:rPr>
            </w:pPr>
            <w:r>
              <w:rPr>
                <w:rFonts w:ascii="Courier New" w:cs="Courier New" w:eastAsia="Courier New" w:hAnsi="Courier New"/>
                <w:sz w:val="18"/>
                <w:szCs w:val="18"/>
                <w:color w:val="auto"/>
              </w:rPr>
              <w:t>the Common</w:t>
            </w:r>
          </w:p>
        </w:tc>
        <w:tc>
          <w:tcPr>
            <w:tcW w:w="5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Stock of Marvell Technology Group Ltd. at</w:t>
            </w:r>
          </w:p>
        </w:tc>
      </w:tr>
      <w:tr>
        <w:trPr>
          <w:trHeight w:val="203"/>
        </w:trPr>
        <w:tc>
          <w:tcPr>
            <w:tcW w:w="1120" w:type="dxa"/>
            <w:vAlign w:val="bottom"/>
          </w:tcPr>
          <w:p>
            <w:pPr>
              <w:spacing w:after="0" w:line="203" w:lineRule="exact"/>
              <w:rPr>
                <w:sz w:val="20"/>
                <w:szCs w:val="20"/>
                <w:color w:val="auto"/>
              </w:rPr>
            </w:pPr>
            <w:r>
              <w:rPr>
                <w:rFonts w:ascii="Courier New" w:cs="Courier New" w:eastAsia="Courier New" w:hAnsi="Courier New"/>
                <w:sz w:val="18"/>
                <w:szCs w:val="18"/>
                <w:color w:val="auto"/>
              </w:rPr>
              <w:t>August 31,</w:t>
            </w:r>
          </w:p>
        </w:tc>
        <w:tc>
          <w:tcPr>
            <w:tcW w:w="5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2001.</w:t>
            </w:r>
          </w:p>
        </w:tc>
      </w:tr>
      <w:tr>
        <w:trPr>
          <w:trHeight w:val="405"/>
        </w:trPr>
        <w:tc>
          <w:tcPr>
            <w:tcW w:w="6440" w:type="dxa"/>
            <w:vAlign w:val="bottom"/>
            <w:gridSpan w:val="3"/>
          </w:tcPr>
          <w:p>
            <w:pPr>
              <w:ind w:left="860"/>
              <w:spacing w:after="0"/>
              <w:rPr>
                <w:sz w:val="20"/>
                <w:szCs w:val="20"/>
                <w:color w:val="auto"/>
              </w:rPr>
            </w:pPr>
            <w:r>
              <w:rPr>
                <w:rFonts w:ascii="Courier New" w:cs="Courier New" w:eastAsia="Courier New" w:hAnsi="Courier New"/>
                <w:sz w:val="18"/>
                <w:szCs w:val="18"/>
                <w:color w:val="auto"/>
              </w:rPr>
              <w:t>FMR Corp.</w:t>
            </w:r>
          </w:p>
        </w:tc>
      </w:tr>
      <w:tr>
        <w:trPr>
          <w:trHeight w:val="405"/>
        </w:trPr>
        <w:tc>
          <w:tcPr>
            <w:tcW w:w="1120" w:type="dxa"/>
            <w:vAlign w:val="bottom"/>
          </w:tcPr>
          <w:p>
            <w:pPr>
              <w:ind w:left="860"/>
              <w:spacing w:after="0"/>
              <w:rPr>
                <w:sz w:val="20"/>
                <w:szCs w:val="20"/>
                <w:color w:val="auto"/>
              </w:rPr>
            </w:pPr>
            <w:r>
              <w:rPr>
                <w:rFonts w:ascii="Courier New" w:cs="Courier New" w:eastAsia="Courier New" w:hAnsi="Courier New"/>
                <w:sz w:val="18"/>
                <w:szCs w:val="18"/>
                <w:color w:val="auto"/>
              </w:rPr>
              <w:t>By</w:t>
            </w:r>
          </w:p>
        </w:tc>
        <w:tc>
          <w:tcPr>
            <w:tcW w:w="200" w:type="dxa"/>
            <w:vAlign w:val="bottom"/>
          </w:tcPr>
          <w:p>
            <w:pPr>
              <w:spacing w:after="0"/>
              <w:rPr>
                <w:sz w:val="24"/>
                <w:szCs w:val="24"/>
                <w:color w:val="auto"/>
              </w:rPr>
            </w:pP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/s/Eric 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Eric</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Duly</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authorized under Power of Attorney</w:t>
            </w:r>
          </w:p>
        </w:tc>
      </w:tr>
      <w:tr>
        <w:trPr>
          <w:trHeight w:val="203"/>
        </w:trPr>
        <w:tc>
          <w:tcPr>
            <w:tcW w:w="6440" w:type="dxa"/>
            <w:vAlign w:val="bottom"/>
            <w:gridSpan w:val="3"/>
          </w:tcPr>
          <w:p>
            <w:pPr>
              <w:ind w:left="860"/>
              <w:spacing w:after="0" w:line="203" w:lineRule="exact"/>
              <w:rPr>
                <w:sz w:val="20"/>
                <w:szCs w:val="20"/>
                <w:color w:val="auto"/>
              </w:rPr>
            </w:pPr>
            <w:r>
              <w:rPr>
                <w:rFonts w:ascii="Courier New" w:cs="Courier New" w:eastAsia="Courier New" w:hAnsi="Courier New"/>
                <w:sz w:val="18"/>
                <w:szCs w:val="18"/>
                <w:color w:val="auto"/>
              </w:rPr>
              <w:t>dated December 30, 1997, by and on behalf</w:t>
            </w:r>
          </w:p>
        </w:tc>
      </w:tr>
      <w:tr>
        <w:trPr>
          <w:trHeight w:val="203"/>
        </w:trPr>
        <w:tc>
          <w:tcPr>
            <w:tcW w:w="1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of</w:t>
            </w:r>
          </w:p>
        </w:tc>
        <w:tc>
          <w:tcPr>
            <w:tcW w:w="5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FMR Corp. and its direct and indirect</w:t>
            </w:r>
          </w:p>
        </w:tc>
      </w:tr>
      <w:tr>
        <w:trPr>
          <w:trHeight w:val="203"/>
        </w:trPr>
        <w:tc>
          <w:tcPr>
            <w:tcW w:w="6440" w:type="dxa"/>
            <w:vAlign w:val="bottom"/>
            <w:gridSpan w:val="3"/>
          </w:tcPr>
          <w:p>
            <w:pPr>
              <w:ind w:left="860"/>
              <w:spacing w:after="0" w:line="203" w:lineRule="exact"/>
              <w:rPr>
                <w:sz w:val="20"/>
                <w:szCs w:val="20"/>
                <w:color w:val="auto"/>
              </w:rPr>
            </w:pPr>
            <w:r>
              <w:rPr>
                <w:rFonts w:ascii="Courier New" w:cs="Courier New" w:eastAsia="Courier New" w:hAnsi="Courier New"/>
                <w:sz w:val="18"/>
                <w:szCs w:val="18"/>
                <w:color w:val="auto"/>
              </w:rPr>
              <w:t>subsidiaries</w:t>
            </w:r>
          </w:p>
        </w:tc>
      </w:tr>
      <w:tr>
        <w:trPr>
          <w:trHeight w:val="405"/>
        </w:trPr>
        <w:tc>
          <w:tcPr>
            <w:tcW w:w="6440" w:type="dxa"/>
            <w:vAlign w:val="bottom"/>
            <w:gridSpan w:val="3"/>
          </w:tcPr>
          <w:p>
            <w:pPr>
              <w:ind w:left="860"/>
              <w:spacing w:after="0"/>
              <w:rPr>
                <w:sz w:val="20"/>
                <w:szCs w:val="20"/>
                <w:color w:val="auto"/>
              </w:rPr>
            </w:pPr>
            <w:r>
              <w:rPr>
                <w:rFonts w:ascii="Courier New" w:cs="Courier New" w:eastAsia="Courier New" w:hAnsi="Courier New"/>
                <w:sz w:val="18"/>
                <w:szCs w:val="18"/>
                <w:color w:val="auto"/>
              </w:rPr>
              <w:t>Edward C. Johnson 3d</w:t>
            </w:r>
          </w:p>
        </w:tc>
      </w:tr>
      <w:tr>
        <w:trPr>
          <w:trHeight w:val="405"/>
        </w:trPr>
        <w:tc>
          <w:tcPr>
            <w:tcW w:w="1120" w:type="dxa"/>
            <w:vAlign w:val="bottom"/>
          </w:tcPr>
          <w:p>
            <w:pPr>
              <w:ind w:left="860"/>
              <w:spacing w:after="0"/>
              <w:rPr>
                <w:sz w:val="20"/>
                <w:szCs w:val="20"/>
                <w:color w:val="auto"/>
              </w:rPr>
            </w:pPr>
            <w:r>
              <w:rPr>
                <w:rFonts w:ascii="Courier New" w:cs="Courier New" w:eastAsia="Courier New" w:hAnsi="Courier New"/>
                <w:sz w:val="18"/>
                <w:szCs w:val="18"/>
                <w:color w:val="auto"/>
              </w:rPr>
              <w:t>By</w:t>
            </w:r>
          </w:p>
        </w:tc>
        <w:tc>
          <w:tcPr>
            <w:tcW w:w="200" w:type="dxa"/>
            <w:vAlign w:val="bottom"/>
          </w:tcPr>
          <w:p>
            <w:pPr>
              <w:spacing w:after="0"/>
              <w:rPr>
                <w:sz w:val="24"/>
                <w:szCs w:val="24"/>
                <w:color w:val="auto"/>
              </w:rPr>
            </w:pP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/s/Eric 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Eric</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Duly</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authorized under Power of Attorney</w:t>
            </w:r>
          </w:p>
        </w:tc>
      </w:tr>
      <w:tr>
        <w:trPr>
          <w:trHeight w:val="203"/>
        </w:trPr>
        <w:tc>
          <w:tcPr>
            <w:tcW w:w="6440" w:type="dxa"/>
            <w:vAlign w:val="bottom"/>
            <w:gridSpan w:val="3"/>
          </w:tcPr>
          <w:p>
            <w:pPr>
              <w:ind w:left="860"/>
              <w:spacing w:after="0" w:line="203" w:lineRule="exact"/>
              <w:rPr>
                <w:sz w:val="20"/>
                <w:szCs w:val="20"/>
                <w:color w:val="auto"/>
              </w:rPr>
            </w:pPr>
            <w:r>
              <w:rPr>
                <w:rFonts w:ascii="Courier New" w:cs="Courier New" w:eastAsia="Courier New" w:hAnsi="Courier New"/>
                <w:sz w:val="18"/>
                <w:szCs w:val="18"/>
                <w:color w:val="auto"/>
              </w:rPr>
              <w:t>dated December 30, 1997, by and on behalf</w:t>
            </w:r>
          </w:p>
        </w:tc>
      </w:tr>
      <w:tr>
        <w:trPr>
          <w:trHeight w:val="203"/>
        </w:trPr>
        <w:tc>
          <w:tcPr>
            <w:tcW w:w="1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of</w:t>
            </w:r>
          </w:p>
        </w:tc>
        <w:tc>
          <w:tcPr>
            <w:tcW w:w="5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Edward C. Johnson 3d</w:t>
            </w:r>
          </w:p>
        </w:tc>
      </w:tr>
      <w:tr>
        <w:trPr>
          <w:trHeight w:val="405"/>
        </w:trPr>
        <w:tc>
          <w:tcPr>
            <w:tcW w:w="6440" w:type="dxa"/>
            <w:vAlign w:val="bottom"/>
            <w:gridSpan w:val="3"/>
          </w:tcPr>
          <w:p>
            <w:pPr>
              <w:ind w:left="860"/>
              <w:spacing w:after="0"/>
              <w:rPr>
                <w:sz w:val="20"/>
                <w:szCs w:val="20"/>
                <w:color w:val="auto"/>
              </w:rPr>
            </w:pPr>
            <w:r>
              <w:rPr>
                <w:rFonts w:ascii="Courier New" w:cs="Courier New" w:eastAsia="Courier New" w:hAnsi="Courier New"/>
                <w:sz w:val="18"/>
                <w:szCs w:val="18"/>
                <w:color w:val="auto"/>
              </w:rPr>
              <w:t>Abigail P. Johnson</w:t>
            </w:r>
          </w:p>
        </w:tc>
      </w:tr>
      <w:tr>
        <w:trPr>
          <w:trHeight w:val="405"/>
        </w:trPr>
        <w:tc>
          <w:tcPr>
            <w:tcW w:w="1120" w:type="dxa"/>
            <w:vAlign w:val="bottom"/>
          </w:tcPr>
          <w:p>
            <w:pPr>
              <w:ind w:left="860"/>
              <w:spacing w:after="0"/>
              <w:rPr>
                <w:sz w:val="20"/>
                <w:szCs w:val="20"/>
                <w:color w:val="auto"/>
              </w:rPr>
            </w:pPr>
            <w:r>
              <w:rPr>
                <w:rFonts w:ascii="Courier New" w:cs="Courier New" w:eastAsia="Courier New" w:hAnsi="Courier New"/>
                <w:sz w:val="18"/>
                <w:szCs w:val="18"/>
                <w:color w:val="auto"/>
              </w:rPr>
              <w:t>By</w:t>
            </w:r>
          </w:p>
        </w:tc>
        <w:tc>
          <w:tcPr>
            <w:tcW w:w="200" w:type="dxa"/>
            <w:vAlign w:val="bottom"/>
          </w:tcPr>
          <w:p>
            <w:pPr>
              <w:spacing w:after="0"/>
              <w:rPr>
                <w:sz w:val="24"/>
                <w:szCs w:val="24"/>
                <w:color w:val="auto"/>
              </w:rPr>
            </w:pP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/s/Eric 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Eric</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Duly</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authorized under Power of Attorney</w:t>
            </w:r>
          </w:p>
        </w:tc>
      </w:tr>
      <w:tr>
        <w:trPr>
          <w:trHeight w:val="203"/>
        </w:trPr>
        <w:tc>
          <w:tcPr>
            <w:tcW w:w="6440" w:type="dxa"/>
            <w:vAlign w:val="bottom"/>
            <w:gridSpan w:val="3"/>
          </w:tcPr>
          <w:p>
            <w:pPr>
              <w:ind w:left="860"/>
              <w:spacing w:after="0" w:line="203" w:lineRule="exact"/>
              <w:rPr>
                <w:sz w:val="20"/>
                <w:szCs w:val="20"/>
                <w:color w:val="auto"/>
              </w:rPr>
            </w:pPr>
            <w:r>
              <w:rPr>
                <w:rFonts w:ascii="Courier New" w:cs="Courier New" w:eastAsia="Courier New" w:hAnsi="Courier New"/>
                <w:sz w:val="18"/>
                <w:szCs w:val="18"/>
                <w:color w:val="auto"/>
              </w:rPr>
              <w:t>dated December 30, 1997, by and on behalf</w:t>
            </w:r>
          </w:p>
        </w:tc>
      </w:tr>
      <w:tr>
        <w:trPr>
          <w:trHeight w:val="203"/>
        </w:trPr>
        <w:tc>
          <w:tcPr>
            <w:tcW w:w="1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of</w:t>
            </w:r>
          </w:p>
        </w:tc>
        <w:tc>
          <w:tcPr>
            <w:tcW w:w="5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Abigail P. Johnson</w:t>
            </w:r>
          </w:p>
        </w:tc>
      </w:tr>
      <w:tr>
        <w:trPr>
          <w:trHeight w:val="405"/>
        </w:trPr>
        <w:tc>
          <w:tcPr>
            <w:tcW w:w="6440" w:type="dxa"/>
            <w:vAlign w:val="bottom"/>
            <w:gridSpan w:val="3"/>
          </w:tcPr>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tc>
      </w:tr>
      <w:tr>
        <w:trPr>
          <w:trHeight w:val="405"/>
        </w:trPr>
        <w:tc>
          <w:tcPr>
            <w:tcW w:w="1120" w:type="dxa"/>
            <w:vAlign w:val="bottom"/>
          </w:tcPr>
          <w:p>
            <w:pPr>
              <w:ind w:left="860"/>
              <w:spacing w:after="0"/>
              <w:rPr>
                <w:sz w:val="20"/>
                <w:szCs w:val="20"/>
                <w:color w:val="auto"/>
              </w:rPr>
            </w:pPr>
            <w:r>
              <w:rPr>
                <w:rFonts w:ascii="Courier New" w:cs="Courier New" w:eastAsia="Courier New" w:hAnsi="Courier New"/>
                <w:sz w:val="18"/>
                <w:szCs w:val="18"/>
                <w:color w:val="auto"/>
              </w:rPr>
              <w:t>By</w:t>
            </w:r>
          </w:p>
        </w:tc>
        <w:tc>
          <w:tcPr>
            <w:tcW w:w="200" w:type="dxa"/>
            <w:vAlign w:val="bottom"/>
          </w:tcPr>
          <w:p>
            <w:pPr>
              <w:spacing w:after="0"/>
              <w:rPr>
                <w:sz w:val="24"/>
                <w:szCs w:val="24"/>
                <w:color w:val="auto"/>
              </w:rPr>
            </w:pPr>
          </w:p>
        </w:tc>
        <w:tc>
          <w:tcPr>
            <w:tcW w:w="5120" w:type="dxa"/>
            <w:vAlign w:val="bottom"/>
          </w:tcPr>
          <w:p>
            <w:pPr>
              <w:ind w:left="60"/>
              <w:spacing w:after="0"/>
              <w:rPr>
                <w:sz w:val="20"/>
                <w:szCs w:val="20"/>
                <w:color w:val="auto"/>
              </w:rPr>
            </w:pPr>
            <w:r>
              <w:rPr>
                <w:rFonts w:ascii="Courier New" w:cs="Courier New" w:eastAsia="Courier New" w:hAnsi="Courier New"/>
                <w:sz w:val="18"/>
                <w:szCs w:val="18"/>
                <w:color w:val="auto"/>
              </w:rPr>
              <w:t>/s/Eric D. Roiter</w:t>
            </w:r>
          </w:p>
        </w:tc>
      </w:tr>
      <w:tr>
        <w:trPr>
          <w:trHeight w:val="203"/>
        </w:trPr>
        <w:tc>
          <w:tcPr>
            <w:tcW w:w="1320" w:type="dxa"/>
            <w:vAlign w:val="bottom"/>
            <w:gridSpan w:val="2"/>
          </w:tcPr>
          <w:p>
            <w:pPr>
              <w:ind w:left="860"/>
              <w:spacing w:after="0" w:line="203" w:lineRule="exact"/>
              <w:rPr>
                <w:sz w:val="20"/>
                <w:szCs w:val="20"/>
                <w:color w:val="auto"/>
              </w:rPr>
            </w:pPr>
            <w:r>
              <w:rPr>
                <w:rFonts w:ascii="Courier New" w:cs="Courier New" w:eastAsia="Courier New" w:hAnsi="Courier New"/>
                <w:sz w:val="18"/>
                <w:szCs w:val="18"/>
                <w:color w:val="auto"/>
              </w:rPr>
              <w:t>Eric</w:t>
            </w:r>
          </w:p>
        </w:tc>
        <w:tc>
          <w:tcPr>
            <w:tcW w:w="5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 Roiter</w:t>
            </w:r>
          </w:p>
        </w:tc>
      </w:tr>
    </w:tbl>
    <w:p>
      <w:pPr>
        <w:ind w:left="860"/>
        <w:spacing w:after="0" w:line="238" w:lineRule="auto"/>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2019-12-14T19:02:11Z</dcterms:created>
  <dcterms:modified xsi:type="dcterms:W3CDTF">2019-12-14T19:02:11Z</dcterms:modified>
</cp:coreProperties>
</file>