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252" w:lineRule="exact"/>
        <w:rPr>
          <w:sz w:val="20"/>
          <w:szCs w:val="20"/>
          <w:color w:val="auto"/>
        </w:rPr>
      </w:pPr>
    </w:p>
    <w:p>
      <w:pPr>
        <w:jc w:val="center"/>
        <w:ind w:right="-159"/>
        <w:spacing w:after="0"/>
        <w:rPr>
          <w:sz w:val="20"/>
          <w:szCs w:val="20"/>
          <w:color w:val="auto"/>
        </w:rPr>
      </w:pPr>
      <w:r>
        <w:rPr>
          <w:rFonts w:ascii="Arial" w:cs="Arial" w:eastAsia="Arial" w:hAnsi="Arial"/>
          <w:sz w:val="32"/>
          <w:szCs w:val="32"/>
          <w:b w:val="1"/>
          <w:bCs w:val="1"/>
          <w:color w:val="auto"/>
        </w:rPr>
        <w:t>SECURITIES AND EXCHANGE COMMISSION</w:t>
      </w:r>
    </w:p>
    <w:p>
      <w:pPr>
        <w:spacing w:after="0" w:line="226" w:lineRule="exact"/>
        <w:rPr>
          <w:sz w:val="20"/>
          <w:szCs w:val="20"/>
          <w:color w:val="auto"/>
        </w:rPr>
      </w:pPr>
    </w:p>
    <w:p>
      <w:pPr>
        <w:jc w:val="center"/>
        <w:ind w:right="-159"/>
        <w:spacing w:after="0"/>
        <w:rPr>
          <w:sz w:val="20"/>
          <w:szCs w:val="20"/>
          <w:color w:val="auto"/>
        </w:rPr>
      </w:pPr>
      <w:r>
        <w:rPr>
          <w:rFonts w:ascii="Arial" w:cs="Arial" w:eastAsia="Arial" w:hAnsi="Arial"/>
          <w:sz w:val="22"/>
          <w:szCs w:val="22"/>
          <w:b w:val="1"/>
          <w:bCs w:val="1"/>
          <w:color w:val="auto"/>
        </w:rPr>
        <w:t>Washington, D.C. 20549</w:t>
      </w:r>
    </w:p>
    <w:p>
      <w:pPr>
        <w:spacing w:after="0" w:line="192" w:lineRule="exact"/>
        <w:rPr>
          <w:sz w:val="20"/>
          <w:szCs w:val="20"/>
          <w:color w:val="auto"/>
        </w:rPr>
      </w:pPr>
    </w:p>
    <w:p>
      <w:pPr>
        <w:jc w:val="center"/>
        <w:ind w:right="-1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0"/>
          <w:szCs w:val="20"/>
          <w:color w:val="auto"/>
        </w:rPr>
      </w:pPr>
    </w:p>
    <w:p>
      <w:pPr>
        <w:jc w:val="center"/>
        <w:ind w:right="-159"/>
        <w:spacing w:after="0"/>
        <w:rPr>
          <w:sz w:val="20"/>
          <w:szCs w:val="20"/>
          <w:color w:val="auto"/>
        </w:rPr>
      </w:pPr>
      <w:r>
        <w:rPr>
          <w:rFonts w:ascii="Arial" w:cs="Arial" w:eastAsia="Arial" w:hAnsi="Arial"/>
          <w:sz w:val="22"/>
          <w:szCs w:val="22"/>
          <w:b w:val="1"/>
          <w:bCs w:val="1"/>
          <w:color w:val="auto"/>
        </w:rPr>
        <w:t>CURRENT REPORT</w:t>
      </w:r>
    </w:p>
    <w:p>
      <w:pPr>
        <w:spacing w:after="0" w:line="200" w:lineRule="exact"/>
        <w:rPr>
          <w:sz w:val="20"/>
          <w:szCs w:val="20"/>
          <w:color w:val="auto"/>
        </w:rPr>
      </w:pPr>
    </w:p>
    <w:p>
      <w:pPr>
        <w:spacing w:after="0" w:line="200" w:lineRule="exact"/>
        <w:rPr>
          <w:sz w:val="20"/>
          <w:szCs w:val="20"/>
          <w:color w:val="auto"/>
        </w:rPr>
      </w:pPr>
    </w:p>
    <w:p>
      <w:pPr>
        <w:spacing w:after="0" w:line="319" w:lineRule="exact"/>
        <w:rPr>
          <w:sz w:val="20"/>
          <w:szCs w:val="20"/>
          <w:color w:val="auto"/>
        </w:rPr>
      </w:pPr>
    </w:p>
    <w:p>
      <w:pPr>
        <w:jc w:val="center"/>
        <w:ind w:right="-159"/>
        <w:spacing w:after="0"/>
        <w:rPr>
          <w:sz w:val="20"/>
          <w:szCs w:val="20"/>
          <w:color w:val="auto"/>
        </w:rPr>
      </w:pPr>
      <w:r>
        <w:rPr>
          <w:rFonts w:ascii="Arial" w:cs="Arial" w:eastAsia="Arial" w:hAnsi="Arial"/>
          <w:sz w:val="22"/>
          <w:szCs w:val="22"/>
          <w:b w:val="1"/>
          <w:bCs w:val="1"/>
          <w:color w:val="auto"/>
        </w:rPr>
        <w:t>PURSUANT TO SECTION 13 OR 15(d) OF</w:t>
      </w:r>
    </w:p>
    <w:p>
      <w:pPr>
        <w:spacing w:after="0" w:line="14" w:lineRule="exact"/>
        <w:rPr>
          <w:sz w:val="20"/>
          <w:szCs w:val="20"/>
          <w:color w:val="auto"/>
        </w:rPr>
      </w:pPr>
    </w:p>
    <w:p>
      <w:pPr>
        <w:jc w:val="center"/>
        <w:ind w:right="-159"/>
        <w:spacing w:after="0"/>
        <w:rPr>
          <w:sz w:val="20"/>
          <w:szCs w:val="20"/>
          <w:color w:val="auto"/>
        </w:rPr>
      </w:pPr>
      <w:r>
        <w:rPr>
          <w:rFonts w:ascii="Arial" w:cs="Arial" w:eastAsia="Arial" w:hAnsi="Arial"/>
          <w:sz w:val="22"/>
          <w:szCs w:val="22"/>
          <w:b w:val="1"/>
          <w:bCs w:val="1"/>
          <w:color w:val="auto"/>
        </w:rPr>
        <w:t>THE SECURITIES EXCHANGE ACT OF 1934</w:t>
      </w:r>
    </w:p>
    <w:p>
      <w:pPr>
        <w:spacing w:after="0" w:line="200" w:lineRule="exact"/>
        <w:rPr>
          <w:sz w:val="20"/>
          <w:szCs w:val="20"/>
          <w:color w:val="auto"/>
        </w:rPr>
      </w:pPr>
    </w:p>
    <w:p>
      <w:pPr>
        <w:spacing w:after="0" w:line="252" w:lineRule="exact"/>
        <w:rPr>
          <w:sz w:val="20"/>
          <w:szCs w:val="20"/>
          <w:color w:val="auto"/>
        </w:rPr>
      </w:pPr>
    </w:p>
    <w:p>
      <w:pPr>
        <w:jc w:val="center"/>
        <w:ind w:right="-159"/>
        <w:spacing w:after="0"/>
        <w:rPr>
          <w:sz w:val="20"/>
          <w:szCs w:val="20"/>
          <w:color w:val="auto"/>
        </w:rPr>
      </w:pPr>
      <w:r>
        <w:rPr>
          <w:rFonts w:ascii="Arial" w:cs="Arial" w:eastAsia="Arial" w:hAnsi="Arial"/>
          <w:sz w:val="22"/>
          <w:szCs w:val="22"/>
          <w:b w:val="1"/>
          <w:bCs w:val="1"/>
          <w:color w:val="auto"/>
        </w:rPr>
        <w:t>November 15, 2001 (November 15, 2001)</w:t>
      </w:r>
    </w:p>
    <w:p>
      <w:pPr>
        <w:spacing w:after="0" w:line="14" w:lineRule="exact"/>
        <w:rPr>
          <w:sz w:val="20"/>
          <w:szCs w:val="20"/>
          <w:color w:val="auto"/>
        </w:rPr>
      </w:pPr>
    </w:p>
    <w:p>
      <w:pPr>
        <w:jc w:val="center"/>
        <w:ind w:right="-159"/>
        <w:spacing w:after="0"/>
        <w:rPr>
          <w:sz w:val="20"/>
          <w:szCs w:val="20"/>
          <w:color w:val="auto"/>
        </w:rPr>
      </w:pPr>
      <w:r>
        <w:rPr>
          <w:rFonts w:ascii="Arial" w:cs="Arial" w:eastAsia="Arial" w:hAnsi="Arial"/>
          <w:sz w:val="22"/>
          <w:szCs w:val="22"/>
          <w:b w:val="1"/>
          <w:bCs w:val="1"/>
          <w:color w:val="auto"/>
        </w:rPr>
        <w:t>Date of report (Date of earliest event reported)</w:t>
      </w:r>
    </w:p>
    <w:p>
      <w:pPr>
        <w:spacing w:after="0" w:line="200" w:lineRule="exact"/>
        <w:rPr>
          <w:sz w:val="20"/>
          <w:szCs w:val="20"/>
          <w:color w:val="auto"/>
        </w:rPr>
      </w:pPr>
    </w:p>
    <w:p>
      <w:pPr>
        <w:spacing w:after="0" w:line="239" w:lineRule="exact"/>
        <w:rPr>
          <w:sz w:val="20"/>
          <w:szCs w:val="20"/>
          <w:color w:val="auto"/>
        </w:rPr>
      </w:pPr>
    </w:p>
    <w:p>
      <w:pPr>
        <w:jc w:val="center"/>
        <w:ind w:right="-159"/>
        <w:spacing w:after="0"/>
        <w:rPr>
          <w:sz w:val="20"/>
          <w:szCs w:val="20"/>
          <w:color w:val="auto"/>
        </w:rPr>
      </w:pPr>
      <w:r>
        <w:rPr>
          <w:rFonts w:ascii="Arial" w:cs="Arial" w:eastAsia="Arial" w:hAnsi="Arial"/>
          <w:sz w:val="32"/>
          <w:szCs w:val="32"/>
          <w:b w:val="1"/>
          <w:bCs w:val="1"/>
          <w:color w:val="auto"/>
        </w:rPr>
        <w:t>MARVELL TECHNOLOGY GROUP LTD.</w:t>
      </w:r>
    </w:p>
    <w:p>
      <w:pPr>
        <w:spacing w:after="0" w:line="226" w:lineRule="exact"/>
        <w:rPr>
          <w:sz w:val="20"/>
          <w:szCs w:val="20"/>
          <w:color w:val="auto"/>
        </w:rPr>
      </w:pPr>
    </w:p>
    <w:p>
      <w:pPr>
        <w:jc w:val="center"/>
        <w:ind w:right="-159"/>
        <w:spacing w:after="0"/>
        <w:rPr>
          <w:sz w:val="20"/>
          <w:szCs w:val="20"/>
          <w:color w:val="auto"/>
        </w:rPr>
      </w:pPr>
      <w:r>
        <w:rPr>
          <w:rFonts w:ascii="Arial" w:cs="Arial" w:eastAsia="Arial" w:hAnsi="Arial"/>
          <w:sz w:val="22"/>
          <w:szCs w:val="22"/>
          <w:b w:val="1"/>
          <w:bCs w:val="1"/>
          <w:color w:val="auto"/>
        </w:rPr>
        <w:t>(Exact name of registrant as specified in its charter)</w:t>
      </w:r>
    </w:p>
    <w:p>
      <w:pPr>
        <w:sectPr>
          <w:pgSz w:w="11900" w:h="16838" w:orient="portrait"/>
          <w:cols w:equalWidth="0" w:num="1">
            <w:col w:w="11260"/>
          </w:cols>
          <w:pgMar w:left="240" w:top="122" w:right="399" w:bottom="1440" w:gutter="0" w:footer="0" w:header="0"/>
        </w:sectPr>
      </w:pPr>
    </w:p>
    <w:p>
      <w:pPr>
        <w:spacing w:after="0" w:line="233" w:lineRule="exact"/>
        <w:rPr>
          <w:sz w:val="20"/>
          <w:szCs w:val="20"/>
          <w:color w:val="auto"/>
        </w:rPr>
      </w:pPr>
    </w:p>
    <w:p>
      <w:pPr>
        <w:jc w:val="center"/>
        <w:ind w:right="100"/>
        <w:spacing w:after="0"/>
        <w:rPr>
          <w:sz w:val="20"/>
          <w:szCs w:val="20"/>
          <w:color w:val="auto"/>
        </w:rPr>
      </w:pPr>
      <w:r>
        <w:rPr>
          <w:rFonts w:ascii="Arial" w:cs="Arial" w:eastAsia="Arial" w:hAnsi="Arial"/>
          <w:sz w:val="22"/>
          <w:szCs w:val="22"/>
          <w:b w:val="1"/>
          <w:bCs w:val="1"/>
          <w:color w:val="auto"/>
        </w:rPr>
        <w:t>Bermuda</w:t>
      </w:r>
    </w:p>
    <w:p>
      <w:pPr>
        <w:spacing w:after="0" w:line="14" w:lineRule="exact"/>
        <w:rPr>
          <w:sz w:val="20"/>
          <w:szCs w:val="20"/>
          <w:color w:val="auto"/>
        </w:rPr>
      </w:pPr>
    </w:p>
    <w:p>
      <w:pPr>
        <w:jc w:val="center"/>
        <w:ind w:right="100"/>
        <w:spacing w:after="0"/>
        <w:rPr>
          <w:sz w:val="20"/>
          <w:szCs w:val="20"/>
          <w:color w:val="auto"/>
        </w:rPr>
      </w:pPr>
      <w:r>
        <w:rPr>
          <w:rFonts w:ascii="Arial" w:cs="Arial" w:eastAsia="Arial" w:hAnsi="Arial"/>
          <w:sz w:val="19"/>
          <w:szCs w:val="19"/>
          <w:b w:val="1"/>
          <w:bCs w:val="1"/>
          <w:color w:val="auto"/>
        </w:rPr>
        <w:t>(State or other jurisdiction of</w:t>
      </w:r>
    </w:p>
    <w:p>
      <w:pPr>
        <w:spacing w:after="0" w:line="20" w:lineRule="exact"/>
        <w:rPr>
          <w:sz w:val="20"/>
          <w:szCs w:val="20"/>
          <w:color w:val="auto"/>
        </w:rPr>
      </w:pPr>
      <w:r>
        <w:rPr>
          <w:sz w:val="20"/>
          <w:szCs w:val="20"/>
          <w:color w:val="auto"/>
        </w:rPr>
        <w:br w:type="column"/>
      </w:r>
    </w:p>
    <w:p>
      <w:pPr>
        <w:spacing w:after="0" w:line="213" w:lineRule="exact"/>
        <w:rPr>
          <w:sz w:val="20"/>
          <w:szCs w:val="20"/>
          <w:color w:val="auto"/>
        </w:rPr>
      </w:pPr>
    </w:p>
    <w:p>
      <w:pPr>
        <w:jc w:val="center"/>
        <w:ind w:right="240"/>
        <w:spacing w:after="0"/>
        <w:rPr>
          <w:sz w:val="20"/>
          <w:szCs w:val="20"/>
          <w:color w:val="auto"/>
        </w:rPr>
      </w:pPr>
      <w:r>
        <w:rPr>
          <w:rFonts w:ascii="Arial" w:cs="Arial" w:eastAsia="Arial" w:hAnsi="Arial"/>
          <w:sz w:val="22"/>
          <w:szCs w:val="22"/>
          <w:b w:val="1"/>
          <w:bCs w:val="1"/>
          <w:color w:val="auto"/>
        </w:rPr>
        <w:t>0-30877</w:t>
      </w:r>
    </w:p>
    <w:p>
      <w:pPr>
        <w:spacing w:after="0" w:line="14" w:lineRule="exact"/>
        <w:rPr>
          <w:sz w:val="20"/>
          <w:szCs w:val="20"/>
          <w:color w:val="auto"/>
        </w:rPr>
      </w:pPr>
    </w:p>
    <w:p>
      <w:pPr>
        <w:jc w:val="center"/>
        <w:ind w:right="240"/>
        <w:spacing w:after="0"/>
        <w:rPr>
          <w:sz w:val="20"/>
          <w:szCs w:val="20"/>
          <w:color w:val="auto"/>
        </w:rPr>
      </w:pPr>
      <w:r>
        <w:rPr>
          <w:rFonts w:ascii="Arial" w:cs="Arial" w:eastAsia="Arial" w:hAnsi="Arial"/>
          <w:sz w:val="19"/>
          <w:szCs w:val="19"/>
          <w:b w:val="1"/>
          <w:bCs w:val="1"/>
          <w:color w:val="auto"/>
        </w:rPr>
        <w:t>(Commission File Number)</w:t>
      </w:r>
    </w:p>
    <w:p>
      <w:pPr>
        <w:spacing w:after="0" w:line="20" w:lineRule="exact"/>
        <w:rPr>
          <w:sz w:val="20"/>
          <w:szCs w:val="20"/>
          <w:color w:val="auto"/>
        </w:rPr>
      </w:pPr>
      <w:r>
        <w:rPr>
          <w:sz w:val="20"/>
          <w:szCs w:val="20"/>
          <w:color w:val="auto"/>
        </w:rPr>
        <w:br w:type="column"/>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77-0481679</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9"/>
          <w:szCs w:val="19"/>
          <w:b w:val="1"/>
          <w:bCs w:val="1"/>
          <w:color w:val="auto"/>
        </w:rPr>
        <w:t>(I.R.S. Employer Identification No.)</w:t>
      </w:r>
    </w:p>
    <w:p>
      <w:pPr>
        <w:spacing w:after="0" w:line="38" w:lineRule="exact"/>
        <w:rPr>
          <w:sz w:val="20"/>
          <w:szCs w:val="20"/>
          <w:color w:val="auto"/>
        </w:rPr>
      </w:pPr>
    </w:p>
    <w:p>
      <w:pPr>
        <w:sectPr>
          <w:pgSz w:w="11900" w:h="16838" w:orient="portrait"/>
          <w:cols w:equalWidth="0" w:num="3">
            <w:col w:w="3760" w:space="720"/>
            <w:col w:w="2740" w:space="720"/>
            <w:col w:w="3320"/>
          </w:cols>
          <w:pgMar w:left="240" w:top="122" w:right="399" w:bottom="1440" w:gutter="0" w:footer="0" w:header="0"/>
          <w:type w:val="continuous"/>
        </w:sectPr>
      </w:pPr>
    </w:p>
    <w:p>
      <w:pPr>
        <w:ind w:left="420"/>
        <w:spacing w:after="0"/>
        <w:rPr>
          <w:sz w:val="20"/>
          <w:szCs w:val="20"/>
          <w:color w:val="auto"/>
        </w:rPr>
      </w:pPr>
      <w:r>
        <w:rPr>
          <w:rFonts w:ascii="Arial" w:cs="Arial" w:eastAsia="Arial" w:hAnsi="Arial"/>
          <w:sz w:val="19"/>
          <w:szCs w:val="19"/>
          <w:b w:val="1"/>
          <w:bCs w:val="1"/>
          <w:color w:val="auto"/>
        </w:rPr>
        <w:t>incorporation or organization)</w:t>
      </w:r>
    </w:p>
    <w:p>
      <w:pPr>
        <w:sectPr>
          <w:pgSz w:w="11900" w:h="16838" w:orient="portrait"/>
          <w:cols w:equalWidth="0" w:num="1">
            <w:col w:w="11260"/>
          </w:cols>
          <w:pgMar w:left="240" w:top="122" w:right="399" w:bottom="1440" w:gutter="0" w:footer="0" w:header="0"/>
          <w:type w:val="continuous"/>
        </w:sectPr>
      </w:pPr>
    </w:p>
    <w:p>
      <w:pPr>
        <w:spacing w:after="0" w:line="203" w:lineRule="exact"/>
        <w:rPr>
          <w:sz w:val="20"/>
          <w:szCs w:val="20"/>
          <w:color w:val="auto"/>
        </w:rPr>
      </w:pPr>
    </w:p>
    <w:p>
      <w:pPr>
        <w:ind w:left="5280"/>
        <w:spacing w:after="0"/>
        <w:rPr>
          <w:sz w:val="20"/>
          <w:szCs w:val="20"/>
          <w:color w:val="auto"/>
        </w:rPr>
      </w:pPr>
      <w:r>
        <w:rPr>
          <w:rFonts w:ascii="Arial" w:cs="Arial" w:eastAsia="Arial" w:hAnsi="Arial"/>
          <w:sz w:val="22"/>
          <w:szCs w:val="22"/>
          <w:b w:val="1"/>
          <w:bCs w:val="1"/>
          <w:color w:val="auto"/>
        </w:rPr>
        <w:t>4th Floor</w:t>
      </w:r>
    </w:p>
    <w:p>
      <w:pPr>
        <w:spacing w:after="0" w:line="4" w:lineRule="exact"/>
        <w:rPr>
          <w:sz w:val="20"/>
          <w:szCs w:val="20"/>
          <w:color w:val="auto"/>
        </w:rPr>
      </w:pPr>
    </w:p>
    <w:p>
      <w:pPr>
        <w:ind w:left="5040"/>
        <w:spacing w:after="0"/>
        <w:rPr>
          <w:sz w:val="20"/>
          <w:szCs w:val="20"/>
          <w:color w:val="auto"/>
        </w:rPr>
      </w:pPr>
      <w:r>
        <w:rPr>
          <w:rFonts w:ascii="Arial" w:cs="Arial" w:eastAsia="Arial" w:hAnsi="Arial"/>
          <w:sz w:val="22"/>
          <w:szCs w:val="22"/>
          <w:b w:val="1"/>
          <w:bCs w:val="1"/>
          <w:color w:val="auto"/>
        </w:rPr>
        <w:t>Windsor Place</w:t>
      </w:r>
    </w:p>
    <w:p>
      <w:pPr>
        <w:ind w:left="4980"/>
        <w:spacing w:after="0" w:line="230" w:lineRule="auto"/>
        <w:rPr>
          <w:sz w:val="20"/>
          <w:szCs w:val="20"/>
          <w:color w:val="auto"/>
        </w:rPr>
      </w:pPr>
      <w:r>
        <w:rPr>
          <w:rFonts w:ascii="Arial" w:cs="Arial" w:eastAsia="Arial" w:hAnsi="Arial"/>
          <w:sz w:val="22"/>
          <w:szCs w:val="22"/>
          <w:b w:val="1"/>
          <w:bCs w:val="1"/>
          <w:color w:val="auto"/>
        </w:rPr>
        <w:t>22 Queen Street</w:t>
      </w:r>
    </w:p>
    <w:p>
      <w:pPr>
        <w:ind w:left="4900"/>
        <w:spacing w:after="0" w:line="231" w:lineRule="auto"/>
        <w:rPr>
          <w:sz w:val="20"/>
          <w:szCs w:val="20"/>
          <w:color w:val="auto"/>
        </w:rPr>
      </w:pPr>
      <w:r>
        <w:rPr>
          <w:rFonts w:ascii="Arial" w:cs="Arial" w:eastAsia="Arial" w:hAnsi="Arial"/>
          <w:sz w:val="22"/>
          <w:szCs w:val="22"/>
          <w:b w:val="1"/>
          <w:bCs w:val="1"/>
          <w:color w:val="auto"/>
        </w:rPr>
        <w:t>PO Box HM 1179</w:t>
      </w:r>
    </w:p>
    <w:p>
      <w:pPr>
        <w:ind w:left="4880"/>
        <w:spacing w:after="0" w:line="230" w:lineRule="auto"/>
        <w:rPr>
          <w:sz w:val="20"/>
          <w:szCs w:val="20"/>
          <w:color w:val="auto"/>
        </w:rPr>
      </w:pPr>
      <w:r>
        <w:rPr>
          <w:rFonts w:ascii="Arial" w:cs="Arial" w:eastAsia="Arial" w:hAnsi="Arial"/>
          <w:sz w:val="22"/>
          <w:szCs w:val="22"/>
          <w:b w:val="1"/>
          <w:bCs w:val="1"/>
          <w:color w:val="auto"/>
        </w:rPr>
        <w:t>Hamilton HM EX</w:t>
      </w:r>
    </w:p>
    <w:p>
      <w:pPr>
        <w:ind w:left="5280"/>
        <w:spacing w:after="0" w:line="231" w:lineRule="auto"/>
        <w:rPr>
          <w:sz w:val="20"/>
          <w:szCs w:val="20"/>
          <w:color w:val="auto"/>
        </w:rPr>
      </w:pPr>
      <w:r>
        <w:rPr>
          <w:rFonts w:ascii="Arial" w:cs="Arial" w:eastAsia="Arial" w:hAnsi="Arial"/>
          <w:sz w:val="22"/>
          <w:szCs w:val="22"/>
          <w:b w:val="1"/>
          <w:bCs w:val="1"/>
          <w:color w:val="auto"/>
        </w:rPr>
        <w:t>Bermuda</w:t>
      </w:r>
    </w:p>
    <w:p>
      <w:pPr>
        <w:spacing w:after="0" w:line="1" w:lineRule="exact"/>
        <w:rPr>
          <w:sz w:val="20"/>
          <w:szCs w:val="20"/>
          <w:color w:val="auto"/>
        </w:rPr>
      </w:pPr>
    </w:p>
    <w:p>
      <w:pPr>
        <w:ind w:left="3100"/>
        <w:spacing w:after="0"/>
        <w:rPr>
          <w:sz w:val="20"/>
          <w:szCs w:val="20"/>
          <w:color w:val="auto"/>
        </w:rPr>
      </w:pPr>
      <w:r>
        <w:rPr>
          <w:rFonts w:ascii="Arial" w:cs="Arial" w:eastAsia="Arial" w:hAnsi="Arial"/>
          <w:sz w:val="19"/>
          <w:szCs w:val="19"/>
          <w:b w:val="1"/>
          <w:bCs w:val="1"/>
          <w:color w:val="auto"/>
        </w:rPr>
        <w:t>(Address of principal executive offices)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(Zip Code)</w:t>
      </w:r>
    </w:p>
    <w:p>
      <w:pPr>
        <w:spacing w:after="0" w:line="224" w:lineRule="exact"/>
        <w:rPr>
          <w:sz w:val="20"/>
          <w:szCs w:val="20"/>
          <w:color w:val="auto"/>
        </w:rPr>
      </w:pPr>
    </w:p>
    <w:p>
      <w:pPr>
        <w:sectPr>
          <w:pgSz w:w="11900" w:h="16838" w:orient="portrait"/>
          <w:cols w:equalWidth="0" w:num="2">
            <w:col w:w="6680" w:space="640"/>
            <w:col w:w="3940"/>
          </w:cols>
          <w:pgMar w:left="240" w:top="122" w:right="399" w:bottom="1440" w:gutter="0" w:footer="0" w:header="0"/>
          <w:type w:val="continuous"/>
        </w:sectPr>
      </w:pPr>
    </w:p>
    <w:p>
      <w:pPr>
        <w:spacing w:after="0" w:line="17" w:lineRule="exact"/>
        <w:rPr>
          <w:sz w:val="20"/>
          <w:szCs w:val="20"/>
          <w:color w:val="auto"/>
        </w:rPr>
      </w:pPr>
    </w:p>
    <w:p>
      <w:pPr>
        <w:ind w:left="2600"/>
        <w:spacing w:after="0"/>
        <w:rPr>
          <w:sz w:val="20"/>
          <w:szCs w:val="20"/>
          <w:color w:val="auto"/>
        </w:rPr>
      </w:pPr>
      <w:r>
        <w:rPr>
          <w:rFonts w:ascii="Arial" w:cs="Arial" w:eastAsia="Arial" w:hAnsi="Arial"/>
          <w:sz w:val="19"/>
          <w:szCs w:val="19"/>
          <w:b w:val="1"/>
          <w:bCs w:val="1"/>
          <w:color w:val="auto"/>
        </w:rPr>
        <w:t>Registrant’s telephone number, including area code: (441) 296-6395</w:t>
      </w:r>
    </w:p>
    <w:p>
      <w:pPr>
        <w:spacing w:after="0" w:line="241" w:lineRule="exact"/>
        <w:rPr>
          <w:sz w:val="20"/>
          <w:szCs w:val="20"/>
          <w:color w:val="auto"/>
        </w:rPr>
      </w:pPr>
    </w:p>
    <w:p>
      <w:pPr>
        <w:ind w:left="5520"/>
        <w:spacing w:after="0"/>
        <w:rPr>
          <w:sz w:val="20"/>
          <w:szCs w:val="20"/>
          <w:color w:val="auto"/>
        </w:rPr>
      </w:pPr>
      <w:r>
        <w:rPr>
          <w:rFonts w:ascii="Arial" w:cs="Arial" w:eastAsia="Arial" w:hAnsi="Arial"/>
          <w:sz w:val="22"/>
          <w:szCs w:val="22"/>
          <w:b w:val="1"/>
          <w:bCs w:val="1"/>
          <w:color w:val="auto"/>
        </w:rPr>
        <w:t>N/A</w:t>
      </w:r>
    </w:p>
    <w:p>
      <w:pPr>
        <w:spacing w:after="0" w:line="14" w:lineRule="exact"/>
        <w:rPr>
          <w:sz w:val="20"/>
          <w:szCs w:val="20"/>
          <w:color w:val="auto"/>
        </w:rPr>
      </w:pPr>
    </w:p>
    <w:p>
      <w:pPr>
        <w:jc w:val="center"/>
        <w:ind w:right="-159"/>
        <w:spacing w:after="0"/>
        <w:rPr>
          <w:sz w:val="20"/>
          <w:szCs w:val="20"/>
          <w:color w:val="auto"/>
        </w:rPr>
      </w:pPr>
      <w:r>
        <w:rPr>
          <w:rFonts w:ascii="Arial" w:cs="Arial" w:eastAsia="Arial" w:hAnsi="Arial"/>
          <w:sz w:val="19"/>
          <w:szCs w:val="19"/>
          <w:b w:val="1"/>
          <w:bCs w:val="1"/>
          <w:color w:val="auto"/>
        </w:rPr>
        <w:t>(Former name and former address, if changed since last report)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127000</wp:posOffset>
            </wp:positionV>
            <wp:extent cx="7250430"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0430" cy="387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298450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60"/>
          </w:cols>
          <w:pgMar w:left="240" w:top="122" w:right="399" w:bottom="1440" w:gutter="0" w:footer="0" w:header="0"/>
          <w:type w:val="continuous"/>
        </w:sectPr>
      </w:pPr>
    </w:p>
    <w:bookmarkStart w:id="2" w:name="page3"/>
    <w:bookmarkEnd w:id="2"/>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ind w:left="320"/>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5. Other Events.</w:t>
        </w:r>
      </w:hyperlink>
    </w:p>
    <w:p>
      <w:pPr>
        <w:spacing w:after="0" w:line="8" w:lineRule="exact"/>
        <w:rPr>
          <w:sz w:val="20"/>
          <w:szCs w:val="20"/>
          <w:color w:val="auto"/>
        </w:rPr>
      </w:pPr>
    </w:p>
    <w:p>
      <w:pPr>
        <w:ind w:left="320"/>
        <w:spacing w:after="0"/>
        <w:rPr>
          <w:rFonts w:ascii="Arial" w:cs="Arial" w:eastAsia="Arial" w:hAnsi="Arial"/>
          <w:sz w:val="19"/>
          <w:szCs w:val="19"/>
          <w:u w:val="single" w:color="auto"/>
          <w:color w:val="0000EE"/>
        </w:rPr>
      </w:pPr>
      <w:hyperlink w:anchor="page4">
        <w:r>
          <w:rPr>
            <w:rFonts w:ascii="Arial" w:cs="Arial" w:eastAsia="Arial" w:hAnsi="Arial"/>
            <w:sz w:val="19"/>
            <w:szCs w:val="19"/>
            <w:u w:val="single" w:color="auto"/>
            <w:color w:val="0000EE"/>
          </w:rPr>
          <w:t>Item 7. Financial Statements, Pro Forma Financial Information and Exhibits.</w:t>
        </w:r>
      </w:hyperlink>
    </w:p>
    <w:p>
      <w:pPr>
        <w:spacing w:after="0" w:line="15" w:lineRule="exact"/>
        <w:rPr>
          <w:sz w:val="20"/>
          <w:szCs w:val="20"/>
          <w:color w:val="auto"/>
        </w:rPr>
      </w:pPr>
    </w:p>
    <w:p>
      <w:pPr>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SIGNATURE</w:t>
        </w:r>
      </w:hyperlink>
    </w:p>
    <w:p>
      <w:pPr>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EXHIBIT INDEX</w:t>
        </w:r>
      </w:hyperlink>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INFORMATION TO BE INCLUDED IN THE REPORT</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5. Other Events.</w:t>
      </w:r>
    </w:p>
    <w:p>
      <w:pPr>
        <w:spacing w:after="0" w:line="231" w:lineRule="exact"/>
        <w:rPr>
          <w:sz w:val="20"/>
          <w:szCs w:val="20"/>
          <w:color w:val="auto"/>
        </w:rPr>
      </w:pPr>
    </w:p>
    <w:p>
      <w:pPr>
        <w:ind w:firstLine="220"/>
        <w:spacing w:after="0" w:line="268" w:lineRule="auto"/>
        <w:rPr>
          <w:sz w:val="20"/>
          <w:szCs w:val="20"/>
          <w:color w:val="auto"/>
        </w:rPr>
      </w:pPr>
      <w:r>
        <w:rPr>
          <w:rFonts w:ascii="Arial" w:cs="Arial" w:eastAsia="Arial" w:hAnsi="Arial"/>
          <w:sz w:val="18"/>
          <w:szCs w:val="18"/>
          <w:color w:val="auto"/>
        </w:rPr>
        <w:t>On November 15, 2001, the Registrant issued a press release reporting its financial results for its third fiscal quarter ended October 27, 2001. Attached hereto as Exhibit 99.1 and incorporated by reference herein is a copy of the November 15, 2001 press release.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 Financial Statements, Pro Forma Financial Information and Exhibits.</w:t>
      </w:r>
    </w:p>
    <w:p>
      <w:pPr>
        <w:spacing w:after="0" w:line="256" w:lineRule="exact"/>
        <w:rPr>
          <w:sz w:val="20"/>
          <w:szCs w:val="20"/>
          <w:color w:val="auto"/>
        </w:rPr>
      </w:pPr>
    </w:p>
    <w:p>
      <w:pPr>
        <w:ind w:left="20"/>
        <w:spacing w:after="0"/>
        <w:tabs>
          <w:tab w:leader="none" w:pos="660" w:val="left"/>
        </w:tabs>
        <w:rPr>
          <w:sz w:val="20"/>
          <w:szCs w:val="20"/>
          <w:color w:val="auto"/>
        </w:rPr>
      </w:pPr>
      <w:r>
        <w:rPr>
          <w:rFonts w:ascii="Arial" w:cs="Arial" w:eastAsia="Arial" w:hAnsi="Arial"/>
          <w:sz w:val="14"/>
          <w:szCs w:val="14"/>
          <w:color w:val="auto"/>
        </w:rPr>
        <w:t>Exhibit</w:t>
      </w:r>
      <w:r>
        <w:rPr>
          <w:sz w:val="20"/>
          <w:szCs w:val="20"/>
          <w:color w:val="auto"/>
        </w:rPr>
        <w:tab/>
      </w:r>
      <w:r>
        <w:rPr>
          <w:rFonts w:ascii="Arial" w:cs="Arial" w:eastAsia="Arial" w:hAnsi="Arial"/>
          <w:sz w:val="14"/>
          <w:szCs w:val="14"/>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67310</wp:posOffset>
            </wp:positionV>
            <wp:extent cx="33362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3336290" cy="8890"/>
                    </a:xfrm>
                    <a:prstGeom prst="rect">
                      <a:avLst/>
                    </a:prstGeom>
                    <a:noFill/>
                  </pic:spPr>
                </pic:pic>
              </a:graphicData>
            </a:graphic>
          </wp:anchor>
        </w:drawing>
      </w:r>
    </w:p>
    <w:p>
      <w:pPr>
        <w:spacing w:after="0" w:line="200" w:lineRule="exact"/>
        <w:rPr>
          <w:sz w:val="20"/>
          <w:szCs w:val="20"/>
          <w:color w:val="auto"/>
        </w:rPr>
      </w:pPr>
    </w:p>
    <w:p>
      <w:pPr>
        <w:spacing w:after="0"/>
        <w:tabs>
          <w:tab w:leader="none" w:pos="6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November 15, 2001.</w:t>
      </w:r>
    </w:p>
    <w:p>
      <w:pPr>
        <w:spacing w:after="0" w:line="21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SIGNATURE</w:t>
      </w:r>
    </w:p>
    <w:p>
      <w:pPr>
        <w:spacing w:after="0" w:line="231" w:lineRule="exact"/>
        <w:rPr>
          <w:sz w:val="20"/>
          <w:szCs w:val="20"/>
          <w:color w:val="auto"/>
        </w:rPr>
      </w:pPr>
    </w:p>
    <w:p>
      <w:pPr>
        <w:ind w:right="60"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6" w:lineRule="exact"/>
        <w:rPr>
          <w:sz w:val="20"/>
          <w:szCs w:val="20"/>
          <w:color w:val="auto"/>
        </w:rPr>
      </w:pPr>
    </w:p>
    <w:p>
      <w:pPr>
        <w:ind w:left="220"/>
        <w:spacing w:after="0"/>
        <w:rPr>
          <w:sz w:val="20"/>
          <w:szCs w:val="20"/>
          <w:color w:val="auto"/>
        </w:rPr>
      </w:pPr>
      <w:r>
        <w:rPr>
          <w:rFonts w:ascii="Arial" w:cs="Arial" w:eastAsia="Arial" w:hAnsi="Arial"/>
          <w:sz w:val="18"/>
          <w:szCs w:val="18"/>
          <w:color w:val="auto"/>
        </w:rPr>
        <w:t>Date: November 15, 2001</w:t>
      </w:r>
    </w:p>
    <w:p>
      <w:pPr>
        <w:spacing w:after="0" w:line="246" w:lineRule="exact"/>
        <w:rPr>
          <w:sz w:val="20"/>
          <w:szCs w:val="20"/>
          <w:color w:val="auto"/>
        </w:rPr>
      </w:pPr>
    </w:p>
    <w:p>
      <w:pPr>
        <w:ind w:left="5600"/>
        <w:spacing w:after="0"/>
        <w:rPr>
          <w:sz w:val="20"/>
          <w:szCs w:val="20"/>
          <w:color w:val="auto"/>
        </w:rPr>
      </w:pPr>
      <w:r>
        <w:rPr>
          <w:rFonts w:ascii="Arial" w:cs="Arial" w:eastAsia="Arial" w:hAnsi="Arial"/>
          <w:sz w:val="18"/>
          <w:szCs w:val="18"/>
          <w:b w:val="1"/>
          <w:bCs w:val="1"/>
          <w:color w:val="auto"/>
        </w:rPr>
        <w:t>MARVELL TECHNOLOGY GROUP LTD</w:t>
      </w:r>
    </w:p>
    <w:p>
      <w:pPr>
        <w:spacing w:after="0" w:line="200" w:lineRule="exact"/>
        <w:rPr>
          <w:sz w:val="20"/>
          <w:szCs w:val="20"/>
          <w:color w:val="auto"/>
        </w:rPr>
      </w:pPr>
    </w:p>
    <w:p>
      <w:pPr>
        <w:spacing w:after="0" w:line="301" w:lineRule="exact"/>
        <w:rPr>
          <w:sz w:val="20"/>
          <w:szCs w:val="20"/>
          <w:color w:val="auto"/>
        </w:rPr>
      </w:pPr>
    </w:p>
    <w:p>
      <w:pPr>
        <w:ind w:left="5600"/>
        <w:spacing w:after="0"/>
        <w:tabs>
          <w:tab w:leader="none" w:pos="61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George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3752850</wp:posOffset>
            </wp:positionH>
            <wp:positionV relativeFrom="paragraph">
              <wp:posOffset>80010</wp:posOffset>
            </wp:positionV>
            <wp:extent cx="34988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3498850" cy="8890"/>
                    </a:xfrm>
                    <a:prstGeom prst="rect">
                      <a:avLst/>
                    </a:prstGeom>
                    <a:noFill/>
                  </pic:spPr>
                </pic:pic>
              </a:graphicData>
            </a:graphic>
          </wp:anchor>
        </w:drawing>
      </w:r>
    </w:p>
    <w:p>
      <w:pPr>
        <w:spacing w:after="0" w:line="219" w:lineRule="exact"/>
        <w:rPr>
          <w:sz w:val="20"/>
          <w:szCs w:val="20"/>
          <w:color w:val="auto"/>
        </w:rPr>
      </w:pPr>
    </w:p>
    <w:p>
      <w:pPr>
        <w:ind w:left="6120"/>
        <w:spacing w:after="0"/>
        <w:rPr>
          <w:sz w:val="20"/>
          <w:szCs w:val="20"/>
          <w:color w:val="auto"/>
        </w:rPr>
      </w:pPr>
      <w:r>
        <w:rPr>
          <w:rFonts w:ascii="Arial" w:cs="Arial" w:eastAsia="Arial" w:hAnsi="Arial"/>
          <w:sz w:val="18"/>
          <w:szCs w:val="18"/>
          <w:color w:val="auto"/>
        </w:rPr>
        <w:t>George Hervey</w:t>
      </w:r>
    </w:p>
    <w:p>
      <w:pPr>
        <w:spacing w:after="0" w:line="15" w:lineRule="exact"/>
        <w:rPr>
          <w:sz w:val="20"/>
          <w:szCs w:val="20"/>
          <w:color w:val="auto"/>
        </w:rPr>
      </w:pPr>
    </w:p>
    <w:p>
      <w:pPr>
        <w:ind w:left="612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6120"/>
        <w:spacing w:after="0"/>
        <w:rPr>
          <w:sz w:val="20"/>
          <w:szCs w:val="20"/>
          <w:color w:val="auto"/>
        </w:rPr>
      </w:pPr>
      <w:r>
        <w:rPr>
          <w:rFonts w:ascii="Arial" w:cs="Arial" w:eastAsia="Arial" w:hAnsi="Arial"/>
          <w:sz w:val="18"/>
          <w:szCs w:val="18"/>
          <w:color w:val="auto"/>
        </w:rPr>
        <w:t>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419" w:right="3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jc w:val="right"/>
        <w:ind w:right="1039"/>
        <w:spacing w:after="0"/>
        <w:rPr>
          <w:sz w:val="20"/>
          <w:szCs w:val="20"/>
          <w:color w:val="auto"/>
        </w:rPr>
      </w:pPr>
      <w:r>
        <w:rPr>
          <w:rFonts w:ascii="Arial" w:cs="Arial" w:eastAsia="Arial" w:hAnsi="Arial"/>
          <w:sz w:val="18"/>
          <w:szCs w:val="18"/>
          <w:color w:val="auto"/>
        </w:rPr>
        <w:t>EXHIBIT INDEX</w:t>
      </w:r>
    </w:p>
    <w:p>
      <w:pPr>
        <w:spacing w:after="0" w:line="15" w:lineRule="exact"/>
        <w:rPr>
          <w:sz w:val="20"/>
          <w:szCs w:val="20"/>
          <w:color w:val="auto"/>
        </w:rPr>
      </w:pPr>
    </w:p>
    <w:p>
      <w:pPr>
        <w:ind w:left="140"/>
        <w:spacing w:after="0"/>
        <w:tabs>
          <w:tab w:leader="none" w:pos="1120" w:val="left"/>
        </w:tabs>
        <w:rPr>
          <w:sz w:val="20"/>
          <w:szCs w:val="20"/>
          <w:color w:val="auto"/>
        </w:rPr>
      </w:pPr>
      <w:r>
        <w:rPr>
          <w:rFonts w:ascii="Arial" w:cs="Arial" w:eastAsia="Arial" w:hAnsi="Arial"/>
          <w:sz w:val="14"/>
          <w:szCs w:val="14"/>
          <w:color w:val="auto"/>
        </w:rPr>
        <w:t>Exhibit No.</w:t>
      </w:r>
      <w:r>
        <w:rPr>
          <w:sz w:val="20"/>
          <w:szCs w:val="20"/>
          <w:color w:val="auto"/>
        </w:rPr>
        <w:tab/>
      </w:r>
      <w:r>
        <w:rPr>
          <w:rFonts w:ascii="Arial" w:cs="Arial" w:eastAsia="Arial" w:hAnsi="Arial"/>
          <w:sz w:val="12"/>
          <w:szCs w:val="12"/>
          <w:color w:val="auto"/>
        </w:rPr>
        <w:t>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62230</wp:posOffset>
            </wp:positionV>
            <wp:extent cx="335343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353435" cy="8890"/>
                    </a:xfrm>
                    <a:prstGeom prst="rect">
                      <a:avLst/>
                    </a:prstGeom>
                    <a:noFill/>
                  </pic:spPr>
                </pic:pic>
              </a:graphicData>
            </a:graphic>
          </wp:anchor>
        </w:drawing>
      </w:r>
    </w:p>
    <w:p>
      <w:pPr>
        <w:spacing w:after="0" w:line="191"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Exhibit 99.1</w:t>
      </w:r>
      <w:r>
        <w:rPr>
          <w:sz w:val="20"/>
          <w:szCs w:val="20"/>
          <w:color w:val="auto"/>
        </w:rPr>
        <w:tab/>
      </w:r>
      <w:r>
        <w:rPr>
          <w:rFonts w:ascii="Arial" w:cs="Arial" w:eastAsia="Arial" w:hAnsi="Arial"/>
          <w:sz w:val="15"/>
          <w:szCs w:val="15"/>
          <w:color w:val="auto"/>
        </w:rPr>
        <w:t>Press Release issued November 15, 2001.</w:t>
      </w:r>
    </w:p>
    <w:p>
      <w:pPr>
        <w:sectPr>
          <w:pgSz w:w="11900" w:h="16838" w:orient="portrait"/>
          <w:cols w:equalWidth="0" w:num="1">
            <w:col w:w="10219"/>
          </w:cols>
          <w:pgMar w:left="240" w:top="419" w:right="1440" w:bottom="1440" w:gutter="0" w:footer="0" w:header="0"/>
        </w:sectPr>
      </w:pPr>
    </w:p>
    <w:bookmarkStart w:id="5" w:name="page6"/>
    <w:bookmarkEnd w:id="5"/>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 REPORTS THIRD QUARTER FISCAL 2002 RESULTS</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SUNNYVALE, CA. (NOVEMBER 15, 2001) - Marvell Technology Group Ltd. (NASDAQ: MRVL), a technology leader in the development of extreme broadband communications solutions, today reported financial results for its third fiscal quarter ended October 27, 2001.</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Net revenue for the third quarter of fiscal 2002 was $73.1 million, an increase of 102% over net revenue of $36.2 million for the third quarter of fiscal 2001 and a 6% sequential increase from net revenue of $68.7 million for the second quarter of fiscal 2002. Pro forma net income, which excludes the effect of acquisition-related expenses and amortization of stock-based compensation, was $3.4 million, or $0.03 per share (diluted), for the third quarter of fiscal 2002, compared with pro forma net income of $3.4 million, or $0.04 per share (diluted), for the third quarter of fiscal 2001.</w:t>
      </w:r>
    </w:p>
    <w:p>
      <w:pPr>
        <w:spacing w:after="0" w:line="212"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Net revenue for the first nine months of fiscal 2002 was $206.0 million, an increase of 110% over net revenue of $98.1 million for the first nine months of fiscal 2001. Pro forma net income was $11.3 million, or $0.09 per share (diluted), for the first nine months of fiscal 2002, compared with pro forma net income of $9.5 million, or $0.10 per share (diluted), for the first nine months of fiscal 2001.</w:t>
      </w:r>
    </w:p>
    <w:p>
      <w:pPr>
        <w:spacing w:after="0" w:line="210"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Net loss under generally accepted accounting principles (GAAP), which includes the effect of acquisition-related expenses and amortization of stock-based compensation, was $105.1 million, or $0.92 per share (diluted), for the third quarter of fiscal 2002, compared with net income under GAAP of $1.8 million, or $0.02 per share (diluted), for the third quarter of fiscal 2001. Net loss under GAAP was $315.3 million, or $2.77 per share (diluted), for the first nine months of fiscal 2002, compared with net income under GAAP of $4.5 million, or $0.05 per share (diluted), for the first nine months of fiscal 2001.</w:t>
      </w:r>
    </w:p>
    <w:p>
      <w:pPr>
        <w:spacing w:after="0" w:line="186"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"This has been a tremendous quarter for Marvell in terms of solid revenue growth and record revenues," stated Dr. Sehat Sutardja, Marvell's President and CEO. "We have attained significant industry milestones with the announcement of our world-class storage and communications products. We debuted the industry's first Serial ATA interface solution, which has rapidly gained momentum and is expected to be adopted into a wide range of storage applications from enterprise to mobile computing. We also continued to strengthen our leadership position in Gigabit networking with the newest members of our Alaska(TM) family, the Alaska X 10 Gigabit transceiver and the Alaska Quad fiber transceiver. Our Alaska X device is the first 10 Gigabit transceiver in the industry to achieve transmission over 60 inches of generic FR4 PCB copper traces as demonstrated with Tyco Electronics' high speed connector, and our Alaska Quad fiber device is the industry's first PHY to standardize on the GMII/RGMII interface for both fiber and copper applications, allowing for more highly manageable and flexible Gigabit systems."</w:t>
      </w:r>
    </w:p>
    <w:p>
      <w:pPr>
        <w:spacing w:after="0" w:line="38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 also introduced our revolutionary Prestera(TM) architecture, the world's first high-density Gigabit switches to scale from Gigabit to the desktop to terabit routing, which has received wide industry acceptance. In addition, we announced the industry's first integrated small office/home office switches optimized for converged voice/video/data. With our switched Ethernet products, Alaska Gigabit and 10 Gigabit transceivers and our system and communications controllers, Marvell offers customers a complete suite of world-class broadband communications solutions," concluded Dr. Sutardja.</w:t>
      </w:r>
    </w:p>
    <w:p>
      <w:pPr>
        <w:sectPr>
          <w:pgSz w:w="11900" w:h="16838" w:orient="portrait"/>
          <w:cols w:equalWidth="0" w:num="1">
            <w:col w:w="10219"/>
          </w:cols>
          <w:pgMar w:left="240" w:top="339" w:right="1440" w:bottom="1440" w:gutter="0" w:footer="0" w:header="0"/>
        </w:sectPr>
      </w:pPr>
    </w:p>
    <w:bookmarkStart w:id="6" w:name="page7"/>
    <w:bookmarkEnd w:id="6"/>
    <w:p>
      <w:pPr>
        <w:ind w:right="1779"/>
        <w:spacing w:after="0" w:line="271" w:lineRule="auto"/>
        <w:rPr>
          <w:sz w:val="20"/>
          <w:szCs w:val="20"/>
          <w:color w:val="auto"/>
        </w:rPr>
      </w:pPr>
      <w:r>
        <w:rPr>
          <w:rFonts w:ascii="Courier New" w:cs="Courier New" w:eastAsia="Courier New" w:hAnsi="Courier New"/>
          <w:sz w:val="16"/>
          <w:szCs w:val="16"/>
          <w:color w:val="auto"/>
        </w:rPr>
        <w:t>Marvell will be conducting a conference call today at 2 p.m. PST to discuss its third quarter financial results. To listen to the conference call, investors can dial (719) 457-2634 approximately 10 minutes prior to the initiation of the teleconference and refer to conference code 499585. Replay of the conference call will be available until November 23, 2001 at midnight PST by calling (719) 457-0820. The conference call will also be available via the Web at www.marvell.com and www.companyboardroom.com until December 14, 2001.</w:t>
      </w:r>
    </w:p>
    <w:p>
      <w:pPr>
        <w:spacing w:after="0" w:line="1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Marvell, a technology leader in the development of extreme broadband system-level IC solutions for Internet connectivity and infrastructure, comprises Marvell Technology Group Ltd. (MTGL) and its subsidiaries, Marvell Semiconductor, Inc. (MSI), Marvell Asia Pte Ltd. (MAPL), Marvell Japan K.K. (MJKK), and Galileo Technology Ltd. (GTL). On behalf of MTGL, MSI designs, develops and markets integrated circuits utilizing proprietary Communications Mixed-Signal Processing (CMSP) and digital signal processing technologies for communications signal processing markets. MAPL is headquartered in Singapore and is responsible for Marvell's production and distribution operations. GTL develops high-performance communications Internetworking and Switching products for the broadband communications market. As used in this release, the terms "Company" and "Marvell" refer to the entire group of companies. The Company applies its technology to the extreme broadband communications market where its products are used in network access equipment to provide the interface between communications systems and data transmission media. MSI is headquartered at 645 Almanor Ave., Sunnyvale, Calif., 94085; phone: (408) 222-2500, fax: (408)</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328-0120. Marvell's common stock is traded on the NASDAQ under the symbol MRVL.</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More information on Marvell is available on the Internet at www.marvell.com.</w:t>
      </w:r>
    </w:p>
    <w:p>
      <w:pPr>
        <w:spacing w:after="0" w:line="207"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SAFE HARBOR STATEMENT UNDER THE PRIVATE SECURITIES LITIGATION REFORM ACT OF 1995:</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release may contain forward-looking statements based on our current expectations, estimates and projections about our products, our industry, our markets, management's beliefs, and certain assumptions made by us. Words such as "anticipates," "expects," "intends," "plans," "believes," "seeks," "estimates," "may," "will," "should," and variations of these words or similar expressions, are intended to identify forward-looking statements. In addition, any statements that refer to expectations, projections or other characterizations of future events or circumstances, including any underlying assumptions, are forward-looking statements. These statements are not guarantees of future performance and are subject to certain risks, uncertainties and assumptions that are difficult to predict. Therefore, market results may differ materially and adversely from those expressed in any forward-looking statements in this release.</w:t>
      </w:r>
    </w:p>
    <w:p>
      <w:pPr>
        <w:spacing w:after="0" w:line="207" w:lineRule="exact"/>
        <w:rPr>
          <w:sz w:val="20"/>
          <w:szCs w:val="20"/>
          <w:color w:val="auto"/>
        </w:rPr>
      </w:pPr>
    </w:p>
    <w:p>
      <w:pPr>
        <w:ind w:right="1879"/>
        <w:spacing w:after="0" w:line="271" w:lineRule="auto"/>
        <w:rPr>
          <w:sz w:val="20"/>
          <w:szCs w:val="20"/>
          <w:color w:val="auto"/>
        </w:rPr>
      </w:pPr>
      <w:r>
        <w:rPr>
          <w:rFonts w:ascii="Courier New" w:cs="Courier New" w:eastAsia="Courier New" w:hAnsi="Courier New"/>
          <w:sz w:val="16"/>
          <w:szCs w:val="16"/>
          <w:color w:val="auto"/>
        </w:rPr>
        <w:t>Important risks, uncertainties and assumptions that may cause such a difference for Marvell in connection with our near term financial results include, but are not limited to, the timing, cost and successful completion of technology and product development through volume production; the timing, rescheduling and/or cancellation of significant customer orders; general economic conditions and specific conditions in the markets we address, including periodic downturns in the integrated circuit industry; the rate at which our present and future customers and end-users adopt our products; and the timing and results of customer-industry qualification and certification of our products.</w:t>
      </w:r>
    </w:p>
    <w:p>
      <w:pPr>
        <w:spacing w:after="0" w:line="184" w:lineRule="exact"/>
        <w:rPr>
          <w:sz w:val="20"/>
          <w:szCs w:val="20"/>
          <w:color w:val="auto"/>
        </w:rPr>
      </w:pPr>
    </w:p>
    <w:p>
      <w:pPr>
        <w:ind w:right="1879"/>
        <w:spacing w:after="0" w:line="275" w:lineRule="auto"/>
        <w:rPr>
          <w:sz w:val="20"/>
          <w:szCs w:val="20"/>
          <w:color w:val="auto"/>
        </w:rPr>
      </w:pPr>
      <w:r>
        <w:rPr>
          <w:rFonts w:ascii="Courier New" w:cs="Courier New" w:eastAsia="Courier New" w:hAnsi="Courier New"/>
          <w:sz w:val="16"/>
          <w:szCs w:val="16"/>
          <w:color w:val="auto"/>
        </w:rPr>
        <w:t>For other factors that could cause Marvell's results to vary from expectations, please see the section titled "Additional Factors That May Affect Future Results" in Marvell's annual report on Form 10-K for the year ended January 27, 2001 and Marvell's subsequent quarterly reports on Form 10-Q.</w:t>
      </w:r>
    </w:p>
    <w:p>
      <w:pPr>
        <w:spacing w:after="0" w:line="182"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We undertake no obligation to revise or update publicly any forward-looking statements for any reason.</w:t>
      </w:r>
    </w:p>
    <w:p>
      <w:pPr>
        <w:sectPr>
          <w:pgSz w:w="11900" w:h="16838" w:orient="portrait"/>
          <w:cols w:equalWidth="0" w:num="1">
            <w:col w:w="10219"/>
          </w:cols>
          <w:pgMar w:left="240" w:top="520" w:right="1440" w:bottom="1440" w:gutter="0" w:footer="0" w:header="0"/>
        </w:sectPr>
      </w:pPr>
    </w:p>
    <w:bookmarkStart w:id="7" w:name="page8"/>
    <w:bookmarkEnd w:id="7"/>
    <w:p>
      <w:pPr>
        <w:jc w:val="center"/>
        <w:ind w:right="2740"/>
        <w:spacing w:after="0"/>
        <w:rPr>
          <w:sz w:val="20"/>
          <w:szCs w:val="20"/>
          <w:color w:val="auto"/>
        </w:rPr>
      </w:pPr>
      <w:r>
        <w:rPr>
          <w:rFonts w:ascii="Courier New" w:cs="Courier New" w:eastAsia="Courier New" w:hAnsi="Courier New"/>
          <w:sz w:val="18"/>
          <w:szCs w:val="18"/>
          <w:color w:val="auto"/>
        </w:rPr>
        <w:t>MARVELL TECHNOLOGY GROUP LTD.</w:t>
      </w:r>
    </w:p>
    <w:p>
      <w:pPr>
        <w:jc w:val="center"/>
        <w:ind w:right="2740"/>
        <w:spacing w:after="0" w:line="238" w:lineRule="auto"/>
        <w:rPr>
          <w:sz w:val="20"/>
          <w:szCs w:val="20"/>
          <w:color w:val="auto"/>
        </w:rPr>
      </w:pPr>
      <w:r>
        <w:rPr>
          <w:rFonts w:ascii="Courier New" w:cs="Courier New" w:eastAsia="Courier New" w:hAnsi="Courier New"/>
          <w:sz w:val="18"/>
          <w:szCs w:val="18"/>
          <w:color w:val="auto"/>
        </w:rPr>
        <w:t>PRO FORMA CONSOLIDATED STATEMENTS OF OPERATIONS</w:t>
      </w:r>
    </w:p>
    <w:p>
      <w:pPr>
        <w:jc w:val="center"/>
        <w:ind w:right="2740"/>
        <w:spacing w:after="0"/>
        <w:rPr>
          <w:sz w:val="20"/>
          <w:szCs w:val="20"/>
          <w:color w:val="auto"/>
        </w:rPr>
      </w:pPr>
      <w:r>
        <w:rPr>
          <w:rFonts w:ascii="Courier New" w:cs="Courier New" w:eastAsia="Courier New" w:hAnsi="Courier New"/>
          <w:sz w:val="18"/>
          <w:szCs w:val="18"/>
          <w:color w:val="auto"/>
        </w:rPr>
        <w:t>(UNAUDITED)</w:t>
      </w:r>
    </w:p>
    <w:p>
      <w:pPr>
        <w:jc w:val="center"/>
        <w:ind w:right="2840"/>
        <w:spacing w:after="0" w:line="237" w:lineRule="auto"/>
        <w:rPr>
          <w:sz w:val="20"/>
          <w:szCs w:val="20"/>
          <w:color w:val="auto"/>
        </w:rPr>
      </w:pPr>
      <w:r>
        <w:rPr>
          <w:rFonts w:ascii="Courier New" w:cs="Courier New" w:eastAsia="Courier New" w:hAnsi="Courier New"/>
          <w:sz w:val="18"/>
          <w:szCs w:val="18"/>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52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740" w:type="dxa"/>
            <w:vAlign w:val="bottom"/>
            <w:gridSpan w:val="3"/>
          </w:tcPr>
          <w:p>
            <w:pPr>
              <w:jc w:val="right"/>
              <w:ind w:right="492"/>
              <w:spacing w:after="0"/>
              <w:rPr>
                <w:sz w:val="20"/>
                <w:szCs w:val="20"/>
                <w:color w:val="auto"/>
              </w:rPr>
            </w:pPr>
            <w:r>
              <w:rPr>
                <w:rFonts w:ascii="Courier New" w:cs="Courier New" w:eastAsia="Courier New" w:hAnsi="Courier New"/>
                <w:sz w:val="18"/>
                <w:szCs w:val="18"/>
                <w:color w:val="auto"/>
              </w:rPr>
              <w:t>THREE MONTHS ENDED</w:t>
            </w:r>
          </w:p>
        </w:tc>
        <w:tc>
          <w:tcPr>
            <w:tcW w:w="320" w:type="dxa"/>
            <w:vAlign w:val="bottom"/>
          </w:tcPr>
          <w:p>
            <w:pPr>
              <w:spacing w:after="0"/>
              <w:rPr>
                <w:sz w:val="17"/>
                <w:szCs w:val="17"/>
                <w:color w:val="auto"/>
              </w:rPr>
            </w:pPr>
          </w:p>
        </w:tc>
        <w:tc>
          <w:tcPr>
            <w:tcW w:w="2580" w:type="dxa"/>
            <w:vAlign w:val="bottom"/>
            <w:gridSpan w:val="3"/>
          </w:tcPr>
          <w:p>
            <w:pPr>
              <w:jc w:val="right"/>
              <w:ind w:right="432"/>
              <w:spacing w:after="0"/>
              <w:rPr>
                <w:sz w:val="20"/>
                <w:szCs w:val="20"/>
                <w:color w:val="auto"/>
              </w:rPr>
            </w:pPr>
            <w:r>
              <w:rPr>
                <w:rFonts w:ascii="Courier New" w:cs="Courier New" w:eastAsia="Courier New" w:hAnsi="Courier New"/>
                <w:sz w:val="18"/>
                <w:szCs w:val="18"/>
                <w:color w:val="auto"/>
              </w:rPr>
              <w:t>NINE MONTHS ENDED</w:t>
            </w:r>
          </w:p>
        </w:tc>
      </w:tr>
      <w:tr>
        <w:trPr>
          <w:trHeight w:val="203"/>
        </w:trPr>
        <w:tc>
          <w:tcPr>
            <w:tcW w:w="5220" w:type="dxa"/>
            <w:vAlign w:val="bottom"/>
          </w:tcPr>
          <w:p>
            <w:pPr>
              <w:spacing w:after="0"/>
              <w:rPr>
                <w:sz w:val="17"/>
                <w:szCs w:val="17"/>
                <w:color w:val="auto"/>
              </w:rPr>
            </w:pPr>
          </w:p>
        </w:tc>
        <w:tc>
          <w:tcPr>
            <w:tcW w:w="3160" w:type="dxa"/>
            <w:vAlign w:val="bottom"/>
            <w:gridSpan w:val="4"/>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2900" w:type="dxa"/>
            <w:vAlign w:val="bottom"/>
            <w:gridSpan w:val="4"/>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rPr>
                <w:sz w:val="17"/>
                <w:szCs w:val="17"/>
                <w:color w:val="auto"/>
              </w:rPr>
            </w:pPr>
          </w:p>
        </w:tc>
        <w:tc>
          <w:tcPr>
            <w:tcW w:w="164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OCTOBER 27,</w:t>
            </w:r>
          </w:p>
        </w:tc>
        <w:tc>
          <w:tcPr>
            <w:tcW w:w="152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rPr>
              <w:t>OCTOBER 28,</w:t>
            </w:r>
          </w:p>
        </w:tc>
        <w:tc>
          <w:tcPr>
            <w:tcW w:w="1540" w:type="dxa"/>
            <w:vAlign w:val="bottom"/>
            <w:gridSpan w:val="2"/>
          </w:tcPr>
          <w:p>
            <w:pPr>
              <w:ind w:left="160"/>
              <w:spacing w:after="0" w:line="203" w:lineRule="exact"/>
              <w:rPr>
                <w:sz w:val="20"/>
                <w:szCs w:val="20"/>
                <w:color w:val="auto"/>
              </w:rPr>
            </w:pPr>
            <w:r>
              <w:rPr>
                <w:rFonts w:ascii="Courier New" w:cs="Courier New" w:eastAsia="Courier New" w:hAnsi="Courier New"/>
                <w:sz w:val="18"/>
                <w:szCs w:val="18"/>
                <w:color w:val="auto"/>
              </w:rPr>
              <w:t>OCTOBER 27,</w:t>
            </w:r>
          </w:p>
        </w:tc>
        <w:tc>
          <w:tcPr>
            <w:tcW w:w="136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w w:val="95"/>
              </w:rPr>
              <w:t>OCTOBER 28,</w:t>
            </w:r>
          </w:p>
        </w:tc>
      </w:tr>
      <w:tr>
        <w:trPr>
          <w:trHeight w:val="203"/>
        </w:trPr>
        <w:tc>
          <w:tcPr>
            <w:tcW w:w="52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20" w:type="dxa"/>
            <w:vAlign w:val="bottom"/>
          </w:tcPr>
          <w:p>
            <w:pPr>
              <w:jc w:val="right"/>
              <w:ind w:right="552"/>
              <w:spacing w:after="0" w:line="203" w:lineRule="exact"/>
              <w:rPr>
                <w:sz w:val="20"/>
                <w:szCs w:val="20"/>
                <w:color w:val="auto"/>
              </w:rPr>
            </w:pPr>
            <w:r>
              <w:rPr>
                <w:rFonts w:ascii="Courier New" w:cs="Courier New" w:eastAsia="Courier New" w:hAnsi="Courier New"/>
                <w:sz w:val="18"/>
                <w:szCs w:val="18"/>
                <w:color w:val="auto"/>
              </w:rPr>
              <w:t>2001</w:t>
            </w:r>
          </w:p>
        </w:tc>
        <w:tc>
          <w:tcPr>
            <w:tcW w:w="420" w:type="dxa"/>
            <w:vAlign w:val="bottom"/>
          </w:tcPr>
          <w:p>
            <w:pPr>
              <w:spacing w:after="0"/>
              <w:rPr>
                <w:sz w:val="17"/>
                <w:szCs w:val="17"/>
                <w:color w:val="auto"/>
              </w:rPr>
            </w:pPr>
          </w:p>
        </w:tc>
        <w:tc>
          <w:tcPr>
            <w:tcW w:w="11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2000</w:t>
            </w:r>
          </w:p>
        </w:tc>
        <w:tc>
          <w:tcPr>
            <w:tcW w:w="320" w:type="dxa"/>
            <w:vAlign w:val="bottom"/>
          </w:tcPr>
          <w:p>
            <w:pPr>
              <w:spacing w:after="0"/>
              <w:rPr>
                <w:sz w:val="17"/>
                <w:szCs w:val="17"/>
                <w:color w:val="auto"/>
              </w:rPr>
            </w:pPr>
          </w:p>
        </w:tc>
        <w:tc>
          <w:tcPr>
            <w:tcW w:w="1220" w:type="dxa"/>
            <w:vAlign w:val="bottom"/>
          </w:tcPr>
          <w:p>
            <w:pPr>
              <w:jc w:val="right"/>
              <w:ind w:right="552"/>
              <w:spacing w:after="0" w:line="203" w:lineRule="exact"/>
              <w:rPr>
                <w:sz w:val="20"/>
                <w:szCs w:val="20"/>
                <w:color w:val="auto"/>
              </w:rPr>
            </w:pPr>
            <w:r>
              <w:rPr>
                <w:rFonts w:ascii="Courier New" w:cs="Courier New" w:eastAsia="Courier New" w:hAnsi="Courier New"/>
                <w:sz w:val="18"/>
                <w:szCs w:val="18"/>
                <w:color w:val="auto"/>
              </w:rPr>
              <w:t>2001</w:t>
            </w:r>
          </w:p>
        </w:tc>
        <w:tc>
          <w:tcPr>
            <w:tcW w:w="420" w:type="dxa"/>
            <w:vAlign w:val="bottom"/>
          </w:tcPr>
          <w:p>
            <w:pPr>
              <w:spacing w:after="0"/>
              <w:rPr>
                <w:sz w:val="17"/>
                <w:szCs w:val="17"/>
                <w:color w:val="auto"/>
              </w:rPr>
            </w:pPr>
          </w:p>
        </w:tc>
        <w:tc>
          <w:tcPr>
            <w:tcW w:w="9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2000</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220" w:type="dxa"/>
            <w:vAlign w:val="bottom"/>
          </w:tcPr>
          <w:p>
            <w:pPr>
              <w:spacing w:after="0"/>
              <w:rPr>
                <w:sz w:val="20"/>
                <w:szCs w:val="20"/>
                <w:color w:val="auto"/>
              </w:rPr>
            </w:pPr>
            <w:r>
              <w:rPr>
                <w:rFonts w:ascii="Courier New" w:cs="Courier New" w:eastAsia="Courier New" w:hAnsi="Courier New"/>
                <w:sz w:val="18"/>
                <w:szCs w:val="18"/>
                <w:color w:val="auto"/>
              </w:rPr>
              <w:t>Net revenue</w:t>
            </w:r>
          </w:p>
        </w:tc>
        <w:tc>
          <w:tcPr>
            <w:tcW w:w="420" w:type="dxa"/>
            <w:vAlign w:val="bottom"/>
          </w:tcPr>
          <w:p>
            <w:pPr>
              <w:ind w:left="260"/>
              <w:spacing w:after="0"/>
              <w:rPr>
                <w:sz w:val="20"/>
                <w:szCs w:val="20"/>
                <w:color w:val="auto"/>
              </w:rPr>
            </w:pPr>
            <w:r>
              <w:rPr>
                <w:rFonts w:ascii="Courier New" w:cs="Courier New" w:eastAsia="Courier New" w:hAnsi="Courier New"/>
                <w:sz w:val="18"/>
                <w:szCs w:val="18"/>
                <w:color w:val="auto"/>
              </w:rPr>
              <w:t>$</w:t>
            </w:r>
          </w:p>
        </w:tc>
        <w:tc>
          <w:tcPr>
            <w:tcW w:w="122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73,100</w:t>
            </w:r>
          </w:p>
        </w:tc>
        <w:tc>
          <w:tcPr>
            <w:tcW w:w="420" w:type="dxa"/>
            <w:vAlign w:val="bottom"/>
          </w:tcPr>
          <w:p>
            <w:pPr>
              <w:ind w:left="200"/>
              <w:spacing w:after="0"/>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172"/>
              <w:spacing w:after="0"/>
              <w:rPr>
                <w:sz w:val="20"/>
                <w:szCs w:val="20"/>
                <w:color w:val="auto"/>
              </w:rPr>
            </w:pPr>
            <w:r>
              <w:rPr>
                <w:rFonts w:ascii="Courier New" w:cs="Courier New" w:eastAsia="Courier New" w:hAnsi="Courier New"/>
                <w:sz w:val="18"/>
                <w:szCs w:val="18"/>
                <w:color w:val="auto"/>
              </w:rPr>
              <w:t>36,212</w:t>
            </w:r>
          </w:p>
        </w:tc>
        <w:tc>
          <w:tcPr>
            <w:tcW w:w="320" w:type="dxa"/>
            <w:vAlign w:val="bottom"/>
          </w:tcPr>
          <w:p>
            <w:pPr>
              <w:ind w:left="160"/>
              <w:spacing w:after="0"/>
              <w:rPr>
                <w:sz w:val="20"/>
                <w:szCs w:val="20"/>
                <w:color w:val="auto"/>
              </w:rPr>
            </w:pPr>
            <w:r>
              <w:rPr>
                <w:rFonts w:ascii="Courier New" w:cs="Courier New" w:eastAsia="Courier New" w:hAnsi="Courier New"/>
                <w:sz w:val="18"/>
                <w:szCs w:val="18"/>
                <w:color w:val="auto"/>
              </w:rPr>
              <w:t>$</w:t>
            </w:r>
          </w:p>
        </w:tc>
        <w:tc>
          <w:tcPr>
            <w:tcW w:w="122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205,979</w:t>
            </w:r>
          </w:p>
        </w:tc>
        <w:tc>
          <w:tcPr>
            <w:tcW w:w="420" w:type="dxa"/>
            <w:vAlign w:val="bottom"/>
          </w:tcPr>
          <w:p>
            <w:pPr>
              <w:ind w:left="200"/>
              <w:spacing w:after="0"/>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98,051</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Cost of goods sold</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33,491</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16,999</w:t>
            </w:r>
          </w:p>
        </w:tc>
        <w:tc>
          <w:tcPr>
            <w:tcW w:w="3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94,275</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45,259</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Gross profit</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39,609</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19,213</w:t>
            </w:r>
          </w:p>
        </w:tc>
        <w:tc>
          <w:tcPr>
            <w:tcW w:w="3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111,704</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52,792</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expenses:</w:t>
            </w:r>
          </w:p>
        </w:tc>
        <w:tc>
          <w:tcPr>
            <w:tcW w:w="4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52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Research and development</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24,072</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9,436</w:t>
            </w:r>
          </w:p>
        </w:tc>
        <w:tc>
          <w:tcPr>
            <w:tcW w:w="3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65,981</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23,366</w:t>
            </w:r>
          </w:p>
        </w:tc>
      </w:tr>
      <w:tr>
        <w:trPr>
          <w:trHeight w:val="203"/>
        </w:trPr>
        <w:tc>
          <w:tcPr>
            <w:tcW w:w="52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Selling and marketing</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9,980</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5,702</w:t>
            </w:r>
          </w:p>
        </w:tc>
        <w:tc>
          <w:tcPr>
            <w:tcW w:w="3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29,628</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15,381</w:t>
            </w:r>
          </w:p>
        </w:tc>
      </w:tr>
      <w:tr>
        <w:trPr>
          <w:trHeight w:val="203"/>
        </w:trPr>
        <w:tc>
          <w:tcPr>
            <w:tcW w:w="52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General and administrative</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3,329</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1,346</w:t>
            </w:r>
          </w:p>
        </w:tc>
        <w:tc>
          <w:tcPr>
            <w:tcW w:w="3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10,048</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4,277</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Total operating expenses</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37,381</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16,484</w:t>
            </w:r>
          </w:p>
        </w:tc>
        <w:tc>
          <w:tcPr>
            <w:tcW w:w="3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105,657</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43,024</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income</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2,228</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2,729</w:t>
            </w:r>
          </w:p>
        </w:tc>
        <w:tc>
          <w:tcPr>
            <w:tcW w:w="3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6,047</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9,768</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Interest and other income, net</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1,817</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1,811</w:t>
            </w:r>
          </w:p>
        </w:tc>
        <w:tc>
          <w:tcPr>
            <w:tcW w:w="3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7,243</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2,845</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Income before income taxes</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4,045</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4,540</w:t>
            </w:r>
          </w:p>
        </w:tc>
        <w:tc>
          <w:tcPr>
            <w:tcW w:w="3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13,290</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12,613</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Provision for income taxes</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607</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1,135</w:t>
            </w:r>
          </w:p>
        </w:tc>
        <w:tc>
          <w:tcPr>
            <w:tcW w:w="3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1,995</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3,153</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Pro forma net income</w:t>
            </w:r>
          </w:p>
        </w:tc>
        <w:tc>
          <w:tcPr>
            <w:tcW w:w="4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w:t>
            </w: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3,438</w:t>
            </w:r>
          </w:p>
        </w:tc>
        <w:tc>
          <w:tcPr>
            <w:tcW w:w="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3,405</w:t>
            </w:r>
          </w:p>
        </w:tc>
        <w:tc>
          <w:tcPr>
            <w:tcW w:w="3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w:t>
            </w: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11,295</w:t>
            </w:r>
          </w:p>
        </w:tc>
        <w:tc>
          <w:tcPr>
            <w:tcW w:w="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9,460</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220" w:type="dxa"/>
            <w:vAlign w:val="bottom"/>
          </w:tcPr>
          <w:p>
            <w:pPr>
              <w:spacing w:after="0"/>
              <w:rPr>
                <w:sz w:val="20"/>
                <w:szCs w:val="20"/>
                <w:color w:val="auto"/>
              </w:rPr>
            </w:pPr>
            <w:r>
              <w:rPr>
                <w:rFonts w:ascii="Courier New" w:cs="Courier New" w:eastAsia="Courier New" w:hAnsi="Courier New"/>
                <w:sz w:val="18"/>
                <w:szCs w:val="18"/>
                <w:color w:val="auto"/>
              </w:rPr>
              <w:t>Basic pro forma net income per share</w:t>
            </w:r>
          </w:p>
        </w:tc>
        <w:tc>
          <w:tcPr>
            <w:tcW w:w="420" w:type="dxa"/>
            <w:vAlign w:val="bottom"/>
          </w:tcPr>
          <w:p>
            <w:pPr>
              <w:ind w:left="260"/>
              <w:spacing w:after="0"/>
              <w:rPr>
                <w:sz w:val="20"/>
                <w:szCs w:val="20"/>
                <w:color w:val="auto"/>
              </w:rPr>
            </w:pPr>
            <w:r>
              <w:rPr>
                <w:rFonts w:ascii="Courier New" w:cs="Courier New" w:eastAsia="Courier New" w:hAnsi="Courier New"/>
                <w:sz w:val="18"/>
                <w:szCs w:val="18"/>
                <w:color w:val="auto"/>
              </w:rPr>
              <w:t>$</w:t>
            </w:r>
          </w:p>
        </w:tc>
        <w:tc>
          <w:tcPr>
            <w:tcW w:w="122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0.03</w:t>
            </w:r>
          </w:p>
        </w:tc>
        <w:tc>
          <w:tcPr>
            <w:tcW w:w="420" w:type="dxa"/>
            <w:vAlign w:val="bottom"/>
          </w:tcPr>
          <w:p>
            <w:pPr>
              <w:ind w:left="200"/>
              <w:spacing w:after="0"/>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172"/>
              <w:spacing w:after="0"/>
              <w:rPr>
                <w:sz w:val="20"/>
                <w:szCs w:val="20"/>
                <w:color w:val="auto"/>
              </w:rPr>
            </w:pPr>
            <w:r>
              <w:rPr>
                <w:rFonts w:ascii="Courier New" w:cs="Courier New" w:eastAsia="Courier New" w:hAnsi="Courier New"/>
                <w:sz w:val="18"/>
                <w:szCs w:val="18"/>
                <w:color w:val="auto"/>
              </w:rPr>
              <w:t>0.04</w:t>
            </w:r>
          </w:p>
        </w:tc>
        <w:tc>
          <w:tcPr>
            <w:tcW w:w="320" w:type="dxa"/>
            <w:vAlign w:val="bottom"/>
          </w:tcPr>
          <w:p>
            <w:pPr>
              <w:ind w:left="160"/>
              <w:spacing w:after="0"/>
              <w:rPr>
                <w:sz w:val="20"/>
                <w:szCs w:val="20"/>
                <w:color w:val="auto"/>
              </w:rPr>
            </w:pPr>
            <w:r>
              <w:rPr>
                <w:rFonts w:ascii="Courier New" w:cs="Courier New" w:eastAsia="Courier New" w:hAnsi="Courier New"/>
                <w:sz w:val="18"/>
                <w:szCs w:val="18"/>
                <w:color w:val="auto"/>
              </w:rPr>
              <w:t>$</w:t>
            </w:r>
          </w:p>
        </w:tc>
        <w:tc>
          <w:tcPr>
            <w:tcW w:w="122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0.10</w:t>
            </w:r>
          </w:p>
        </w:tc>
        <w:tc>
          <w:tcPr>
            <w:tcW w:w="420" w:type="dxa"/>
            <w:vAlign w:val="bottom"/>
          </w:tcPr>
          <w:p>
            <w:pPr>
              <w:ind w:left="200"/>
              <w:spacing w:after="0"/>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0.16</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Diluted pro forma net income per share</w:t>
            </w:r>
          </w:p>
        </w:tc>
        <w:tc>
          <w:tcPr>
            <w:tcW w:w="4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w:t>
            </w: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0.03</w:t>
            </w:r>
          </w:p>
        </w:tc>
        <w:tc>
          <w:tcPr>
            <w:tcW w:w="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0.04</w:t>
            </w:r>
          </w:p>
        </w:tc>
        <w:tc>
          <w:tcPr>
            <w:tcW w:w="3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w:t>
            </w: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0.09</w:t>
            </w:r>
          </w:p>
        </w:tc>
        <w:tc>
          <w:tcPr>
            <w:tcW w:w="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0.10</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220" w:type="dxa"/>
            <w:vAlign w:val="bottom"/>
          </w:tcPr>
          <w:p>
            <w:pPr>
              <w:spacing w:after="0"/>
              <w:rPr>
                <w:sz w:val="20"/>
                <w:szCs w:val="20"/>
                <w:color w:val="auto"/>
              </w:rPr>
            </w:pPr>
            <w:r>
              <w:rPr>
                <w:rFonts w:ascii="Courier New" w:cs="Courier New" w:eastAsia="Courier New" w:hAnsi="Courier New"/>
                <w:sz w:val="18"/>
                <w:szCs w:val="18"/>
                <w:color w:val="auto"/>
              </w:rPr>
              <w:t>Weighted average shares -- basic</w:t>
            </w:r>
          </w:p>
        </w:tc>
        <w:tc>
          <w:tcPr>
            <w:tcW w:w="420" w:type="dxa"/>
            <w:vAlign w:val="bottom"/>
          </w:tcPr>
          <w:p>
            <w:pPr>
              <w:spacing w:after="0"/>
              <w:rPr>
                <w:sz w:val="24"/>
                <w:szCs w:val="24"/>
                <w:color w:val="auto"/>
              </w:rPr>
            </w:pPr>
          </w:p>
        </w:tc>
        <w:tc>
          <w:tcPr>
            <w:tcW w:w="122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114,787</w:t>
            </w:r>
          </w:p>
        </w:tc>
        <w:tc>
          <w:tcPr>
            <w:tcW w:w="420" w:type="dxa"/>
            <w:vAlign w:val="bottom"/>
          </w:tcPr>
          <w:p>
            <w:pPr>
              <w:spacing w:after="0"/>
              <w:rPr>
                <w:sz w:val="24"/>
                <w:szCs w:val="24"/>
                <w:color w:val="auto"/>
              </w:rPr>
            </w:pPr>
          </w:p>
        </w:tc>
        <w:tc>
          <w:tcPr>
            <w:tcW w:w="1100" w:type="dxa"/>
            <w:vAlign w:val="bottom"/>
          </w:tcPr>
          <w:p>
            <w:pPr>
              <w:jc w:val="right"/>
              <w:ind w:right="172"/>
              <w:spacing w:after="0"/>
              <w:rPr>
                <w:sz w:val="20"/>
                <w:szCs w:val="20"/>
                <w:color w:val="auto"/>
              </w:rPr>
            </w:pPr>
            <w:r>
              <w:rPr>
                <w:rFonts w:ascii="Courier New" w:cs="Courier New" w:eastAsia="Courier New" w:hAnsi="Courier New"/>
                <w:sz w:val="18"/>
                <w:szCs w:val="18"/>
                <w:color w:val="auto"/>
              </w:rPr>
              <w:t>79,625</w:t>
            </w:r>
          </w:p>
        </w:tc>
        <w:tc>
          <w:tcPr>
            <w:tcW w:w="320" w:type="dxa"/>
            <w:vAlign w:val="bottom"/>
          </w:tcPr>
          <w:p>
            <w:pPr>
              <w:spacing w:after="0"/>
              <w:rPr>
                <w:sz w:val="24"/>
                <w:szCs w:val="24"/>
                <w:color w:val="auto"/>
              </w:rPr>
            </w:pPr>
          </w:p>
        </w:tc>
        <w:tc>
          <w:tcPr>
            <w:tcW w:w="122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113,673</w:t>
            </w:r>
          </w:p>
        </w:tc>
        <w:tc>
          <w:tcPr>
            <w:tcW w:w="420" w:type="dxa"/>
            <w:vAlign w:val="bottom"/>
          </w:tcPr>
          <w:p>
            <w:pPr>
              <w:spacing w:after="0"/>
              <w:rPr>
                <w:sz w:val="24"/>
                <w:szCs w:val="24"/>
                <w:color w:val="auto"/>
              </w:rPr>
            </w:pPr>
          </w:p>
        </w:tc>
        <w:tc>
          <w:tcPr>
            <w:tcW w:w="9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60,343</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shares -- diluted</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127,249</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97,150</w:t>
            </w:r>
          </w:p>
        </w:tc>
        <w:tc>
          <w:tcPr>
            <w:tcW w:w="3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126,616</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90,667</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608"/>
        </w:trPr>
        <w:tc>
          <w:tcPr>
            <w:tcW w:w="5220" w:type="dxa"/>
            <w:vAlign w:val="bottom"/>
          </w:tcPr>
          <w:p>
            <w:pPr>
              <w:spacing w:after="0"/>
              <w:rPr>
                <w:sz w:val="20"/>
                <w:szCs w:val="20"/>
                <w:color w:val="auto"/>
              </w:rPr>
            </w:pPr>
            <w:r>
              <w:rPr>
                <w:rFonts w:ascii="Courier New" w:cs="Courier New" w:eastAsia="Courier New" w:hAnsi="Courier New"/>
                <w:sz w:val="18"/>
                <w:szCs w:val="18"/>
                <w:color w:val="auto"/>
              </w:rPr>
              <w:t>RECONCILIATION TO GAAP NET INCOME (LOSS):</w:t>
            </w:r>
          </w:p>
        </w:tc>
        <w:tc>
          <w:tcPr>
            <w:tcW w:w="4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Pro forma net income</w:t>
            </w:r>
          </w:p>
        </w:tc>
        <w:tc>
          <w:tcPr>
            <w:tcW w:w="4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w:t>
            </w: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3,438</w:t>
            </w:r>
          </w:p>
        </w:tc>
        <w:tc>
          <w:tcPr>
            <w:tcW w:w="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3,405</w:t>
            </w:r>
          </w:p>
        </w:tc>
        <w:tc>
          <w:tcPr>
            <w:tcW w:w="3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w:t>
            </w: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11,295</w:t>
            </w:r>
          </w:p>
        </w:tc>
        <w:tc>
          <w:tcPr>
            <w:tcW w:w="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9,460</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Amortization of stock-based compensation</w:t>
            </w:r>
          </w:p>
        </w:tc>
        <w:tc>
          <w:tcPr>
            <w:tcW w:w="420" w:type="dxa"/>
            <w:vAlign w:val="bottom"/>
          </w:tcPr>
          <w:p>
            <w:pPr>
              <w:spacing w:after="0"/>
              <w:rPr>
                <w:sz w:val="17"/>
                <w:szCs w:val="17"/>
                <w:color w:val="auto"/>
              </w:rPr>
            </w:pPr>
          </w:p>
        </w:tc>
        <w:tc>
          <w:tcPr>
            <w:tcW w:w="12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(4,051)</w:t>
            </w:r>
          </w:p>
        </w:tc>
        <w:tc>
          <w:tcPr>
            <w:tcW w:w="420" w:type="dxa"/>
            <w:vAlign w:val="bottom"/>
          </w:tcPr>
          <w:p>
            <w:pPr>
              <w:spacing w:after="0"/>
              <w:rPr>
                <w:sz w:val="17"/>
                <w:szCs w:val="17"/>
                <w:color w:val="auto"/>
              </w:rPr>
            </w:pPr>
          </w:p>
        </w:tc>
        <w:tc>
          <w:tcPr>
            <w:tcW w:w="11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(2,143)</w:t>
            </w:r>
          </w:p>
        </w:tc>
        <w:tc>
          <w:tcPr>
            <w:tcW w:w="320" w:type="dxa"/>
            <w:vAlign w:val="bottom"/>
          </w:tcPr>
          <w:p>
            <w:pPr>
              <w:spacing w:after="0"/>
              <w:rPr>
                <w:sz w:val="17"/>
                <w:szCs w:val="17"/>
                <w:color w:val="auto"/>
              </w:rPr>
            </w:pPr>
          </w:p>
        </w:tc>
        <w:tc>
          <w:tcPr>
            <w:tcW w:w="12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(12,259)</w:t>
            </w:r>
          </w:p>
        </w:tc>
        <w:tc>
          <w:tcPr>
            <w:tcW w:w="420" w:type="dxa"/>
            <w:vAlign w:val="bottom"/>
          </w:tcPr>
          <w:p>
            <w:pPr>
              <w:spacing w:after="0"/>
              <w:rPr>
                <w:sz w:val="17"/>
                <w:szCs w:val="17"/>
                <w:color w:val="auto"/>
              </w:rPr>
            </w:pPr>
          </w:p>
        </w:tc>
        <w:tc>
          <w:tcPr>
            <w:tcW w:w="9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(6,627)</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Amortization of goodwill and acquired</w:t>
            </w:r>
          </w:p>
        </w:tc>
        <w:tc>
          <w:tcPr>
            <w:tcW w:w="4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52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intangible assets</w:t>
            </w:r>
          </w:p>
        </w:tc>
        <w:tc>
          <w:tcPr>
            <w:tcW w:w="420" w:type="dxa"/>
            <w:vAlign w:val="bottom"/>
          </w:tcPr>
          <w:p>
            <w:pPr>
              <w:spacing w:after="0"/>
              <w:rPr>
                <w:sz w:val="17"/>
                <w:szCs w:val="17"/>
                <w:color w:val="auto"/>
              </w:rPr>
            </w:pPr>
          </w:p>
        </w:tc>
        <w:tc>
          <w:tcPr>
            <w:tcW w:w="12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(104,508)</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320" w:type="dxa"/>
            <w:vAlign w:val="bottom"/>
          </w:tcPr>
          <w:p>
            <w:pPr>
              <w:spacing w:after="0"/>
              <w:rPr>
                <w:sz w:val="17"/>
                <w:szCs w:val="17"/>
                <w:color w:val="auto"/>
              </w:rPr>
            </w:pPr>
          </w:p>
        </w:tc>
        <w:tc>
          <w:tcPr>
            <w:tcW w:w="12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(313,524)</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Amortization of inventory fair value adjustment</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320" w:type="dxa"/>
            <w:vAlign w:val="bottom"/>
          </w:tcPr>
          <w:p>
            <w:pPr>
              <w:spacing w:after="0"/>
              <w:rPr>
                <w:sz w:val="17"/>
                <w:szCs w:val="17"/>
                <w:color w:val="auto"/>
              </w:rPr>
            </w:pPr>
          </w:p>
        </w:tc>
        <w:tc>
          <w:tcPr>
            <w:tcW w:w="12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(796)</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Income tax effect</w:t>
            </w:r>
          </w:p>
        </w:tc>
        <w:tc>
          <w:tcPr>
            <w:tcW w:w="4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536</w:t>
            </w:r>
          </w:p>
        </w:tc>
        <w:tc>
          <w:tcPr>
            <w:tcW w:w="320" w:type="dxa"/>
            <w:vAlign w:val="bottom"/>
          </w:tcPr>
          <w:p>
            <w:pPr>
              <w:spacing w:after="0"/>
              <w:rPr>
                <w:sz w:val="17"/>
                <w:szCs w:val="17"/>
                <w:color w:val="auto"/>
              </w:rPr>
            </w:pPr>
          </w:p>
        </w:tc>
        <w:tc>
          <w:tcPr>
            <w:tcW w:w="12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1,657</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220" w:type="dxa"/>
            <w:vAlign w:val="bottom"/>
          </w:tcPr>
          <w:p>
            <w:pPr>
              <w:spacing w:after="0" w:line="203" w:lineRule="exact"/>
              <w:rPr>
                <w:sz w:val="20"/>
                <w:szCs w:val="20"/>
                <w:color w:val="auto"/>
              </w:rPr>
            </w:pPr>
            <w:r>
              <w:rPr>
                <w:rFonts w:ascii="Courier New" w:cs="Courier New" w:eastAsia="Courier New" w:hAnsi="Courier New"/>
                <w:sz w:val="18"/>
                <w:szCs w:val="18"/>
                <w:color w:val="auto"/>
              </w:rPr>
              <w:t>GAAP net income (loss)</w:t>
            </w:r>
          </w:p>
        </w:tc>
        <w:tc>
          <w:tcPr>
            <w:tcW w:w="164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 (105,121)</w:t>
            </w:r>
          </w:p>
        </w:tc>
        <w:tc>
          <w:tcPr>
            <w:tcW w:w="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1,798</w:t>
            </w:r>
          </w:p>
        </w:tc>
        <w:tc>
          <w:tcPr>
            <w:tcW w:w="154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 (315,284)</w:t>
            </w:r>
          </w:p>
        </w:tc>
        <w:tc>
          <w:tcPr>
            <w:tcW w:w="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4,490</w:t>
            </w:r>
          </w:p>
        </w:tc>
      </w:tr>
      <w:tr>
        <w:trPr>
          <w:trHeight w:val="203"/>
        </w:trPr>
        <w:tc>
          <w:tcPr>
            <w:tcW w:w="5220" w:type="dxa"/>
            <w:vAlign w:val="bottom"/>
          </w:tcPr>
          <w:p>
            <w:pPr>
              <w:spacing w:after="0"/>
              <w:rPr>
                <w:sz w:val="17"/>
                <w:szCs w:val="17"/>
                <w:color w:val="auto"/>
              </w:rPr>
            </w:pPr>
          </w:p>
        </w:tc>
        <w:tc>
          <w:tcPr>
            <w:tcW w:w="16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2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0" w:lineRule="exact"/>
        <w:rPr>
          <w:sz w:val="20"/>
          <w:szCs w:val="20"/>
          <w:color w:val="auto"/>
        </w:rPr>
      </w:pPr>
    </w:p>
    <w:p>
      <w:pPr>
        <w:spacing w:after="0" w:line="209" w:lineRule="exact"/>
        <w:rPr>
          <w:sz w:val="20"/>
          <w:szCs w:val="20"/>
          <w:color w:val="auto"/>
        </w:rPr>
      </w:pPr>
    </w:p>
    <w:p>
      <w:pPr>
        <w:ind w:right="2840"/>
        <w:spacing w:after="0" w:line="237" w:lineRule="auto"/>
        <w:rPr>
          <w:sz w:val="20"/>
          <w:szCs w:val="20"/>
          <w:color w:val="auto"/>
        </w:rPr>
      </w:pPr>
      <w:r>
        <w:rPr>
          <w:rFonts w:ascii="Courier New" w:cs="Courier New" w:eastAsia="Courier New" w:hAnsi="Courier New"/>
          <w:sz w:val="18"/>
          <w:szCs w:val="18"/>
          <w:color w:val="auto"/>
        </w:rPr>
        <w:t>The above pro forma statements of operations are for informational purposes only. They are not prepared in accordance with GAAP and should not be considered a substitute for our historical financial information prepared in accordance with GAAP.</w:t>
      </w:r>
    </w:p>
    <w:p>
      <w:pPr>
        <w:sectPr>
          <w:pgSz w:w="11900" w:h="16838" w:orient="portrait"/>
          <w:cols w:equalWidth="0" w:num="1">
            <w:col w:w="11280"/>
          </w:cols>
          <w:pgMar w:left="240" w:top="514" w:right="379" w:bottom="1440" w:gutter="0" w:footer="0" w:header="0"/>
        </w:sectPr>
      </w:pPr>
    </w:p>
    <w:bookmarkStart w:id="8" w:name="page9"/>
    <w:bookmarkEnd w:id="8"/>
    <w:p>
      <w:pPr>
        <w:jc w:val="center"/>
        <w:ind w:right="2640"/>
        <w:spacing w:after="0"/>
        <w:rPr>
          <w:sz w:val="20"/>
          <w:szCs w:val="20"/>
          <w:color w:val="auto"/>
        </w:rPr>
      </w:pPr>
      <w:r>
        <w:rPr>
          <w:rFonts w:ascii="Courier New" w:cs="Courier New" w:eastAsia="Courier New" w:hAnsi="Courier New"/>
          <w:sz w:val="18"/>
          <w:szCs w:val="18"/>
          <w:color w:val="auto"/>
        </w:rPr>
        <w:t>MARVELL TECHNOLOGY GROUP LTD.</w:t>
      </w:r>
    </w:p>
    <w:p>
      <w:pPr>
        <w:jc w:val="center"/>
        <w:ind w:right="2640"/>
        <w:spacing w:after="0" w:line="238" w:lineRule="auto"/>
        <w:rPr>
          <w:sz w:val="20"/>
          <w:szCs w:val="20"/>
          <w:color w:val="auto"/>
        </w:rPr>
      </w:pPr>
      <w:r>
        <w:rPr>
          <w:rFonts w:ascii="Courier New" w:cs="Courier New" w:eastAsia="Courier New" w:hAnsi="Courier New"/>
          <w:sz w:val="18"/>
          <w:szCs w:val="18"/>
          <w:color w:val="auto"/>
        </w:rPr>
        <w:t>CONSOLIDATED STATEMENTS OF OPERATIONS</w:t>
      </w:r>
    </w:p>
    <w:p>
      <w:pPr>
        <w:jc w:val="center"/>
        <w:ind w:right="2640"/>
        <w:spacing w:after="0"/>
        <w:rPr>
          <w:sz w:val="20"/>
          <w:szCs w:val="20"/>
          <w:color w:val="auto"/>
        </w:rPr>
      </w:pPr>
      <w:r>
        <w:rPr>
          <w:rFonts w:ascii="Courier New" w:cs="Courier New" w:eastAsia="Courier New" w:hAnsi="Courier New"/>
          <w:sz w:val="18"/>
          <w:szCs w:val="18"/>
          <w:color w:val="auto"/>
        </w:rPr>
        <w:t>(UNAUDITED)</w:t>
      </w:r>
    </w:p>
    <w:tbl>
      <w:tblPr>
        <w:tblLayout w:type="fixed"/>
        <w:tblInd w:w="0" w:type="dxa"/>
        <w:tblCellMar>
          <w:top w:w="0" w:type="dxa"/>
          <w:left w:w="0" w:type="dxa"/>
          <w:bottom w:w="0" w:type="dxa"/>
          <w:right w:w="0" w:type="dxa"/>
        </w:tblCellMar>
      </w:tblPr>
      <w:tr>
        <w:trPr>
          <w:trHeight w:val="202"/>
        </w:trPr>
        <w:tc>
          <w:tcPr>
            <w:tcW w:w="6640" w:type="dxa"/>
            <w:vAlign w:val="bottom"/>
            <w:gridSpan w:val="3"/>
          </w:tcPr>
          <w:p>
            <w:pPr>
              <w:jc w:val="right"/>
              <w:ind w:right="232"/>
              <w:spacing w:after="0" w:line="202" w:lineRule="exact"/>
              <w:rPr>
                <w:sz w:val="20"/>
                <w:szCs w:val="20"/>
                <w:color w:val="auto"/>
              </w:rPr>
            </w:pPr>
            <w:r>
              <w:rPr>
                <w:rFonts w:ascii="Courier New" w:cs="Courier New" w:eastAsia="Courier New" w:hAnsi="Courier New"/>
                <w:sz w:val="18"/>
                <w:szCs w:val="18"/>
                <w:color w:val="auto"/>
              </w:rPr>
              <w:t>(IN THOUSANDS, EXCEPT PER SHARE AMOUNTS)</w:t>
            </w:r>
          </w:p>
        </w:tc>
        <w:tc>
          <w:tcPr>
            <w:tcW w:w="4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60" w:type="dxa"/>
            <w:vAlign w:val="bottom"/>
          </w:tcPr>
          <w:p>
            <w:pPr>
              <w:spacing w:after="0"/>
              <w:rPr>
                <w:sz w:val="17"/>
                <w:szCs w:val="17"/>
                <w:color w:val="auto"/>
              </w:rPr>
            </w:pPr>
          </w:p>
        </w:tc>
      </w:tr>
      <w:tr>
        <w:trPr>
          <w:trHeight w:val="810"/>
        </w:trPr>
        <w:tc>
          <w:tcPr>
            <w:tcW w:w="50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780" w:type="dxa"/>
            <w:vAlign w:val="bottom"/>
            <w:gridSpan w:val="3"/>
          </w:tcPr>
          <w:p>
            <w:pPr>
              <w:ind w:left="160"/>
              <w:spacing w:after="0"/>
              <w:rPr>
                <w:sz w:val="20"/>
                <w:szCs w:val="20"/>
                <w:color w:val="auto"/>
              </w:rPr>
            </w:pPr>
            <w:r>
              <w:rPr>
                <w:rFonts w:ascii="Courier New" w:cs="Courier New" w:eastAsia="Courier New" w:hAnsi="Courier New"/>
                <w:sz w:val="18"/>
                <w:szCs w:val="18"/>
                <w:color w:val="auto"/>
              </w:rPr>
              <w:t>THREE MONTHS ENDED</w:t>
            </w:r>
          </w:p>
        </w:tc>
        <w:tc>
          <w:tcPr>
            <w:tcW w:w="380" w:type="dxa"/>
            <w:vAlign w:val="bottom"/>
          </w:tcPr>
          <w:p>
            <w:pPr>
              <w:spacing w:after="0"/>
              <w:rPr>
                <w:sz w:val="24"/>
                <w:szCs w:val="24"/>
                <w:color w:val="auto"/>
              </w:rPr>
            </w:pPr>
          </w:p>
        </w:tc>
        <w:tc>
          <w:tcPr>
            <w:tcW w:w="2580" w:type="dxa"/>
            <w:vAlign w:val="bottom"/>
            <w:gridSpan w:val="3"/>
          </w:tcPr>
          <w:p>
            <w:pPr>
              <w:jc w:val="right"/>
              <w:ind w:right="452"/>
              <w:spacing w:after="0"/>
              <w:rPr>
                <w:sz w:val="20"/>
                <w:szCs w:val="20"/>
                <w:color w:val="auto"/>
              </w:rPr>
            </w:pPr>
            <w:r>
              <w:rPr>
                <w:rFonts w:ascii="Courier New" w:cs="Courier New" w:eastAsia="Courier New" w:hAnsi="Courier New"/>
                <w:sz w:val="18"/>
                <w:szCs w:val="18"/>
                <w:color w:val="auto"/>
              </w:rPr>
              <w:t>NINE MONTHS ENDED</w:t>
            </w:r>
          </w:p>
        </w:tc>
      </w:tr>
      <w:tr>
        <w:trPr>
          <w:trHeight w:val="203"/>
        </w:trPr>
        <w:tc>
          <w:tcPr>
            <w:tcW w:w="5020" w:type="dxa"/>
            <w:vAlign w:val="bottom"/>
          </w:tcPr>
          <w:p>
            <w:pPr>
              <w:spacing w:after="0"/>
              <w:rPr>
                <w:sz w:val="17"/>
                <w:szCs w:val="17"/>
                <w:color w:val="auto"/>
              </w:rPr>
            </w:pPr>
          </w:p>
        </w:tc>
        <w:tc>
          <w:tcPr>
            <w:tcW w:w="3200" w:type="dxa"/>
            <w:vAlign w:val="bottom"/>
            <w:gridSpan w:val="4"/>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2960" w:type="dxa"/>
            <w:vAlign w:val="bottom"/>
            <w:gridSpan w:val="4"/>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020" w:type="dxa"/>
            <w:vAlign w:val="bottom"/>
          </w:tcPr>
          <w:p>
            <w:pPr>
              <w:spacing w:after="0"/>
              <w:rPr>
                <w:sz w:val="17"/>
                <w:szCs w:val="17"/>
                <w:color w:val="auto"/>
              </w:rPr>
            </w:pPr>
          </w:p>
        </w:tc>
        <w:tc>
          <w:tcPr>
            <w:tcW w:w="162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OCTOBER 27,</w:t>
            </w:r>
          </w:p>
        </w:tc>
        <w:tc>
          <w:tcPr>
            <w:tcW w:w="15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rPr>
              <w:t>OCTOBER 28,</w:t>
            </w:r>
          </w:p>
        </w:tc>
        <w:tc>
          <w:tcPr>
            <w:tcW w:w="15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rPr>
              <w:t>OCTOBER 27,</w:t>
            </w:r>
          </w:p>
        </w:tc>
        <w:tc>
          <w:tcPr>
            <w:tcW w:w="13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w w:val="95"/>
              </w:rPr>
              <w:t>OCTOBER 28,</w:t>
            </w:r>
          </w:p>
        </w:tc>
      </w:tr>
      <w:tr>
        <w:trPr>
          <w:trHeight w:val="203"/>
        </w:trPr>
        <w:tc>
          <w:tcPr>
            <w:tcW w:w="50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2001</w:t>
            </w:r>
          </w:p>
        </w:tc>
        <w:tc>
          <w:tcPr>
            <w:tcW w:w="420" w:type="dxa"/>
            <w:vAlign w:val="bottom"/>
          </w:tcPr>
          <w:p>
            <w:pPr>
              <w:spacing w:after="0"/>
              <w:rPr>
                <w:sz w:val="17"/>
                <w:szCs w:val="17"/>
                <w:color w:val="auto"/>
              </w:rPr>
            </w:pPr>
          </w:p>
        </w:tc>
        <w:tc>
          <w:tcPr>
            <w:tcW w:w="1160" w:type="dxa"/>
            <w:vAlign w:val="bottom"/>
          </w:tcPr>
          <w:p>
            <w:pPr>
              <w:jc w:val="right"/>
              <w:ind w:right="532"/>
              <w:spacing w:after="0" w:line="203" w:lineRule="exact"/>
              <w:rPr>
                <w:sz w:val="20"/>
                <w:szCs w:val="20"/>
                <w:color w:val="auto"/>
              </w:rPr>
            </w:pPr>
            <w:r>
              <w:rPr>
                <w:rFonts w:ascii="Courier New" w:cs="Courier New" w:eastAsia="Courier New" w:hAnsi="Courier New"/>
                <w:sz w:val="18"/>
                <w:szCs w:val="18"/>
                <w:color w:val="auto"/>
              </w:rPr>
              <w:t>2000</w:t>
            </w:r>
          </w:p>
        </w:tc>
        <w:tc>
          <w:tcPr>
            <w:tcW w:w="380" w:type="dxa"/>
            <w:vAlign w:val="bottom"/>
          </w:tcPr>
          <w:p>
            <w:pPr>
              <w:spacing w:after="0"/>
              <w:rPr>
                <w:sz w:val="17"/>
                <w:szCs w:val="17"/>
                <w:color w:val="auto"/>
              </w:rPr>
            </w:pPr>
          </w:p>
        </w:tc>
        <w:tc>
          <w:tcPr>
            <w:tcW w:w="1200" w:type="dxa"/>
            <w:vAlign w:val="bottom"/>
          </w:tcPr>
          <w:p>
            <w:pPr>
              <w:jc w:val="right"/>
              <w:ind w:right="532"/>
              <w:spacing w:after="0" w:line="203" w:lineRule="exact"/>
              <w:rPr>
                <w:sz w:val="20"/>
                <w:szCs w:val="20"/>
                <w:color w:val="auto"/>
              </w:rPr>
            </w:pPr>
            <w:r>
              <w:rPr>
                <w:rFonts w:ascii="Courier New" w:cs="Courier New" w:eastAsia="Courier New" w:hAnsi="Courier New"/>
                <w:sz w:val="18"/>
                <w:szCs w:val="18"/>
                <w:color w:val="auto"/>
              </w:rPr>
              <w:t>2001</w:t>
            </w:r>
          </w:p>
        </w:tc>
        <w:tc>
          <w:tcPr>
            <w:tcW w:w="420" w:type="dxa"/>
            <w:vAlign w:val="bottom"/>
          </w:tcPr>
          <w:p>
            <w:pPr>
              <w:spacing w:after="0"/>
              <w:rPr>
                <w:sz w:val="17"/>
                <w:szCs w:val="17"/>
                <w:color w:val="auto"/>
              </w:rPr>
            </w:pPr>
          </w:p>
        </w:tc>
        <w:tc>
          <w:tcPr>
            <w:tcW w:w="9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2000</w:t>
            </w:r>
          </w:p>
        </w:tc>
      </w:tr>
      <w:tr>
        <w:trPr>
          <w:trHeight w:val="203"/>
        </w:trPr>
        <w:tc>
          <w:tcPr>
            <w:tcW w:w="5020" w:type="dxa"/>
            <w:vAlign w:val="bottom"/>
          </w:tcPr>
          <w:p>
            <w:pPr>
              <w:spacing w:after="0"/>
              <w:rPr>
                <w:sz w:val="17"/>
                <w:szCs w:val="17"/>
                <w:color w:val="auto"/>
              </w:rPr>
            </w:pPr>
          </w:p>
        </w:tc>
        <w:tc>
          <w:tcPr>
            <w:tcW w:w="162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020" w:type="dxa"/>
            <w:vAlign w:val="bottom"/>
          </w:tcPr>
          <w:p>
            <w:pPr>
              <w:spacing w:after="0"/>
              <w:rPr>
                <w:sz w:val="20"/>
                <w:szCs w:val="20"/>
                <w:color w:val="auto"/>
              </w:rPr>
            </w:pPr>
            <w:r>
              <w:rPr>
                <w:rFonts w:ascii="Courier New" w:cs="Courier New" w:eastAsia="Courier New" w:hAnsi="Courier New"/>
                <w:sz w:val="18"/>
                <w:szCs w:val="18"/>
                <w:color w:val="auto"/>
              </w:rPr>
              <w:t>Net revenue</w:t>
            </w:r>
          </w:p>
        </w:tc>
        <w:tc>
          <w:tcPr>
            <w:tcW w:w="420" w:type="dxa"/>
            <w:vAlign w:val="bottom"/>
          </w:tcPr>
          <w:p>
            <w:pPr>
              <w:ind w:left="260"/>
              <w:spacing w:after="0"/>
              <w:rPr>
                <w:sz w:val="20"/>
                <w:szCs w:val="20"/>
                <w:color w:val="auto"/>
              </w:rPr>
            </w:pPr>
            <w:r>
              <w:rPr>
                <w:rFonts w:ascii="Courier New" w:cs="Courier New" w:eastAsia="Courier New" w:hAnsi="Courier New"/>
                <w:sz w:val="18"/>
                <w:szCs w:val="18"/>
                <w:color w:val="auto"/>
              </w:rPr>
              <w:t>$</w:t>
            </w:r>
          </w:p>
        </w:tc>
        <w:tc>
          <w:tcPr>
            <w:tcW w:w="120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73,100</w:t>
            </w:r>
          </w:p>
        </w:tc>
        <w:tc>
          <w:tcPr>
            <w:tcW w:w="420" w:type="dxa"/>
            <w:vAlign w:val="bottom"/>
          </w:tcPr>
          <w:p>
            <w:pPr>
              <w:ind w:left="220"/>
              <w:spacing w:after="0"/>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36,212</w:t>
            </w:r>
          </w:p>
        </w:tc>
        <w:tc>
          <w:tcPr>
            <w:tcW w:w="380" w:type="dxa"/>
            <w:vAlign w:val="bottom"/>
          </w:tcPr>
          <w:p>
            <w:pPr>
              <w:ind w:left="220"/>
              <w:spacing w:after="0"/>
              <w:rPr>
                <w:sz w:val="20"/>
                <w:szCs w:val="20"/>
                <w:color w:val="auto"/>
              </w:rPr>
            </w:pPr>
            <w:r>
              <w:rPr>
                <w:rFonts w:ascii="Courier New" w:cs="Courier New" w:eastAsia="Courier New" w:hAnsi="Courier New"/>
                <w:sz w:val="18"/>
                <w:szCs w:val="18"/>
                <w:color w:val="auto"/>
              </w:rPr>
              <w:t>$</w:t>
            </w:r>
          </w:p>
        </w:tc>
        <w:tc>
          <w:tcPr>
            <w:tcW w:w="120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205,979</w:t>
            </w:r>
          </w:p>
        </w:tc>
        <w:tc>
          <w:tcPr>
            <w:tcW w:w="420" w:type="dxa"/>
            <w:vAlign w:val="bottom"/>
          </w:tcPr>
          <w:p>
            <w:pPr>
              <w:ind w:left="220"/>
              <w:spacing w:after="0"/>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ind w:right="32"/>
              <w:spacing w:after="0"/>
              <w:rPr>
                <w:sz w:val="20"/>
                <w:szCs w:val="20"/>
                <w:color w:val="auto"/>
              </w:rPr>
            </w:pPr>
            <w:r>
              <w:rPr>
                <w:rFonts w:ascii="Courier New" w:cs="Courier New" w:eastAsia="Courier New" w:hAnsi="Courier New"/>
                <w:sz w:val="18"/>
                <w:szCs w:val="18"/>
                <w:color w:val="auto"/>
              </w:rPr>
              <w:t>98,051</w:t>
            </w:r>
          </w:p>
        </w:tc>
      </w:tr>
      <w:tr>
        <w:trPr>
          <w:trHeight w:val="203"/>
        </w:trPr>
        <w:tc>
          <w:tcPr>
            <w:tcW w:w="5020" w:type="dxa"/>
            <w:vAlign w:val="bottom"/>
          </w:tcPr>
          <w:p>
            <w:pPr>
              <w:spacing w:after="0" w:line="203" w:lineRule="exact"/>
              <w:rPr>
                <w:sz w:val="20"/>
                <w:szCs w:val="20"/>
                <w:color w:val="auto"/>
              </w:rPr>
            </w:pPr>
            <w:r>
              <w:rPr>
                <w:rFonts w:ascii="Courier New" w:cs="Courier New" w:eastAsia="Courier New" w:hAnsi="Courier New"/>
                <w:sz w:val="18"/>
                <w:szCs w:val="18"/>
                <w:color w:val="auto"/>
              </w:rPr>
              <w:t>Cost of goods sold</w:t>
            </w:r>
          </w:p>
        </w:tc>
        <w:tc>
          <w:tcPr>
            <w:tcW w:w="42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33,491</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16,999</w:t>
            </w:r>
          </w:p>
        </w:tc>
        <w:tc>
          <w:tcPr>
            <w:tcW w:w="38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95,071</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45,259</w:t>
            </w:r>
          </w:p>
        </w:tc>
      </w:tr>
      <w:tr>
        <w:trPr>
          <w:trHeight w:val="203"/>
        </w:trPr>
        <w:tc>
          <w:tcPr>
            <w:tcW w:w="5020" w:type="dxa"/>
            <w:vAlign w:val="bottom"/>
          </w:tcPr>
          <w:p>
            <w:pPr>
              <w:spacing w:after="0"/>
              <w:rPr>
                <w:sz w:val="17"/>
                <w:szCs w:val="17"/>
                <w:color w:val="auto"/>
              </w:rPr>
            </w:pPr>
          </w:p>
        </w:tc>
        <w:tc>
          <w:tcPr>
            <w:tcW w:w="162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020" w:type="dxa"/>
            <w:vAlign w:val="bottom"/>
          </w:tcPr>
          <w:p>
            <w:pPr>
              <w:spacing w:after="0" w:line="203" w:lineRule="exact"/>
              <w:rPr>
                <w:sz w:val="20"/>
                <w:szCs w:val="20"/>
                <w:color w:val="auto"/>
              </w:rPr>
            </w:pPr>
            <w:r>
              <w:rPr>
                <w:rFonts w:ascii="Courier New" w:cs="Courier New" w:eastAsia="Courier New" w:hAnsi="Courier New"/>
                <w:sz w:val="18"/>
                <w:szCs w:val="18"/>
                <w:color w:val="auto"/>
              </w:rPr>
              <w:t>Gross profit</w:t>
            </w:r>
          </w:p>
        </w:tc>
        <w:tc>
          <w:tcPr>
            <w:tcW w:w="42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39,609</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19,213</w:t>
            </w:r>
          </w:p>
        </w:tc>
        <w:tc>
          <w:tcPr>
            <w:tcW w:w="38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110,908</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52,792</w:t>
            </w:r>
          </w:p>
        </w:tc>
      </w:tr>
      <w:tr>
        <w:trPr>
          <w:trHeight w:val="203"/>
        </w:trPr>
        <w:tc>
          <w:tcPr>
            <w:tcW w:w="502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expenses:</w:t>
            </w:r>
          </w:p>
        </w:tc>
        <w:tc>
          <w:tcPr>
            <w:tcW w:w="4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60" w:type="dxa"/>
            <w:vAlign w:val="bottom"/>
          </w:tcPr>
          <w:p>
            <w:pPr>
              <w:spacing w:after="0"/>
              <w:rPr>
                <w:sz w:val="17"/>
                <w:szCs w:val="17"/>
                <w:color w:val="auto"/>
              </w:rPr>
            </w:pPr>
          </w:p>
        </w:tc>
      </w:tr>
      <w:tr>
        <w:trPr>
          <w:trHeight w:val="203"/>
        </w:trPr>
        <w:tc>
          <w:tcPr>
            <w:tcW w:w="50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Research and development</w:t>
            </w:r>
          </w:p>
        </w:tc>
        <w:tc>
          <w:tcPr>
            <w:tcW w:w="42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24,072</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9,436</w:t>
            </w:r>
          </w:p>
        </w:tc>
        <w:tc>
          <w:tcPr>
            <w:tcW w:w="38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65,981</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23,366</w:t>
            </w:r>
          </w:p>
        </w:tc>
      </w:tr>
      <w:tr>
        <w:trPr>
          <w:trHeight w:val="203"/>
        </w:trPr>
        <w:tc>
          <w:tcPr>
            <w:tcW w:w="50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Selling and marketing</w:t>
            </w:r>
          </w:p>
        </w:tc>
        <w:tc>
          <w:tcPr>
            <w:tcW w:w="42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9,980</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5,702</w:t>
            </w:r>
          </w:p>
        </w:tc>
        <w:tc>
          <w:tcPr>
            <w:tcW w:w="38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29,628</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15,381</w:t>
            </w:r>
          </w:p>
        </w:tc>
      </w:tr>
      <w:tr>
        <w:trPr>
          <w:trHeight w:val="203"/>
        </w:trPr>
        <w:tc>
          <w:tcPr>
            <w:tcW w:w="50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General and administrative</w:t>
            </w:r>
          </w:p>
        </w:tc>
        <w:tc>
          <w:tcPr>
            <w:tcW w:w="42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3,329</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1,346</w:t>
            </w:r>
          </w:p>
        </w:tc>
        <w:tc>
          <w:tcPr>
            <w:tcW w:w="38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10,048</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4,277</w:t>
            </w:r>
          </w:p>
        </w:tc>
      </w:tr>
      <w:tr>
        <w:trPr>
          <w:trHeight w:val="203"/>
        </w:trPr>
        <w:tc>
          <w:tcPr>
            <w:tcW w:w="50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Amortization of stock-based compensation</w:t>
            </w:r>
          </w:p>
        </w:tc>
        <w:tc>
          <w:tcPr>
            <w:tcW w:w="42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4,051</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2,143</w:t>
            </w:r>
          </w:p>
        </w:tc>
        <w:tc>
          <w:tcPr>
            <w:tcW w:w="38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12,259</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6,627</w:t>
            </w:r>
          </w:p>
        </w:tc>
      </w:tr>
      <w:tr>
        <w:trPr>
          <w:trHeight w:val="203"/>
        </w:trPr>
        <w:tc>
          <w:tcPr>
            <w:tcW w:w="50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Amortization of goodwill and acquired</w:t>
            </w:r>
          </w:p>
        </w:tc>
        <w:tc>
          <w:tcPr>
            <w:tcW w:w="4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60" w:type="dxa"/>
            <w:vAlign w:val="bottom"/>
          </w:tcPr>
          <w:p>
            <w:pPr>
              <w:spacing w:after="0"/>
              <w:rPr>
                <w:sz w:val="17"/>
                <w:szCs w:val="17"/>
                <w:color w:val="auto"/>
              </w:rPr>
            </w:pPr>
          </w:p>
        </w:tc>
      </w:tr>
      <w:tr>
        <w:trPr>
          <w:trHeight w:val="203"/>
        </w:trPr>
        <w:tc>
          <w:tcPr>
            <w:tcW w:w="502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intangible assets</w:t>
            </w:r>
          </w:p>
        </w:tc>
        <w:tc>
          <w:tcPr>
            <w:tcW w:w="42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104,508</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38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313,524</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020" w:type="dxa"/>
            <w:vAlign w:val="bottom"/>
          </w:tcPr>
          <w:p>
            <w:pPr>
              <w:spacing w:after="0"/>
              <w:rPr>
                <w:sz w:val="17"/>
                <w:szCs w:val="17"/>
                <w:color w:val="auto"/>
              </w:rPr>
            </w:pPr>
          </w:p>
        </w:tc>
        <w:tc>
          <w:tcPr>
            <w:tcW w:w="162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02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operating expenses</w:t>
            </w:r>
          </w:p>
        </w:tc>
        <w:tc>
          <w:tcPr>
            <w:tcW w:w="42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145,940</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18,627</w:t>
            </w:r>
          </w:p>
        </w:tc>
        <w:tc>
          <w:tcPr>
            <w:tcW w:w="38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431,440</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49,651</w:t>
            </w:r>
          </w:p>
        </w:tc>
      </w:tr>
      <w:tr>
        <w:trPr>
          <w:trHeight w:val="203"/>
        </w:trPr>
        <w:tc>
          <w:tcPr>
            <w:tcW w:w="5020" w:type="dxa"/>
            <w:vAlign w:val="bottom"/>
          </w:tcPr>
          <w:p>
            <w:pPr>
              <w:spacing w:after="0"/>
              <w:rPr>
                <w:sz w:val="17"/>
                <w:szCs w:val="17"/>
                <w:color w:val="auto"/>
              </w:rPr>
            </w:pPr>
          </w:p>
        </w:tc>
        <w:tc>
          <w:tcPr>
            <w:tcW w:w="162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02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income (loss)</w:t>
            </w:r>
          </w:p>
        </w:tc>
        <w:tc>
          <w:tcPr>
            <w:tcW w:w="420" w:type="dxa"/>
            <w:vAlign w:val="bottom"/>
          </w:tcPr>
          <w:p>
            <w:pPr>
              <w:spacing w:after="0"/>
              <w:rPr>
                <w:sz w:val="17"/>
                <w:szCs w:val="17"/>
                <w:color w:val="auto"/>
              </w:rPr>
            </w:pPr>
          </w:p>
        </w:tc>
        <w:tc>
          <w:tcPr>
            <w:tcW w:w="12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(106,331)</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586</w:t>
            </w:r>
          </w:p>
        </w:tc>
        <w:tc>
          <w:tcPr>
            <w:tcW w:w="380" w:type="dxa"/>
            <w:vAlign w:val="bottom"/>
          </w:tcPr>
          <w:p>
            <w:pPr>
              <w:spacing w:after="0"/>
              <w:rPr>
                <w:sz w:val="17"/>
                <w:szCs w:val="17"/>
                <w:color w:val="auto"/>
              </w:rPr>
            </w:pPr>
          </w:p>
        </w:tc>
        <w:tc>
          <w:tcPr>
            <w:tcW w:w="12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(320,532)</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3,141</w:t>
            </w:r>
          </w:p>
        </w:tc>
      </w:tr>
      <w:tr>
        <w:trPr>
          <w:trHeight w:val="203"/>
        </w:trPr>
        <w:tc>
          <w:tcPr>
            <w:tcW w:w="5020" w:type="dxa"/>
            <w:vAlign w:val="bottom"/>
          </w:tcPr>
          <w:p>
            <w:pPr>
              <w:spacing w:after="0" w:line="203" w:lineRule="exact"/>
              <w:rPr>
                <w:sz w:val="20"/>
                <w:szCs w:val="20"/>
                <w:color w:val="auto"/>
              </w:rPr>
            </w:pPr>
            <w:r>
              <w:rPr>
                <w:rFonts w:ascii="Courier New" w:cs="Courier New" w:eastAsia="Courier New" w:hAnsi="Courier New"/>
                <w:sz w:val="18"/>
                <w:szCs w:val="18"/>
                <w:color w:val="auto"/>
              </w:rPr>
              <w:t>Interest and other income, net</w:t>
            </w:r>
          </w:p>
        </w:tc>
        <w:tc>
          <w:tcPr>
            <w:tcW w:w="42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1,817</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1,811</w:t>
            </w:r>
          </w:p>
        </w:tc>
        <w:tc>
          <w:tcPr>
            <w:tcW w:w="38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7,243</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2,845</w:t>
            </w:r>
          </w:p>
        </w:tc>
      </w:tr>
      <w:tr>
        <w:trPr>
          <w:trHeight w:val="203"/>
        </w:trPr>
        <w:tc>
          <w:tcPr>
            <w:tcW w:w="5020" w:type="dxa"/>
            <w:vAlign w:val="bottom"/>
          </w:tcPr>
          <w:p>
            <w:pPr>
              <w:spacing w:after="0"/>
              <w:rPr>
                <w:sz w:val="17"/>
                <w:szCs w:val="17"/>
                <w:color w:val="auto"/>
              </w:rPr>
            </w:pPr>
          </w:p>
        </w:tc>
        <w:tc>
          <w:tcPr>
            <w:tcW w:w="162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020" w:type="dxa"/>
            <w:vAlign w:val="bottom"/>
          </w:tcPr>
          <w:p>
            <w:pPr>
              <w:spacing w:after="0" w:line="203" w:lineRule="exact"/>
              <w:rPr>
                <w:sz w:val="20"/>
                <w:szCs w:val="20"/>
                <w:color w:val="auto"/>
              </w:rPr>
            </w:pPr>
            <w:r>
              <w:rPr>
                <w:rFonts w:ascii="Courier New" w:cs="Courier New" w:eastAsia="Courier New" w:hAnsi="Courier New"/>
                <w:sz w:val="18"/>
                <w:szCs w:val="18"/>
                <w:color w:val="auto"/>
              </w:rPr>
              <w:t>Income (loss) before income taxes</w:t>
            </w:r>
          </w:p>
        </w:tc>
        <w:tc>
          <w:tcPr>
            <w:tcW w:w="420" w:type="dxa"/>
            <w:vAlign w:val="bottom"/>
          </w:tcPr>
          <w:p>
            <w:pPr>
              <w:spacing w:after="0"/>
              <w:rPr>
                <w:sz w:val="17"/>
                <w:szCs w:val="17"/>
                <w:color w:val="auto"/>
              </w:rPr>
            </w:pPr>
          </w:p>
        </w:tc>
        <w:tc>
          <w:tcPr>
            <w:tcW w:w="12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(104,514)</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2,397</w:t>
            </w:r>
          </w:p>
        </w:tc>
        <w:tc>
          <w:tcPr>
            <w:tcW w:w="380" w:type="dxa"/>
            <w:vAlign w:val="bottom"/>
          </w:tcPr>
          <w:p>
            <w:pPr>
              <w:spacing w:after="0"/>
              <w:rPr>
                <w:sz w:val="17"/>
                <w:szCs w:val="17"/>
                <w:color w:val="auto"/>
              </w:rPr>
            </w:pPr>
          </w:p>
        </w:tc>
        <w:tc>
          <w:tcPr>
            <w:tcW w:w="12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(313,289)</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5,986</w:t>
            </w:r>
          </w:p>
        </w:tc>
      </w:tr>
      <w:tr>
        <w:trPr>
          <w:trHeight w:val="203"/>
        </w:trPr>
        <w:tc>
          <w:tcPr>
            <w:tcW w:w="5020" w:type="dxa"/>
            <w:vAlign w:val="bottom"/>
          </w:tcPr>
          <w:p>
            <w:pPr>
              <w:spacing w:after="0" w:line="203" w:lineRule="exact"/>
              <w:rPr>
                <w:sz w:val="20"/>
                <w:szCs w:val="20"/>
                <w:color w:val="auto"/>
              </w:rPr>
            </w:pPr>
            <w:r>
              <w:rPr>
                <w:rFonts w:ascii="Courier New" w:cs="Courier New" w:eastAsia="Courier New" w:hAnsi="Courier New"/>
                <w:sz w:val="18"/>
                <w:szCs w:val="18"/>
                <w:color w:val="auto"/>
              </w:rPr>
              <w:t>Provision for income taxes</w:t>
            </w:r>
          </w:p>
        </w:tc>
        <w:tc>
          <w:tcPr>
            <w:tcW w:w="42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607</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599</w:t>
            </w:r>
          </w:p>
        </w:tc>
        <w:tc>
          <w:tcPr>
            <w:tcW w:w="38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1,995</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1,496</w:t>
            </w:r>
          </w:p>
        </w:tc>
      </w:tr>
      <w:tr>
        <w:trPr>
          <w:trHeight w:val="203"/>
        </w:trPr>
        <w:tc>
          <w:tcPr>
            <w:tcW w:w="5020" w:type="dxa"/>
            <w:vAlign w:val="bottom"/>
          </w:tcPr>
          <w:p>
            <w:pPr>
              <w:spacing w:after="0"/>
              <w:rPr>
                <w:sz w:val="17"/>
                <w:szCs w:val="17"/>
                <w:color w:val="auto"/>
              </w:rPr>
            </w:pPr>
          </w:p>
        </w:tc>
        <w:tc>
          <w:tcPr>
            <w:tcW w:w="162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020" w:type="dxa"/>
            <w:vAlign w:val="bottom"/>
          </w:tcPr>
          <w:p>
            <w:pPr>
              <w:spacing w:after="0" w:line="203" w:lineRule="exact"/>
              <w:rPr>
                <w:sz w:val="20"/>
                <w:szCs w:val="20"/>
                <w:color w:val="auto"/>
              </w:rPr>
            </w:pPr>
            <w:r>
              <w:rPr>
                <w:rFonts w:ascii="Courier New" w:cs="Courier New" w:eastAsia="Courier New" w:hAnsi="Courier New"/>
                <w:sz w:val="18"/>
                <w:szCs w:val="18"/>
                <w:color w:val="auto"/>
              </w:rPr>
              <w:t>Net income (loss)</w:t>
            </w:r>
          </w:p>
        </w:tc>
        <w:tc>
          <w:tcPr>
            <w:tcW w:w="162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 (105,121)</w:t>
            </w:r>
          </w:p>
        </w:tc>
        <w:tc>
          <w:tcPr>
            <w:tcW w:w="4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1,798</w:t>
            </w:r>
          </w:p>
        </w:tc>
        <w:tc>
          <w:tcPr>
            <w:tcW w:w="158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 (315,284)</w:t>
            </w:r>
          </w:p>
        </w:tc>
        <w:tc>
          <w:tcPr>
            <w:tcW w:w="4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4,490</w:t>
            </w:r>
          </w:p>
        </w:tc>
      </w:tr>
      <w:tr>
        <w:trPr>
          <w:trHeight w:val="203"/>
        </w:trPr>
        <w:tc>
          <w:tcPr>
            <w:tcW w:w="5020" w:type="dxa"/>
            <w:vAlign w:val="bottom"/>
          </w:tcPr>
          <w:p>
            <w:pPr>
              <w:spacing w:after="0"/>
              <w:rPr>
                <w:sz w:val="17"/>
                <w:szCs w:val="17"/>
                <w:color w:val="auto"/>
              </w:rPr>
            </w:pPr>
          </w:p>
        </w:tc>
        <w:tc>
          <w:tcPr>
            <w:tcW w:w="162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020" w:type="dxa"/>
            <w:vAlign w:val="bottom"/>
          </w:tcPr>
          <w:p>
            <w:pPr>
              <w:spacing w:after="0"/>
              <w:rPr>
                <w:sz w:val="20"/>
                <w:szCs w:val="20"/>
                <w:color w:val="auto"/>
              </w:rPr>
            </w:pPr>
            <w:r>
              <w:rPr>
                <w:rFonts w:ascii="Courier New" w:cs="Courier New" w:eastAsia="Courier New" w:hAnsi="Courier New"/>
                <w:sz w:val="18"/>
                <w:szCs w:val="18"/>
                <w:color w:val="auto"/>
              </w:rPr>
              <w:t>Basic net income (loss) per share</w:t>
            </w:r>
          </w:p>
        </w:tc>
        <w:tc>
          <w:tcPr>
            <w:tcW w:w="420" w:type="dxa"/>
            <w:vAlign w:val="bottom"/>
          </w:tcPr>
          <w:p>
            <w:pPr>
              <w:ind w:left="260"/>
              <w:spacing w:after="0"/>
              <w:rPr>
                <w:sz w:val="20"/>
                <w:szCs w:val="20"/>
                <w:color w:val="auto"/>
              </w:rPr>
            </w:pPr>
            <w:r>
              <w:rPr>
                <w:rFonts w:ascii="Courier New" w:cs="Courier New" w:eastAsia="Courier New" w:hAnsi="Courier New"/>
                <w:sz w:val="18"/>
                <w:szCs w:val="18"/>
                <w:color w:val="auto"/>
              </w:rPr>
              <w:t>$</w:t>
            </w:r>
          </w:p>
        </w:tc>
        <w:tc>
          <w:tcPr>
            <w:tcW w:w="1200" w:type="dxa"/>
            <w:vAlign w:val="bottom"/>
          </w:tcPr>
          <w:p>
            <w:pPr>
              <w:jc w:val="right"/>
              <w:ind w:right="112"/>
              <w:spacing w:after="0"/>
              <w:rPr>
                <w:sz w:val="20"/>
                <w:szCs w:val="20"/>
                <w:color w:val="auto"/>
              </w:rPr>
            </w:pPr>
            <w:r>
              <w:rPr>
                <w:rFonts w:ascii="Courier New" w:cs="Courier New" w:eastAsia="Courier New" w:hAnsi="Courier New"/>
                <w:sz w:val="18"/>
                <w:szCs w:val="18"/>
                <w:color w:val="auto"/>
              </w:rPr>
              <w:t>(0.92)</w:t>
            </w:r>
          </w:p>
        </w:tc>
        <w:tc>
          <w:tcPr>
            <w:tcW w:w="420" w:type="dxa"/>
            <w:vAlign w:val="bottom"/>
          </w:tcPr>
          <w:p>
            <w:pPr>
              <w:ind w:left="220"/>
              <w:spacing w:after="0"/>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0.02</w:t>
            </w:r>
          </w:p>
        </w:tc>
        <w:tc>
          <w:tcPr>
            <w:tcW w:w="380" w:type="dxa"/>
            <w:vAlign w:val="bottom"/>
          </w:tcPr>
          <w:p>
            <w:pPr>
              <w:ind w:left="220"/>
              <w:spacing w:after="0"/>
              <w:rPr>
                <w:sz w:val="20"/>
                <w:szCs w:val="20"/>
                <w:color w:val="auto"/>
              </w:rPr>
            </w:pPr>
            <w:r>
              <w:rPr>
                <w:rFonts w:ascii="Courier New" w:cs="Courier New" w:eastAsia="Courier New" w:hAnsi="Courier New"/>
                <w:sz w:val="18"/>
                <w:szCs w:val="18"/>
                <w:color w:val="auto"/>
              </w:rPr>
              <w:t>$</w:t>
            </w:r>
          </w:p>
        </w:tc>
        <w:tc>
          <w:tcPr>
            <w:tcW w:w="1200" w:type="dxa"/>
            <w:vAlign w:val="bottom"/>
          </w:tcPr>
          <w:p>
            <w:pPr>
              <w:jc w:val="right"/>
              <w:ind w:right="112"/>
              <w:spacing w:after="0"/>
              <w:rPr>
                <w:sz w:val="20"/>
                <w:szCs w:val="20"/>
                <w:color w:val="auto"/>
              </w:rPr>
            </w:pPr>
            <w:r>
              <w:rPr>
                <w:rFonts w:ascii="Courier New" w:cs="Courier New" w:eastAsia="Courier New" w:hAnsi="Courier New"/>
                <w:sz w:val="18"/>
                <w:szCs w:val="18"/>
                <w:color w:val="auto"/>
              </w:rPr>
              <w:t>(2.77)</w:t>
            </w:r>
          </w:p>
        </w:tc>
        <w:tc>
          <w:tcPr>
            <w:tcW w:w="420" w:type="dxa"/>
            <w:vAlign w:val="bottom"/>
          </w:tcPr>
          <w:p>
            <w:pPr>
              <w:ind w:left="220"/>
              <w:spacing w:after="0"/>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ind w:right="32"/>
              <w:spacing w:after="0"/>
              <w:rPr>
                <w:sz w:val="20"/>
                <w:szCs w:val="20"/>
                <w:color w:val="auto"/>
              </w:rPr>
            </w:pPr>
            <w:r>
              <w:rPr>
                <w:rFonts w:ascii="Courier New" w:cs="Courier New" w:eastAsia="Courier New" w:hAnsi="Courier New"/>
                <w:sz w:val="18"/>
                <w:szCs w:val="18"/>
                <w:color w:val="auto"/>
              </w:rPr>
              <w:t>0.07</w:t>
            </w:r>
          </w:p>
        </w:tc>
      </w:tr>
      <w:tr>
        <w:trPr>
          <w:trHeight w:val="203"/>
        </w:trPr>
        <w:tc>
          <w:tcPr>
            <w:tcW w:w="5020" w:type="dxa"/>
            <w:vAlign w:val="bottom"/>
          </w:tcPr>
          <w:p>
            <w:pPr>
              <w:spacing w:after="0"/>
              <w:rPr>
                <w:sz w:val="17"/>
                <w:szCs w:val="17"/>
                <w:color w:val="auto"/>
              </w:rPr>
            </w:pPr>
          </w:p>
        </w:tc>
        <w:tc>
          <w:tcPr>
            <w:tcW w:w="162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020" w:type="dxa"/>
            <w:vAlign w:val="bottom"/>
          </w:tcPr>
          <w:p>
            <w:pPr>
              <w:spacing w:after="0" w:line="203" w:lineRule="exact"/>
              <w:rPr>
                <w:sz w:val="20"/>
                <w:szCs w:val="20"/>
                <w:color w:val="auto"/>
              </w:rPr>
            </w:pPr>
            <w:r>
              <w:rPr>
                <w:rFonts w:ascii="Courier New" w:cs="Courier New" w:eastAsia="Courier New" w:hAnsi="Courier New"/>
                <w:sz w:val="18"/>
                <w:szCs w:val="18"/>
                <w:color w:val="auto"/>
              </w:rPr>
              <w:t>Diluted net income (loss) per share</w:t>
            </w:r>
          </w:p>
        </w:tc>
        <w:tc>
          <w:tcPr>
            <w:tcW w:w="4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w:t>
            </w:r>
          </w:p>
        </w:tc>
        <w:tc>
          <w:tcPr>
            <w:tcW w:w="12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(0.92)</w:t>
            </w:r>
          </w:p>
        </w:tc>
        <w:tc>
          <w:tcPr>
            <w:tcW w:w="4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0.02</w:t>
            </w:r>
          </w:p>
        </w:tc>
        <w:tc>
          <w:tcPr>
            <w:tcW w:w="3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w:t>
            </w:r>
          </w:p>
        </w:tc>
        <w:tc>
          <w:tcPr>
            <w:tcW w:w="12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(2.77)</w:t>
            </w:r>
          </w:p>
        </w:tc>
        <w:tc>
          <w:tcPr>
            <w:tcW w:w="4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0.05</w:t>
            </w:r>
          </w:p>
        </w:tc>
      </w:tr>
      <w:tr>
        <w:trPr>
          <w:trHeight w:val="203"/>
        </w:trPr>
        <w:tc>
          <w:tcPr>
            <w:tcW w:w="5020" w:type="dxa"/>
            <w:vAlign w:val="bottom"/>
          </w:tcPr>
          <w:p>
            <w:pPr>
              <w:spacing w:after="0"/>
              <w:rPr>
                <w:sz w:val="17"/>
                <w:szCs w:val="17"/>
                <w:color w:val="auto"/>
              </w:rPr>
            </w:pPr>
          </w:p>
        </w:tc>
        <w:tc>
          <w:tcPr>
            <w:tcW w:w="162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020" w:type="dxa"/>
            <w:vAlign w:val="bottom"/>
          </w:tcPr>
          <w:p>
            <w:pPr>
              <w:spacing w:after="0"/>
              <w:rPr>
                <w:sz w:val="20"/>
                <w:szCs w:val="20"/>
                <w:color w:val="auto"/>
              </w:rPr>
            </w:pPr>
            <w:r>
              <w:rPr>
                <w:rFonts w:ascii="Courier New" w:cs="Courier New" w:eastAsia="Courier New" w:hAnsi="Courier New"/>
                <w:sz w:val="18"/>
                <w:szCs w:val="18"/>
                <w:color w:val="auto"/>
              </w:rPr>
              <w:t>Weighted average shares-- basic</w:t>
            </w:r>
          </w:p>
        </w:tc>
        <w:tc>
          <w:tcPr>
            <w:tcW w:w="420" w:type="dxa"/>
            <w:vAlign w:val="bottom"/>
          </w:tcPr>
          <w:p>
            <w:pPr>
              <w:spacing w:after="0"/>
              <w:rPr>
                <w:sz w:val="24"/>
                <w:szCs w:val="24"/>
                <w:color w:val="auto"/>
              </w:rPr>
            </w:pPr>
          </w:p>
        </w:tc>
        <w:tc>
          <w:tcPr>
            <w:tcW w:w="120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114,787</w:t>
            </w:r>
          </w:p>
        </w:tc>
        <w:tc>
          <w:tcPr>
            <w:tcW w:w="420" w:type="dxa"/>
            <w:vAlign w:val="bottom"/>
          </w:tcPr>
          <w:p>
            <w:pPr>
              <w:spacing w:after="0"/>
              <w:rPr>
                <w:sz w:val="24"/>
                <w:szCs w:val="24"/>
                <w:color w:val="auto"/>
              </w:rPr>
            </w:pPr>
          </w:p>
        </w:tc>
        <w:tc>
          <w:tcPr>
            <w:tcW w:w="116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79,625</w:t>
            </w:r>
          </w:p>
        </w:tc>
        <w:tc>
          <w:tcPr>
            <w:tcW w:w="380" w:type="dxa"/>
            <w:vAlign w:val="bottom"/>
          </w:tcPr>
          <w:p>
            <w:pPr>
              <w:spacing w:after="0"/>
              <w:rPr>
                <w:sz w:val="24"/>
                <w:szCs w:val="24"/>
                <w:color w:val="auto"/>
              </w:rPr>
            </w:pPr>
          </w:p>
        </w:tc>
        <w:tc>
          <w:tcPr>
            <w:tcW w:w="120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113,673</w:t>
            </w:r>
          </w:p>
        </w:tc>
        <w:tc>
          <w:tcPr>
            <w:tcW w:w="420" w:type="dxa"/>
            <w:vAlign w:val="bottom"/>
          </w:tcPr>
          <w:p>
            <w:pPr>
              <w:spacing w:after="0"/>
              <w:rPr>
                <w:sz w:val="24"/>
                <w:szCs w:val="24"/>
                <w:color w:val="auto"/>
              </w:rPr>
            </w:pPr>
          </w:p>
        </w:tc>
        <w:tc>
          <w:tcPr>
            <w:tcW w:w="960" w:type="dxa"/>
            <w:vAlign w:val="bottom"/>
          </w:tcPr>
          <w:p>
            <w:pPr>
              <w:jc w:val="right"/>
              <w:ind w:right="32"/>
              <w:spacing w:after="0"/>
              <w:rPr>
                <w:sz w:val="20"/>
                <w:szCs w:val="20"/>
                <w:color w:val="auto"/>
              </w:rPr>
            </w:pPr>
            <w:r>
              <w:rPr>
                <w:rFonts w:ascii="Courier New" w:cs="Courier New" w:eastAsia="Courier New" w:hAnsi="Courier New"/>
                <w:sz w:val="18"/>
                <w:szCs w:val="18"/>
                <w:color w:val="auto"/>
              </w:rPr>
              <w:t>60,343</w:t>
            </w:r>
          </w:p>
        </w:tc>
      </w:tr>
      <w:tr>
        <w:trPr>
          <w:trHeight w:val="203"/>
        </w:trPr>
        <w:tc>
          <w:tcPr>
            <w:tcW w:w="5020" w:type="dxa"/>
            <w:vAlign w:val="bottom"/>
          </w:tcPr>
          <w:p>
            <w:pPr>
              <w:spacing w:after="0"/>
              <w:rPr>
                <w:sz w:val="17"/>
                <w:szCs w:val="17"/>
                <w:color w:val="auto"/>
              </w:rPr>
            </w:pPr>
          </w:p>
        </w:tc>
        <w:tc>
          <w:tcPr>
            <w:tcW w:w="162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02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shares-- diluted</w:t>
            </w:r>
          </w:p>
        </w:tc>
        <w:tc>
          <w:tcPr>
            <w:tcW w:w="42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114,787</w:t>
            </w:r>
          </w:p>
        </w:tc>
        <w:tc>
          <w:tcPr>
            <w:tcW w:w="4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97,150</w:t>
            </w:r>
          </w:p>
        </w:tc>
        <w:tc>
          <w:tcPr>
            <w:tcW w:w="380" w:type="dxa"/>
            <w:vAlign w:val="bottom"/>
          </w:tcPr>
          <w:p>
            <w:pPr>
              <w:spacing w:after="0"/>
              <w:rPr>
                <w:sz w:val="17"/>
                <w:szCs w:val="17"/>
                <w:color w:val="auto"/>
              </w:rPr>
            </w:pPr>
          </w:p>
        </w:tc>
        <w:tc>
          <w:tcPr>
            <w:tcW w:w="12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113,673</w:t>
            </w:r>
          </w:p>
        </w:tc>
        <w:tc>
          <w:tcPr>
            <w:tcW w:w="420" w:type="dxa"/>
            <w:vAlign w:val="bottom"/>
          </w:tcPr>
          <w:p>
            <w:pPr>
              <w:spacing w:after="0"/>
              <w:rPr>
                <w:sz w:val="17"/>
                <w:szCs w:val="17"/>
                <w:color w:val="auto"/>
              </w:rPr>
            </w:pPr>
          </w:p>
        </w:tc>
        <w:tc>
          <w:tcPr>
            <w:tcW w:w="9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90,667</w:t>
            </w:r>
          </w:p>
        </w:tc>
      </w:tr>
      <w:tr>
        <w:trPr>
          <w:trHeight w:val="203"/>
        </w:trPr>
        <w:tc>
          <w:tcPr>
            <w:tcW w:w="5020" w:type="dxa"/>
            <w:vAlign w:val="bottom"/>
          </w:tcPr>
          <w:p>
            <w:pPr>
              <w:spacing w:after="0"/>
              <w:rPr>
                <w:sz w:val="17"/>
                <w:szCs w:val="17"/>
                <w:color w:val="auto"/>
              </w:rPr>
            </w:pPr>
          </w:p>
        </w:tc>
        <w:tc>
          <w:tcPr>
            <w:tcW w:w="162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bl>
    <w:p>
      <w:pPr>
        <w:sectPr>
          <w:pgSz w:w="11900" w:h="16838" w:orient="portrait"/>
          <w:cols w:equalWidth="0" w:num="1">
            <w:col w:w="11180"/>
          </w:cols>
          <w:pgMar w:left="240" w:top="514" w:right="479" w:bottom="1440" w:gutter="0" w:footer="0" w:header="0"/>
        </w:sectPr>
      </w:pPr>
    </w:p>
    <w:bookmarkStart w:id="9" w:name="page10"/>
    <w:bookmarkEnd w:id="9"/>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679"/>
        <w:spacing w:after="0" w:line="238" w:lineRule="auto"/>
        <w:rPr>
          <w:sz w:val="20"/>
          <w:szCs w:val="20"/>
          <w:color w:val="auto"/>
        </w:rPr>
      </w:pPr>
      <w:r>
        <w:rPr>
          <w:rFonts w:ascii="Courier New" w:cs="Courier New" w:eastAsia="Courier New" w:hAnsi="Courier New"/>
          <w:sz w:val="18"/>
          <w:szCs w:val="18"/>
          <w:color w:val="auto"/>
        </w:rPr>
        <w:t>CONSOLIDATED BALANCE SHEETS</w:t>
      </w:r>
    </w:p>
    <w:p>
      <w:pPr>
        <w:jc w:val="center"/>
        <w:ind w:right="1679"/>
        <w:spacing w:after="0"/>
        <w:rPr>
          <w:sz w:val="20"/>
          <w:szCs w:val="20"/>
          <w:color w:val="auto"/>
        </w:rPr>
      </w:pPr>
      <w:r>
        <w:rPr>
          <w:rFonts w:ascii="Courier New" w:cs="Courier New" w:eastAsia="Courier New" w:hAnsi="Courier New"/>
          <w:sz w:val="18"/>
          <w:szCs w:val="18"/>
          <w:color w:val="auto"/>
        </w:rPr>
        <w:t>(UNAUDITED)</w:t>
      </w:r>
    </w:p>
    <w:p>
      <w:pPr>
        <w:ind w:left="3480"/>
        <w:spacing w:after="0" w:line="237" w:lineRule="auto"/>
        <w:rPr>
          <w:sz w:val="20"/>
          <w:szCs w:val="20"/>
          <w:color w:val="auto"/>
        </w:rPr>
      </w:pPr>
      <w:r>
        <w:rPr>
          <w:rFonts w:ascii="Courier New" w:cs="Courier New" w:eastAsia="Courier New" w:hAnsi="Courier New"/>
          <w:sz w:val="18"/>
          <w:szCs w:val="18"/>
          <w:color w:val="auto"/>
        </w:rPr>
        <w:t>(IN THOUSANDS)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53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480" w:type="dxa"/>
            <w:vAlign w:val="bottom"/>
          </w:tcPr>
          <w:p>
            <w:pPr>
              <w:jc w:val="right"/>
              <w:ind w:right="232"/>
              <w:spacing w:after="0"/>
              <w:rPr>
                <w:sz w:val="20"/>
                <w:szCs w:val="20"/>
                <w:color w:val="auto"/>
              </w:rPr>
            </w:pPr>
            <w:r>
              <w:rPr>
                <w:rFonts w:ascii="Courier New" w:cs="Courier New" w:eastAsia="Courier New" w:hAnsi="Courier New"/>
                <w:sz w:val="18"/>
                <w:szCs w:val="18"/>
                <w:color w:val="auto"/>
                <w:w w:val="95"/>
              </w:rPr>
              <w:t>OCTOBER 27,</w:t>
            </w:r>
          </w:p>
        </w:tc>
        <w:tc>
          <w:tcPr>
            <w:tcW w:w="300" w:type="dxa"/>
            <w:vAlign w:val="bottom"/>
          </w:tcPr>
          <w:p>
            <w:pPr>
              <w:spacing w:after="0"/>
              <w:rPr>
                <w:sz w:val="17"/>
                <w:szCs w:val="17"/>
                <w:color w:val="auto"/>
              </w:rPr>
            </w:pPr>
          </w:p>
        </w:tc>
        <w:tc>
          <w:tcPr>
            <w:tcW w:w="1280" w:type="dxa"/>
            <w:vAlign w:val="bottom"/>
          </w:tcPr>
          <w:p>
            <w:pPr>
              <w:jc w:val="right"/>
              <w:ind w:right="32"/>
              <w:spacing w:after="0"/>
              <w:rPr>
                <w:sz w:val="20"/>
                <w:szCs w:val="20"/>
                <w:color w:val="auto"/>
              </w:rPr>
            </w:pPr>
            <w:r>
              <w:rPr>
                <w:rFonts w:ascii="Courier New" w:cs="Courier New" w:eastAsia="Courier New" w:hAnsi="Courier New"/>
                <w:sz w:val="18"/>
                <w:szCs w:val="18"/>
                <w:color w:val="auto"/>
                <w:w w:val="95"/>
              </w:rPr>
              <w:t>JANUARY 27,</w:t>
            </w:r>
          </w:p>
        </w:tc>
      </w:tr>
      <w:tr>
        <w:trPr>
          <w:trHeight w:val="203"/>
        </w:trPr>
        <w:tc>
          <w:tcPr>
            <w:tcW w:w="53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480" w:type="dxa"/>
            <w:vAlign w:val="bottom"/>
          </w:tcPr>
          <w:p>
            <w:pPr>
              <w:jc w:val="right"/>
              <w:ind w:right="652"/>
              <w:spacing w:after="0" w:line="203" w:lineRule="exact"/>
              <w:rPr>
                <w:sz w:val="20"/>
                <w:szCs w:val="20"/>
                <w:color w:val="auto"/>
              </w:rPr>
            </w:pPr>
            <w:r>
              <w:rPr>
                <w:rFonts w:ascii="Courier New" w:cs="Courier New" w:eastAsia="Courier New" w:hAnsi="Courier New"/>
                <w:sz w:val="18"/>
                <w:szCs w:val="18"/>
                <w:color w:val="auto"/>
              </w:rPr>
              <w:t>2001</w:t>
            </w:r>
          </w:p>
        </w:tc>
        <w:tc>
          <w:tcPr>
            <w:tcW w:w="300" w:type="dxa"/>
            <w:vAlign w:val="bottom"/>
          </w:tcPr>
          <w:p>
            <w:pPr>
              <w:spacing w:after="0"/>
              <w:rPr>
                <w:sz w:val="17"/>
                <w:szCs w:val="17"/>
                <w:color w:val="auto"/>
              </w:rPr>
            </w:pPr>
          </w:p>
        </w:tc>
        <w:tc>
          <w:tcPr>
            <w:tcW w:w="1280" w:type="dxa"/>
            <w:vAlign w:val="bottom"/>
          </w:tcPr>
          <w:p>
            <w:pPr>
              <w:jc w:val="right"/>
              <w:ind w:right="452"/>
              <w:spacing w:after="0" w:line="203" w:lineRule="exact"/>
              <w:rPr>
                <w:sz w:val="20"/>
                <w:szCs w:val="20"/>
                <w:color w:val="auto"/>
              </w:rPr>
            </w:pPr>
            <w:r>
              <w:rPr>
                <w:rFonts w:ascii="Courier New" w:cs="Courier New" w:eastAsia="Courier New" w:hAnsi="Courier New"/>
                <w:sz w:val="18"/>
                <w:szCs w:val="18"/>
                <w:color w:val="auto"/>
              </w:rPr>
              <w:t>2001</w:t>
            </w:r>
          </w:p>
        </w:tc>
      </w:tr>
      <w:tr>
        <w:trPr>
          <w:trHeight w:val="203"/>
        </w:trPr>
        <w:tc>
          <w:tcPr>
            <w:tcW w:w="5320" w:type="dxa"/>
            <w:vAlign w:val="bottom"/>
          </w:tcPr>
          <w:p>
            <w:pPr>
              <w:spacing w:after="0"/>
              <w:rPr>
                <w:sz w:val="17"/>
                <w:szCs w:val="17"/>
                <w:color w:val="auto"/>
              </w:rPr>
            </w:pPr>
          </w:p>
        </w:tc>
        <w:tc>
          <w:tcPr>
            <w:tcW w:w="18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320" w:type="dxa"/>
            <w:vAlign w:val="bottom"/>
          </w:tcPr>
          <w:p>
            <w:pPr>
              <w:spacing w:after="0"/>
              <w:rPr>
                <w:sz w:val="20"/>
                <w:szCs w:val="20"/>
                <w:color w:val="auto"/>
              </w:rPr>
            </w:pPr>
            <w:r>
              <w:rPr>
                <w:rFonts w:ascii="Courier New" w:cs="Courier New" w:eastAsia="Courier New" w:hAnsi="Courier New"/>
                <w:sz w:val="18"/>
                <w:szCs w:val="18"/>
                <w:color w:val="auto"/>
              </w:rPr>
              <w:t>ASSETS</w:t>
            </w:r>
          </w:p>
        </w:tc>
        <w:tc>
          <w:tcPr>
            <w:tcW w:w="38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80" w:type="dxa"/>
            <w:vAlign w:val="bottom"/>
          </w:tcPr>
          <w:p>
            <w:pPr>
              <w:spacing w:after="0"/>
              <w:rPr>
                <w:sz w:val="24"/>
                <w:szCs w:val="24"/>
                <w:color w:val="auto"/>
              </w:rPr>
            </w:pPr>
          </w:p>
        </w:tc>
      </w:tr>
      <w:tr>
        <w:trPr>
          <w:trHeight w:val="203"/>
        </w:trPr>
        <w:tc>
          <w:tcPr>
            <w:tcW w:w="5320" w:type="dxa"/>
            <w:vAlign w:val="bottom"/>
          </w:tcPr>
          <w:p>
            <w:pPr>
              <w:spacing w:after="0" w:line="203" w:lineRule="exact"/>
              <w:rPr>
                <w:sz w:val="20"/>
                <w:szCs w:val="20"/>
                <w:color w:val="auto"/>
              </w:rPr>
            </w:pPr>
            <w:r>
              <w:rPr>
                <w:rFonts w:ascii="Courier New" w:cs="Courier New" w:eastAsia="Courier New" w:hAnsi="Courier New"/>
                <w:sz w:val="18"/>
                <w:szCs w:val="18"/>
                <w:color w:val="auto"/>
              </w:rPr>
              <w:t>Current assets:</w:t>
            </w:r>
          </w:p>
        </w:tc>
        <w:tc>
          <w:tcPr>
            <w:tcW w:w="38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Cash and cash equivalents</w:t>
            </w:r>
          </w:p>
        </w:tc>
        <w:tc>
          <w:tcPr>
            <w:tcW w:w="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145,801</w:t>
            </w:r>
          </w:p>
        </w:tc>
        <w:tc>
          <w:tcPr>
            <w:tcW w:w="3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184,128</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Short-term investments</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64,441</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39,935</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Accounts receivable, net</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45,833</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37,543</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Inventory, net</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24,979</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30,924</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Prepaid expenses and other current assets</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18,430</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11,479</w:t>
            </w:r>
          </w:p>
        </w:tc>
      </w:tr>
      <w:tr>
        <w:trPr>
          <w:trHeight w:val="203"/>
        </w:trPr>
        <w:tc>
          <w:tcPr>
            <w:tcW w:w="5320" w:type="dxa"/>
            <w:vAlign w:val="bottom"/>
          </w:tcPr>
          <w:p>
            <w:pPr>
              <w:spacing w:after="0"/>
              <w:rPr>
                <w:sz w:val="17"/>
                <w:szCs w:val="17"/>
                <w:color w:val="auto"/>
              </w:rPr>
            </w:pPr>
          </w:p>
        </w:tc>
        <w:tc>
          <w:tcPr>
            <w:tcW w:w="18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32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Total current assets</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299,484</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304,009</w:t>
            </w:r>
          </w:p>
        </w:tc>
      </w:tr>
      <w:tr>
        <w:trPr>
          <w:trHeight w:val="203"/>
        </w:trPr>
        <w:tc>
          <w:tcPr>
            <w:tcW w:w="5320" w:type="dxa"/>
            <w:vAlign w:val="bottom"/>
          </w:tcPr>
          <w:p>
            <w:pPr>
              <w:spacing w:after="0" w:line="203" w:lineRule="exact"/>
              <w:rPr>
                <w:sz w:val="20"/>
                <w:szCs w:val="20"/>
                <w:color w:val="auto"/>
              </w:rPr>
            </w:pPr>
            <w:r>
              <w:rPr>
                <w:rFonts w:ascii="Courier New" w:cs="Courier New" w:eastAsia="Courier New" w:hAnsi="Courier New"/>
                <w:sz w:val="18"/>
                <w:szCs w:val="18"/>
                <w:color w:val="auto"/>
              </w:rPr>
              <w:t>Property and equipment, net</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35,081</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31,184</w:t>
            </w:r>
          </w:p>
        </w:tc>
      </w:tr>
      <w:tr>
        <w:trPr>
          <w:trHeight w:val="203"/>
        </w:trPr>
        <w:tc>
          <w:tcPr>
            <w:tcW w:w="5320" w:type="dxa"/>
            <w:vAlign w:val="bottom"/>
          </w:tcPr>
          <w:p>
            <w:pPr>
              <w:spacing w:after="0" w:line="203" w:lineRule="exact"/>
              <w:rPr>
                <w:sz w:val="20"/>
                <w:szCs w:val="20"/>
                <w:color w:val="auto"/>
              </w:rPr>
            </w:pPr>
            <w:r>
              <w:rPr>
                <w:rFonts w:ascii="Courier New" w:cs="Courier New" w:eastAsia="Courier New" w:hAnsi="Courier New"/>
                <w:sz w:val="18"/>
                <w:szCs w:val="18"/>
                <w:color w:val="auto"/>
              </w:rPr>
              <w:t>Goodwill and acquired intangible assets</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1,787,315</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2,100,839</w:t>
            </w:r>
          </w:p>
        </w:tc>
      </w:tr>
      <w:tr>
        <w:trPr>
          <w:trHeight w:val="203"/>
        </w:trPr>
        <w:tc>
          <w:tcPr>
            <w:tcW w:w="5320" w:type="dxa"/>
            <w:vAlign w:val="bottom"/>
          </w:tcPr>
          <w:p>
            <w:pPr>
              <w:spacing w:after="0" w:line="203" w:lineRule="exact"/>
              <w:rPr>
                <w:sz w:val="20"/>
                <w:szCs w:val="20"/>
                <w:color w:val="auto"/>
              </w:rPr>
            </w:pPr>
            <w:r>
              <w:rPr>
                <w:rFonts w:ascii="Courier New" w:cs="Courier New" w:eastAsia="Courier New" w:hAnsi="Courier New"/>
                <w:sz w:val="18"/>
                <w:szCs w:val="18"/>
                <w:color w:val="auto"/>
              </w:rPr>
              <w:t>Other noncurrent assets</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16,006</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11,454</w:t>
            </w:r>
          </w:p>
        </w:tc>
      </w:tr>
      <w:tr>
        <w:trPr>
          <w:trHeight w:val="203"/>
        </w:trPr>
        <w:tc>
          <w:tcPr>
            <w:tcW w:w="5320" w:type="dxa"/>
            <w:vAlign w:val="bottom"/>
          </w:tcPr>
          <w:p>
            <w:pPr>
              <w:spacing w:after="0"/>
              <w:rPr>
                <w:sz w:val="17"/>
                <w:szCs w:val="17"/>
                <w:color w:val="auto"/>
              </w:rPr>
            </w:pPr>
          </w:p>
        </w:tc>
        <w:tc>
          <w:tcPr>
            <w:tcW w:w="18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32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Total assets</w:t>
            </w:r>
          </w:p>
        </w:tc>
        <w:tc>
          <w:tcPr>
            <w:tcW w:w="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2,137,886</w:t>
            </w:r>
          </w:p>
        </w:tc>
        <w:tc>
          <w:tcPr>
            <w:tcW w:w="3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2,447,486</w:t>
            </w:r>
          </w:p>
        </w:tc>
      </w:tr>
      <w:tr>
        <w:trPr>
          <w:trHeight w:val="203"/>
        </w:trPr>
        <w:tc>
          <w:tcPr>
            <w:tcW w:w="5320" w:type="dxa"/>
            <w:vAlign w:val="bottom"/>
          </w:tcPr>
          <w:p>
            <w:pPr>
              <w:spacing w:after="0"/>
              <w:rPr>
                <w:sz w:val="17"/>
                <w:szCs w:val="17"/>
                <w:color w:val="auto"/>
              </w:rPr>
            </w:pPr>
          </w:p>
        </w:tc>
        <w:tc>
          <w:tcPr>
            <w:tcW w:w="18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320" w:type="dxa"/>
            <w:vAlign w:val="bottom"/>
          </w:tcPr>
          <w:p>
            <w:pPr>
              <w:spacing w:after="0"/>
              <w:rPr>
                <w:sz w:val="20"/>
                <w:szCs w:val="20"/>
                <w:color w:val="auto"/>
              </w:rPr>
            </w:pPr>
            <w:r>
              <w:rPr>
                <w:rFonts w:ascii="Courier New" w:cs="Courier New" w:eastAsia="Courier New" w:hAnsi="Courier New"/>
                <w:sz w:val="18"/>
                <w:szCs w:val="18"/>
                <w:color w:val="auto"/>
              </w:rPr>
              <w:t>LIABILITIES AND SHAREHOLDERS' EQUITY</w:t>
            </w:r>
          </w:p>
        </w:tc>
        <w:tc>
          <w:tcPr>
            <w:tcW w:w="38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80" w:type="dxa"/>
            <w:vAlign w:val="bottom"/>
          </w:tcPr>
          <w:p>
            <w:pPr>
              <w:spacing w:after="0"/>
              <w:rPr>
                <w:sz w:val="24"/>
                <w:szCs w:val="24"/>
                <w:color w:val="auto"/>
              </w:rPr>
            </w:pPr>
          </w:p>
        </w:tc>
      </w:tr>
      <w:tr>
        <w:trPr>
          <w:trHeight w:val="203"/>
        </w:trPr>
        <w:tc>
          <w:tcPr>
            <w:tcW w:w="5320" w:type="dxa"/>
            <w:vAlign w:val="bottom"/>
          </w:tcPr>
          <w:p>
            <w:pPr>
              <w:spacing w:after="0" w:line="203" w:lineRule="exact"/>
              <w:rPr>
                <w:sz w:val="20"/>
                <w:szCs w:val="20"/>
                <w:color w:val="auto"/>
              </w:rPr>
            </w:pPr>
            <w:r>
              <w:rPr>
                <w:rFonts w:ascii="Courier New" w:cs="Courier New" w:eastAsia="Courier New" w:hAnsi="Courier New"/>
                <w:sz w:val="18"/>
                <w:szCs w:val="18"/>
                <w:color w:val="auto"/>
              </w:rPr>
              <w:t>Current liabilities:</w:t>
            </w:r>
          </w:p>
        </w:tc>
        <w:tc>
          <w:tcPr>
            <w:tcW w:w="38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Accounts payable</w:t>
            </w:r>
          </w:p>
        </w:tc>
        <w:tc>
          <w:tcPr>
            <w:tcW w:w="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24,542</w:t>
            </w:r>
          </w:p>
        </w:tc>
        <w:tc>
          <w:tcPr>
            <w:tcW w:w="3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24,818</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Accrued liabilities</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24,201</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17,323</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Accrued acquisition costs</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127</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29,530</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Income taxes payable</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12,011</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9,998</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Deferred revenue</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5,094</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6,516</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Capital lease obligations</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37</w:t>
            </w:r>
          </w:p>
        </w:tc>
      </w:tr>
      <w:tr>
        <w:trPr>
          <w:trHeight w:val="203"/>
        </w:trPr>
        <w:tc>
          <w:tcPr>
            <w:tcW w:w="5320" w:type="dxa"/>
            <w:vAlign w:val="bottom"/>
          </w:tcPr>
          <w:p>
            <w:pPr>
              <w:spacing w:after="0"/>
              <w:rPr>
                <w:sz w:val="17"/>
                <w:szCs w:val="17"/>
                <w:color w:val="auto"/>
              </w:rPr>
            </w:pPr>
          </w:p>
        </w:tc>
        <w:tc>
          <w:tcPr>
            <w:tcW w:w="18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32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Total current liabilities</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65,975</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88,222</w:t>
            </w:r>
          </w:p>
        </w:tc>
      </w:tr>
      <w:tr>
        <w:trPr>
          <w:trHeight w:val="203"/>
        </w:trPr>
        <w:tc>
          <w:tcPr>
            <w:tcW w:w="5320" w:type="dxa"/>
            <w:vAlign w:val="bottom"/>
          </w:tcPr>
          <w:p>
            <w:pPr>
              <w:spacing w:after="0" w:line="203" w:lineRule="exact"/>
              <w:rPr>
                <w:sz w:val="20"/>
                <w:szCs w:val="20"/>
                <w:color w:val="auto"/>
              </w:rPr>
            </w:pPr>
            <w:r>
              <w:rPr>
                <w:rFonts w:ascii="Courier New" w:cs="Courier New" w:eastAsia="Courier New" w:hAnsi="Courier New"/>
                <w:sz w:val="18"/>
                <w:szCs w:val="18"/>
                <w:color w:val="auto"/>
              </w:rPr>
              <w:t>Long-term liabilities</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5,199</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2,598</w:t>
            </w:r>
          </w:p>
        </w:tc>
      </w:tr>
      <w:tr>
        <w:trPr>
          <w:trHeight w:val="203"/>
        </w:trPr>
        <w:tc>
          <w:tcPr>
            <w:tcW w:w="5320" w:type="dxa"/>
            <w:vAlign w:val="bottom"/>
          </w:tcPr>
          <w:p>
            <w:pPr>
              <w:spacing w:after="0"/>
              <w:rPr>
                <w:sz w:val="17"/>
                <w:szCs w:val="17"/>
                <w:color w:val="auto"/>
              </w:rPr>
            </w:pPr>
          </w:p>
        </w:tc>
        <w:tc>
          <w:tcPr>
            <w:tcW w:w="18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32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Total liabilities</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71,174</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90,820</w:t>
            </w:r>
          </w:p>
        </w:tc>
      </w:tr>
      <w:tr>
        <w:trPr>
          <w:trHeight w:val="203"/>
        </w:trPr>
        <w:tc>
          <w:tcPr>
            <w:tcW w:w="5320" w:type="dxa"/>
            <w:vAlign w:val="bottom"/>
          </w:tcPr>
          <w:p>
            <w:pPr>
              <w:spacing w:after="0"/>
              <w:rPr>
                <w:sz w:val="17"/>
                <w:szCs w:val="17"/>
                <w:color w:val="auto"/>
              </w:rPr>
            </w:pPr>
          </w:p>
        </w:tc>
        <w:tc>
          <w:tcPr>
            <w:tcW w:w="18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320" w:type="dxa"/>
            <w:vAlign w:val="bottom"/>
          </w:tcPr>
          <w:p>
            <w:pPr>
              <w:spacing w:after="0"/>
              <w:rPr>
                <w:sz w:val="20"/>
                <w:szCs w:val="20"/>
                <w:color w:val="auto"/>
              </w:rPr>
            </w:pPr>
            <w:r>
              <w:rPr>
                <w:rFonts w:ascii="Courier New" w:cs="Courier New" w:eastAsia="Courier New" w:hAnsi="Courier New"/>
                <w:sz w:val="18"/>
                <w:szCs w:val="18"/>
                <w:color w:val="auto"/>
              </w:rPr>
              <w:t>Shareholders' equity:</w:t>
            </w:r>
          </w:p>
        </w:tc>
        <w:tc>
          <w:tcPr>
            <w:tcW w:w="38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80" w:type="dxa"/>
            <w:vAlign w:val="bottom"/>
          </w:tcPr>
          <w:p>
            <w:pPr>
              <w:spacing w:after="0"/>
              <w:rPr>
                <w:sz w:val="24"/>
                <w:szCs w:val="24"/>
                <w:color w:val="auto"/>
              </w:rPr>
            </w:pP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Common stock</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234</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231</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Additional paid-in capital</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2,629,066</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2,617,490</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Deferred stock-based compensation</w:t>
            </w:r>
          </w:p>
        </w:tc>
        <w:tc>
          <w:tcPr>
            <w:tcW w:w="380" w:type="dxa"/>
            <w:vAlign w:val="bottom"/>
          </w:tcPr>
          <w:p>
            <w:pPr>
              <w:spacing w:after="0"/>
              <w:rPr>
                <w:sz w:val="17"/>
                <w:szCs w:val="17"/>
                <w:color w:val="auto"/>
              </w:rPr>
            </w:pP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(15,854)</w:t>
            </w:r>
          </w:p>
        </w:tc>
        <w:tc>
          <w:tcPr>
            <w:tcW w:w="300" w:type="dxa"/>
            <w:vAlign w:val="bottom"/>
          </w:tcPr>
          <w:p>
            <w:pPr>
              <w:spacing w:after="0"/>
              <w:rPr>
                <w:sz w:val="17"/>
                <w:szCs w:val="17"/>
                <w:color w:val="auto"/>
              </w:rPr>
            </w:pPr>
          </w:p>
        </w:tc>
        <w:tc>
          <w:tcPr>
            <w:tcW w:w="12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(28,113)</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Accumulated other comprehensive income</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1,511</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19</w:t>
            </w:r>
          </w:p>
        </w:tc>
      </w:tr>
      <w:tr>
        <w:trPr>
          <w:trHeight w:val="203"/>
        </w:trPr>
        <w:tc>
          <w:tcPr>
            <w:tcW w:w="53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Accumulated deficit</w:t>
            </w:r>
          </w:p>
        </w:tc>
        <w:tc>
          <w:tcPr>
            <w:tcW w:w="380" w:type="dxa"/>
            <w:vAlign w:val="bottom"/>
          </w:tcPr>
          <w:p>
            <w:pPr>
              <w:spacing w:after="0"/>
              <w:rPr>
                <w:sz w:val="17"/>
                <w:szCs w:val="17"/>
                <w:color w:val="auto"/>
              </w:rPr>
            </w:pP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(548,245)</w:t>
            </w:r>
          </w:p>
        </w:tc>
        <w:tc>
          <w:tcPr>
            <w:tcW w:w="300" w:type="dxa"/>
            <w:vAlign w:val="bottom"/>
          </w:tcPr>
          <w:p>
            <w:pPr>
              <w:spacing w:after="0"/>
              <w:rPr>
                <w:sz w:val="17"/>
                <w:szCs w:val="17"/>
                <w:color w:val="auto"/>
              </w:rPr>
            </w:pPr>
          </w:p>
        </w:tc>
        <w:tc>
          <w:tcPr>
            <w:tcW w:w="12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(232,961)</w:t>
            </w:r>
          </w:p>
        </w:tc>
      </w:tr>
      <w:tr>
        <w:trPr>
          <w:trHeight w:val="203"/>
        </w:trPr>
        <w:tc>
          <w:tcPr>
            <w:tcW w:w="5320" w:type="dxa"/>
            <w:vAlign w:val="bottom"/>
          </w:tcPr>
          <w:p>
            <w:pPr>
              <w:spacing w:after="0"/>
              <w:rPr>
                <w:sz w:val="17"/>
                <w:szCs w:val="17"/>
                <w:color w:val="auto"/>
              </w:rPr>
            </w:pPr>
          </w:p>
        </w:tc>
        <w:tc>
          <w:tcPr>
            <w:tcW w:w="18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32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Total shareholders' equity</w:t>
            </w:r>
          </w:p>
        </w:tc>
        <w:tc>
          <w:tcPr>
            <w:tcW w:w="38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2,066,712</w:t>
            </w:r>
          </w:p>
        </w:tc>
        <w:tc>
          <w:tcPr>
            <w:tcW w:w="300" w:type="dxa"/>
            <w:vAlign w:val="bottom"/>
          </w:tcPr>
          <w:p>
            <w:pPr>
              <w:spacing w:after="0"/>
              <w:rPr>
                <w:sz w:val="17"/>
                <w:szCs w:val="17"/>
                <w:color w:val="auto"/>
              </w:rPr>
            </w:pP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2,356,666</w:t>
            </w:r>
          </w:p>
        </w:tc>
      </w:tr>
      <w:tr>
        <w:trPr>
          <w:trHeight w:val="203"/>
        </w:trPr>
        <w:tc>
          <w:tcPr>
            <w:tcW w:w="5320" w:type="dxa"/>
            <w:vAlign w:val="bottom"/>
          </w:tcPr>
          <w:p>
            <w:pPr>
              <w:spacing w:after="0"/>
              <w:rPr>
                <w:sz w:val="17"/>
                <w:szCs w:val="17"/>
                <w:color w:val="auto"/>
              </w:rPr>
            </w:pPr>
          </w:p>
        </w:tc>
        <w:tc>
          <w:tcPr>
            <w:tcW w:w="18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32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Total liabilities and shareholders' equity</w:t>
            </w:r>
          </w:p>
        </w:tc>
        <w:tc>
          <w:tcPr>
            <w:tcW w:w="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2,137,886</w:t>
            </w:r>
          </w:p>
        </w:tc>
        <w:tc>
          <w:tcPr>
            <w:tcW w:w="3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2,447,486</w:t>
            </w:r>
          </w:p>
        </w:tc>
      </w:tr>
      <w:tr>
        <w:trPr>
          <w:trHeight w:val="203"/>
        </w:trPr>
        <w:tc>
          <w:tcPr>
            <w:tcW w:w="5320" w:type="dxa"/>
            <w:vAlign w:val="bottom"/>
          </w:tcPr>
          <w:p>
            <w:pPr>
              <w:spacing w:after="0"/>
              <w:rPr>
                <w:sz w:val="17"/>
                <w:szCs w:val="17"/>
                <w:color w:val="auto"/>
              </w:rPr>
            </w:pPr>
          </w:p>
        </w:tc>
        <w:tc>
          <w:tcPr>
            <w:tcW w:w="18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1" w:lineRule="exact"/>
        <w:rPr>
          <w:sz w:val="20"/>
          <w:szCs w:val="20"/>
          <w:color w:val="auto"/>
        </w:rPr>
      </w:pPr>
    </w:p>
    <w:sectPr>
      <w:pgSz w:w="11900" w:h="16838" w:orient="portrait"/>
      <w:cols w:equalWidth="0" w:num="1">
        <w:col w:w="10219"/>
      </w:cols>
      <w:pgMar w:left="240" w:top="51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2019-12-14T19:01:57Z</dcterms:created>
  <dcterms:modified xsi:type="dcterms:W3CDTF">2019-12-14T19:01:57Z</dcterms:modified>
</cp:coreProperties>
</file>