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2</w:t>
      </w:r>
    </w:p>
    <w:tbl>
      <w:tblPr>
        <w:tblLayout w:type="fixed"/>
        <w:tblInd w:w="0" w:type="dxa"/>
        <w:tblCellMar>
          <w:top w:w="0" w:type="dxa"/>
          <w:left w:w="0" w:type="dxa"/>
          <w:bottom w:w="0" w:type="dxa"/>
          <w:right w:w="0" w:type="dxa"/>
        </w:tblCellMar>
      </w:tblP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Marvell</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Technology Group Ltd.</w:t>
            </w:r>
          </w:p>
        </w:tc>
      </w:tr>
      <w:tr>
        <w:trPr>
          <w:trHeight w:val="203"/>
        </w:trPr>
        <w:tc>
          <w:tcPr>
            <w:tcW w:w="13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Common Stock</w:t>
            </w:r>
          </w:p>
        </w:tc>
        <w:tc>
          <w:tcPr>
            <w:tcW w:w="5480" w:type="dxa"/>
            <w:vAlign w:val="bottom"/>
          </w:tcPr>
          <w:p>
            <w:pPr>
              <w:spacing w:after="0"/>
              <w:rPr>
                <w:sz w:val="17"/>
                <w:szCs w:val="17"/>
                <w:color w:val="auto"/>
              </w:rPr>
            </w:pPr>
          </w:p>
        </w:tc>
      </w:tr>
      <w:tr>
        <w:trPr>
          <w:trHeight w:val="203"/>
        </w:trPr>
        <w:tc>
          <w:tcPr>
            <w:tcW w:w="686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Cusip #G5876H105</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Reporting Person - FMR Corp.</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Commonwealth of Massachusetts</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225,090</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5,040,760</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5,040,760</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520" w:type="dxa"/>
            <w:vAlign w:val="bottom"/>
          </w:tcPr>
          <w:p>
            <w:pPr>
              <w:spacing w:after="0"/>
              <w:rPr>
                <w:sz w:val="17"/>
                <w:szCs w:val="17"/>
                <w:color w:val="auto"/>
              </w:rPr>
            </w:pPr>
          </w:p>
        </w:tc>
        <w:tc>
          <w:tcPr>
            <w:tcW w:w="5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4.224%</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520" w:type="dxa"/>
            <w:vAlign w:val="bottom"/>
          </w:tcPr>
          <w:p>
            <w:pPr>
              <w:spacing w:after="0"/>
              <w:rPr>
                <w:sz w:val="17"/>
                <w:szCs w:val="17"/>
                <w:color w:val="auto"/>
              </w:rPr>
            </w:pPr>
          </w:p>
        </w:tc>
        <w:tc>
          <w:tcPr>
            <w:tcW w:w="5480" w:type="dxa"/>
            <w:vAlign w:val="bottom"/>
          </w:tcPr>
          <w:p>
            <w:pPr>
              <w:ind w:left="740"/>
              <w:spacing w:after="0" w:line="203" w:lineRule="exact"/>
              <w:rPr>
                <w:sz w:val="20"/>
                <w:szCs w:val="20"/>
                <w:color w:val="auto"/>
              </w:rPr>
            </w:pPr>
            <w:r>
              <w:rPr>
                <w:rFonts w:ascii="Courier New" w:cs="Courier New" w:eastAsia="Courier New" w:hAnsi="Courier New"/>
                <w:sz w:val="18"/>
                <w:szCs w:val="18"/>
                <w:color w:val="auto"/>
              </w:rPr>
              <w:t>HC</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520" w:type="dxa"/>
            <w:vAlign w:val="bottom"/>
          </w:tcPr>
          <w:p>
            <w:pPr>
              <w:spacing w:after="0"/>
              <w:rPr>
                <w:sz w:val="17"/>
                <w:szCs w:val="17"/>
                <w:color w:val="auto"/>
              </w:rPr>
            </w:pPr>
          </w:p>
        </w:tc>
        <w:tc>
          <w:tcPr>
            <w:tcW w:w="5480" w:type="dxa"/>
            <w:vAlign w:val="bottom"/>
          </w:tcPr>
          <w:p>
            <w:pPr>
              <w:spacing w:after="0" w:line="203" w:lineRule="exact"/>
              <w:rPr>
                <w:sz w:val="20"/>
                <w:szCs w:val="20"/>
                <w:color w:val="auto"/>
              </w:rPr>
            </w:pPr>
            <w:r>
              <w:rPr>
                <w:rFonts w:ascii="Courier New" w:cs="Courier New" w:eastAsia="Courier New" w:hAnsi="Courier New"/>
                <w:sz w:val="18"/>
                <w:szCs w:val="18"/>
                <w:color w:val="auto"/>
              </w:rPr>
              <w:t>Reporting Person - Edward C. Johnson 3d</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5,040,760</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5,040,760</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520" w:type="dxa"/>
            <w:vAlign w:val="bottom"/>
          </w:tcPr>
          <w:p>
            <w:pPr>
              <w:spacing w:after="0"/>
              <w:rPr>
                <w:sz w:val="17"/>
                <w:szCs w:val="17"/>
                <w:color w:val="auto"/>
              </w:rPr>
            </w:pPr>
          </w:p>
        </w:tc>
        <w:tc>
          <w:tcPr>
            <w:tcW w:w="5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4.224%</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520" w:type="dxa"/>
            <w:vAlign w:val="bottom"/>
          </w:tcPr>
          <w:p>
            <w:pPr>
              <w:spacing w:after="0"/>
              <w:rPr>
                <w:sz w:val="17"/>
                <w:szCs w:val="17"/>
                <w:color w:val="auto"/>
              </w:rPr>
            </w:pPr>
          </w:p>
        </w:tc>
        <w:tc>
          <w:tcPr>
            <w:tcW w:w="5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IN</w:t>
            </w:r>
          </w:p>
        </w:tc>
      </w:tr>
      <w:tr>
        <w:trPr>
          <w:trHeight w:val="608"/>
        </w:trPr>
        <w:tc>
          <w:tcPr>
            <w:tcW w:w="860" w:type="dxa"/>
            <w:vAlign w:val="bottom"/>
          </w:tcPr>
          <w:p>
            <w:pPr>
              <w:spacing w:after="0"/>
              <w:rPr>
                <w:sz w:val="20"/>
                <w:szCs w:val="20"/>
                <w:color w:val="auto"/>
              </w:rPr>
            </w:pPr>
            <w:r>
              <w:rPr>
                <w:rFonts w:ascii="Courier New" w:cs="Courier New" w:eastAsia="Courier New" w:hAnsi="Courier New"/>
                <w:sz w:val="18"/>
                <w:szCs w:val="18"/>
                <w:color w:val="auto"/>
              </w:rPr>
              <w:t>Cusip #</w:t>
            </w: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G5876H105</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1:</w:t>
            </w:r>
          </w:p>
        </w:tc>
        <w:tc>
          <w:tcPr>
            <w:tcW w:w="520" w:type="dxa"/>
            <w:vAlign w:val="bottom"/>
          </w:tcPr>
          <w:p>
            <w:pPr>
              <w:spacing w:after="0"/>
              <w:rPr>
                <w:sz w:val="17"/>
                <w:szCs w:val="17"/>
                <w:color w:val="auto"/>
              </w:rPr>
            </w:pPr>
          </w:p>
        </w:tc>
        <w:tc>
          <w:tcPr>
            <w:tcW w:w="54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Reporting Person - Abigail P. Johnson</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4:</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United States of America</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6:</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7:</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5,040,760</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8:</w:t>
            </w:r>
          </w:p>
        </w:tc>
        <w:tc>
          <w:tcPr>
            <w:tcW w:w="5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c>
          <w:tcPr>
            <w:tcW w:w="5480" w:type="dxa"/>
            <w:vAlign w:val="bottom"/>
          </w:tcPr>
          <w:p>
            <w:pPr>
              <w:spacing w:after="0"/>
              <w:rPr>
                <w:sz w:val="17"/>
                <w:szCs w:val="17"/>
                <w:color w:val="auto"/>
              </w:rPr>
            </w:pP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9:</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5,040,760</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11:</w:t>
            </w:r>
          </w:p>
        </w:tc>
        <w:tc>
          <w:tcPr>
            <w:tcW w:w="520" w:type="dxa"/>
            <w:vAlign w:val="bottom"/>
          </w:tcPr>
          <w:p>
            <w:pPr>
              <w:spacing w:after="0"/>
              <w:rPr>
                <w:sz w:val="17"/>
                <w:szCs w:val="17"/>
                <w:color w:val="auto"/>
              </w:rPr>
            </w:pPr>
          </w:p>
        </w:tc>
        <w:tc>
          <w:tcPr>
            <w:tcW w:w="5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4.224%</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w w:val="97"/>
              </w:rPr>
              <w:t>Item 12:</w:t>
            </w:r>
          </w:p>
        </w:tc>
        <w:tc>
          <w:tcPr>
            <w:tcW w:w="520" w:type="dxa"/>
            <w:vAlign w:val="bottom"/>
          </w:tcPr>
          <w:p>
            <w:pPr>
              <w:spacing w:after="0"/>
              <w:rPr>
                <w:sz w:val="17"/>
                <w:szCs w:val="17"/>
                <w:color w:val="auto"/>
              </w:rPr>
            </w:pPr>
          </w:p>
        </w:tc>
        <w:tc>
          <w:tcPr>
            <w:tcW w:w="5480" w:type="dxa"/>
            <w:vAlign w:val="bottom"/>
          </w:tcPr>
          <w:p>
            <w:pPr>
              <w:ind w:left="740"/>
              <w:spacing w:after="0" w:line="203" w:lineRule="exact"/>
              <w:rPr>
                <w:sz w:val="20"/>
                <w:szCs w:val="20"/>
                <w:color w:val="auto"/>
              </w:rPr>
            </w:pPr>
            <w:r>
              <w:rPr>
                <w:rFonts w:ascii="Courier New" w:cs="Courier New" w:eastAsia="Courier New" w:hAnsi="Courier New"/>
                <w:sz w:val="18"/>
                <w:szCs w:val="18"/>
                <w:color w:val="auto"/>
              </w:rPr>
              <w:t>IN</w:t>
            </w:r>
          </w:p>
        </w:tc>
      </w:tr>
      <w:tr>
        <w:trPr>
          <w:trHeight w:val="810"/>
        </w:trPr>
        <w:tc>
          <w:tcPr>
            <w:tcW w:w="860" w:type="dxa"/>
            <w:vAlign w:val="bottom"/>
          </w:tcPr>
          <w:p>
            <w:pPr>
              <w:spacing w:after="0"/>
              <w:rPr>
                <w:sz w:val="24"/>
                <w:szCs w:val="24"/>
                <w:color w:val="auto"/>
              </w:rPr>
            </w:pPr>
          </w:p>
        </w:tc>
        <w:tc>
          <w:tcPr>
            <w:tcW w:w="6000" w:type="dxa"/>
            <w:vAlign w:val="bottom"/>
            <w:gridSpan w:val="2"/>
          </w:tcPr>
          <w:p>
            <w:pPr>
              <w:spacing w:after="0"/>
              <w:rPr>
                <w:sz w:val="20"/>
                <w:szCs w:val="20"/>
                <w:color w:val="auto"/>
              </w:rPr>
            </w:pPr>
            <w:r>
              <w:rPr>
                <w:rFonts w:ascii="Courier New" w:cs="Courier New" w:eastAsia="Courier New" w:hAnsi="Courier New"/>
                <w:sz w:val="18"/>
                <w:szCs w:val="18"/>
                <w:color w:val="auto"/>
              </w:rPr>
              <w:t>SCHEDULE 13G - TO BE INCLUDED IN</w:t>
            </w:r>
          </w:p>
        </w:tc>
      </w:tr>
      <w:tr>
        <w:trPr>
          <w:trHeight w:val="203"/>
        </w:trPr>
        <w:tc>
          <w:tcPr>
            <w:tcW w:w="13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STATEMENTS</w:t>
            </w:r>
          </w:p>
        </w:tc>
        <w:tc>
          <w:tcPr>
            <w:tcW w:w="5480" w:type="dxa"/>
            <w:vAlign w:val="bottom"/>
          </w:tcPr>
          <w:p>
            <w:pPr>
              <w:spacing w:after="0"/>
              <w:rPr>
                <w:sz w:val="17"/>
                <w:szCs w:val="17"/>
                <w:color w:val="auto"/>
              </w:rPr>
            </w:pPr>
          </w:p>
        </w:tc>
      </w:tr>
      <w:tr>
        <w:trPr>
          <w:trHeight w:val="203"/>
        </w:trPr>
        <w:tc>
          <w:tcPr>
            <w:tcW w:w="860" w:type="dxa"/>
            <w:vAlign w:val="bottom"/>
          </w:tcPr>
          <w:p>
            <w:pPr>
              <w:spacing w:after="0"/>
              <w:rPr>
                <w:sz w:val="17"/>
                <w:szCs w:val="17"/>
                <w:color w:val="auto"/>
              </w:rPr>
            </w:pP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FILED PURSUANT TO RULE 13d-1(b) or 13d-2(b)</w:t>
            </w:r>
          </w:p>
        </w:tc>
      </w:tr>
      <w:tr>
        <w:trPr>
          <w:trHeight w:val="1013"/>
        </w:trPr>
        <w:tc>
          <w:tcPr>
            <w:tcW w:w="1380" w:type="dxa"/>
            <w:vAlign w:val="bottom"/>
            <w:gridSpan w:val="2"/>
          </w:tcPr>
          <w:p>
            <w:pPr>
              <w:spacing w:after="0"/>
              <w:rPr>
                <w:sz w:val="20"/>
                <w:szCs w:val="20"/>
                <w:color w:val="auto"/>
              </w:rPr>
            </w:pPr>
            <w:r>
              <w:rPr>
                <w:rFonts w:ascii="Courier New" w:cs="Courier New" w:eastAsia="Courier New" w:hAnsi="Courier New"/>
                <w:sz w:val="18"/>
                <w:szCs w:val="18"/>
                <w:color w:val="auto"/>
              </w:rPr>
              <w:t>Item 1(a).</w:t>
            </w: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Name of Issuer:</w:t>
            </w:r>
          </w:p>
        </w:tc>
      </w:tr>
      <w:tr>
        <w:trPr>
          <w:trHeight w:val="405"/>
        </w:trPr>
        <w:tc>
          <w:tcPr>
            <w:tcW w:w="8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1380" w:type="dxa"/>
            <w:vAlign w:val="bottom"/>
            <w:gridSpan w:val="2"/>
          </w:tcPr>
          <w:p>
            <w:pPr>
              <w:spacing w:after="0"/>
              <w:rPr>
                <w:sz w:val="20"/>
                <w:szCs w:val="20"/>
                <w:color w:val="auto"/>
              </w:rPr>
            </w:pPr>
            <w:r>
              <w:rPr>
                <w:rFonts w:ascii="Courier New" w:cs="Courier New" w:eastAsia="Courier New" w:hAnsi="Courier New"/>
                <w:sz w:val="18"/>
                <w:szCs w:val="18"/>
                <w:color w:val="auto"/>
              </w:rPr>
              <w:t>Item 1(b).</w:t>
            </w: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Name of Issuer's Principal Executive Offices:</w:t>
            </w:r>
          </w:p>
        </w:tc>
      </w:tr>
      <w:tr>
        <w:trPr>
          <w:trHeight w:val="405"/>
        </w:trPr>
        <w:tc>
          <w:tcPr>
            <w:tcW w:w="8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Windsor Place, 4th Floor, 22 Queen</w:t>
            </w:r>
          </w:p>
        </w:tc>
      </w:tr>
      <w:tr>
        <w:trPr>
          <w:trHeight w:val="203"/>
        </w:trPr>
        <w:tc>
          <w:tcPr>
            <w:tcW w:w="860" w:type="dxa"/>
            <w:vAlign w:val="bottom"/>
          </w:tcPr>
          <w:p>
            <w:pPr>
              <w:spacing w:after="0" w:line="203" w:lineRule="exact"/>
              <w:rPr>
                <w:sz w:val="20"/>
                <w:szCs w:val="20"/>
                <w:color w:val="auto"/>
              </w:rPr>
            </w:pPr>
            <w:r>
              <w:rPr>
                <w:rFonts w:ascii="Courier New" w:cs="Courier New" w:eastAsia="Courier New" w:hAnsi="Courier New"/>
                <w:sz w:val="18"/>
                <w:szCs w:val="18"/>
                <w:color w:val="auto"/>
              </w:rPr>
              <w:t>Street,</w:t>
            </w:r>
          </w:p>
        </w:tc>
        <w:tc>
          <w:tcPr>
            <w:tcW w:w="6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P.O. Box HM 1179</w:t>
            </w:r>
          </w:p>
        </w:tc>
      </w:tr>
      <w:tr>
        <w:trPr>
          <w:trHeight w:val="203"/>
        </w:trPr>
        <w:tc>
          <w:tcPr>
            <w:tcW w:w="8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4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Hamilton HM EX</w:t>
            </w:r>
          </w:p>
        </w:tc>
      </w:tr>
      <w:tr>
        <w:trPr>
          <w:trHeight w:val="405"/>
        </w:trPr>
        <w:tc>
          <w:tcPr>
            <w:tcW w:w="1380" w:type="dxa"/>
            <w:vAlign w:val="bottom"/>
            <w:gridSpan w:val="2"/>
          </w:tcPr>
          <w:p>
            <w:pPr>
              <w:spacing w:after="0"/>
              <w:rPr>
                <w:sz w:val="20"/>
                <w:szCs w:val="20"/>
                <w:color w:val="auto"/>
              </w:rPr>
            </w:pPr>
            <w:r>
              <w:rPr>
                <w:rFonts w:ascii="Courier New" w:cs="Courier New" w:eastAsia="Courier New" w:hAnsi="Courier New"/>
                <w:sz w:val="18"/>
                <w:szCs w:val="18"/>
                <w:color w:val="auto"/>
              </w:rPr>
              <w:t>Item 2(a).</w:t>
            </w: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Name of Person Filing:</w:t>
            </w:r>
          </w:p>
        </w:tc>
      </w:tr>
      <w:tr>
        <w:trPr>
          <w:trHeight w:val="405"/>
        </w:trPr>
        <w:tc>
          <w:tcPr>
            <w:tcW w:w="8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FMR Corp.</w:t>
            </w:r>
          </w:p>
        </w:tc>
      </w:tr>
      <w:tr>
        <w:trPr>
          <w:trHeight w:val="405"/>
        </w:trPr>
        <w:tc>
          <w:tcPr>
            <w:tcW w:w="1380" w:type="dxa"/>
            <w:vAlign w:val="bottom"/>
            <w:gridSpan w:val="2"/>
          </w:tcPr>
          <w:p>
            <w:pPr>
              <w:spacing w:after="0"/>
              <w:rPr>
                <w:sz w:val="20"/>
                <w:szCs w:val="20"/>
                <w:color w:val="auto"/>
              </w:rPr>
            </w:pPr>
            <w:r>
              <w:rPr>
                <w:rFonts w:ascii="Courier New" w:cs="Courier New" w:eastAsia="Courier New" w:hAnsi="Courier New"/>
                <w:sz w:val="18"/>
                <w:szCs w:val="18"/>
                <w:color w:val="auto"/>
              </w:rPr>
              <w:t>Item 2(b).</w:t>
            </w: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w w:val="97"/>
              </w:rPr>
              <w:t>Address or Principal Business Office or, if None,</w:t>
            </w:r>
          </w:p>
        </w:tc>
      </w:tr>
      <w:tr>
        <w:trPr>
          <w:trHeight w:val="203"/>
        </w:trPr>
        <w:tc>
          <w:tcPr>
            <w:tcW w:w="13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Residence:</w:t>
            </w:r>
          </w:p>
        </w:tc>
        <w:tc>
          <w:tcPr>
            <w:tcW w:w="5480" w:type="dxa"/>
            <w:vAlign w:val="bottom"/>
          </w:tcPr>
          <w:p>
            <w:pPr>
              <w:spacing w:after="0"/>
              <w:rPr>
                <w:sz w:val="17"/>
                <w:szCs w:val="17"/>
                <w:color w:val="auto"/>
              </w:rPr>
            </w:pPr>
          </w:p>
        </w:tc>
      </w:tr>
      <w:tr>
        <w:trPr>
          <w:trHeight w:val="405"/>
        </w:trPr>
        <w:tc>
          <w:tcPr>
            <w:tcW w:w="8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82 Devonshire Street, Boston,</w:t>
            </w:r>
          </w:p>
        </w:tc>
      </w:tr>
      <w:tr>
        <w:trPr>
          <w:trHeight w:val="203"/>
        </w:trPr>
        <w:tc>
          <w:tcPr>
            <w:tcW w:w="13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6"/>
              </w:rPr>
              <w:t>Massachusetts</w:t>
            </w:r>
          </w:p>
        </w:tc>
        <w:tc>
          <w:tcPr>
            <w:tcW w:w="548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02109</w:t>
            </w:r>
          </w:p>
        </w:tc>
      </w:tr>
      <w:tr>
        <w:trPr>
          <w:trHeight w:val="405"/>
        </w:trPr>
        <w:tc>
          <w:tcPr>
            <w:tcW w:w="1380" w:type="dxa"/>
            <w:vAlign w:val="bottom"/>
            <w:gridSpan w:val="2"/>
          </w:tcPr>
          <w:p>
            <w:pPr>
              <w:spacing w:after="0"/>
              <w:rPr>
                <w:sz w:val="20"/>
                <w:szCs w:val="20"/>
                <w:color w:val="auto"/>
              </w:rPr>
            </w:pPr>
            <w:r>
              <w:rPr>
                <w:rFonts w:ascii="Courier New" w:cs="Courier New" w:eastAsia="Courier New" w:hAnsi="Courier New"/>
                <w:sz w:val="18"/>
                <w:szCs w:val="18"/>
                <w:color w:val="auto"/>
              </w:rPr>
              <w:t>Item 2(c).</w:t>
            </w: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Citizenship:</w:t>
            </w:r>
          </w:p>
        </w:tc>
      </w:tr>
      <w:tr>
        <w:trPr>
          <w:trHeight w:val="405"/>
        </w:trPr>
        <w:tc>
          <w:tcPr>
            <w:tcW w:w="8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Not applicable</w:t>
            </w:r>
          </w:p>
        </w:tc>
      </w:tr>
      <w:tr>
        <w:trPr>
          <w:trHeight w:val="405"/>
        </w:trPr>
        <w:tc>
          <w:tcPr>
            <w:tcW w:w="1380" w:type="dxa"/>
            <w:vAlign w:val="bottom"/>
            <w:gridSpan w:val="2"/>
          </w:tcPr>
          <w:p>
            <w:pPr>
              <w:spacing w:after="0"/>
              <w:rPr>
                <w:sz w:val="20"/>
                <w:szCs w:val="20"/>
                <w:color w:val="auto"/>
              </w:rPr>
            </w:pPr>
            <w:r>
              <w:rPr>
                <w:rFonts w:ascii="Courier New" w:cs="Courier New" w:eastAsia="Courier New" w:hAnsi="Courier New"/>
                <w:sz w:val="18"/>
                <w:szCs w:val="18"/>
                <w:color w:val="auto"/>
              </w:rPr>
              <w:t>Item 2(d).</w:t>
            </w: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Title of Class of Securities:</w:t>
            </w:r>
          </w:p>
        </w:tc>
      </w:tr>
      <w:tr>
        <w:trPr>
          <w:trHeight w:val="405"/>
        </w:trPr>
        <w:tc>
          <w:tcPr>
            <w:tcW w:w="86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Common Stock</w:t>
            </w:r>
          </w:p>
        </w:tc>
      </w:tr>
      <w:tr>
        <w:trPr>
          <w:trHeight w:val="405"/>
        </w:trPr>
        <w:tc>
          <w:tcPr>
            <w:tcW w:w="1380" w:type="dxa"/>
            <w:vAlign w:val="bottom"/>
            <w:gridSpan w:val="2"/>
          </w:tcPr>
          <w:p>
            <w:pPr>
              <w:spacing w:after="0"/>
              <w:rPr>
                <w:sz w:val="20"/>
                <w:szCs w:val="20"/>
                <w:color w:val="auto"/>
              </w:rPr>
            </w:pPr>
            <w:r>
              <w:rPr>
                <w:rFonts w:ascii="Courier New" w:cs="Courier New" w:eastAsia="Courier New" w:hAnsi="Courier New"/>
                <w:sz w:val="18"/>
                <w:szCs w:val="18"/>
                <w:color w:val="auto"/>
              </w:rPr>
              <w:t>Item 2(e).</w:t>
            </w:r>
          </w:p>
        </w:tc>
        <w:tc>
          <w:tcPr>
            <w:tcW w:w="5480" w:type="dxa"/>
            <w:vAlign w:val="bottom"/>
          </w:tcPr>
          <w:p>
            <w:pPr>
              <w:ind w:left="320"/>
              <w:spacing w:after="0"/>
              <w:rPr>
                <w:sz w:val="20"/>
                <w:szCs w:val="20"/>
                <w:color w:val="auto"/>
              </w:rPr>
            </w:pPr>
            <w:r>
              <w:rPr>
                <w:rFonts w:ascii="Courier New" w:cs="Courier New" w:eastAsia="Courier New" w:hAnsi="Courier New"/>
                <w:sz w:val="18"/>
                <w:szCs w:val="18"/>
                <w:color w:val="auto"/>
              </w:rPr>
              <w:t>CUSIP Number:</w:t>
            </w:r>
          </w:p>
        </w:tc>
      </w:tr>
    </w:tbl>
    <w:p>
      <w:pPr>
        <w:sectPr>
          <w:pgSz w:w="11900" w:h="16855" w:orient="portrait"/>
          <w:cols w:equalWidth="0" w:num="1">
            <w:col w:w="10219"/>
          </w:cols>
          <w:pgMar w:left="240" w:top="244" w:right="1440" w:bottom="0" w:gutter="0" w:footer="0" w:header="0"/>
        </w:sectPr>
      </w:pPr>
    </w:p>
    <w:bookmarkStart w:id="1" w:name="page2"/>
    <w:bookmarkEnd w:id="1"/>
    <w:p>
      <w:pPr>
        <w:ind w:left="264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0"/>
          <w:szCs w:val="20"/>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580" w:type="dxa"/>
            <w:vAlign w:val="bottom"/>
          </w:tcPr>
          <w:p>
            <w:pPr>
              <w:spacing w:after="0"/>
              <w:rPr>
                <w:sz w:val="20"/>
                <w:szCs w:val="20"/>
                <w:color w:val="auto"/>
              </w:rPr>
            </w:pPr>
            <w:r>
              <w:rPr>
                <w:rFonts w:ascii="Courier New" w:cs="Courier New" w:eastAsia="Courier New" w:hAnsi="Courier New"/>
                <w:sz w:val="18"/>
                <w:szCs w:val="18"/>
                <w:color w:val="auto"/>
              </w:rPr>
              <w:t>(a)</w:t>
            </w:r>
          </w:p>
        </w:tc>
        <w:tc>
          <w:tcPr>
            <w:tcW w:w="352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5,040,760</w:t>
            </w:r>
          </w:p>
        </w:tc>
      </w:tr>
      <w:tr>
        <w:trPr>
          <w:trHeight w:val="405"/>
        </w:trPr>
        <w:tc>
          <w:tcPr>
            <w:tcW w:w="580" w:type="dxa"/>
            <w:vAlign w:val="bottom"/>
          </w:tcPr>
          <w:p>
            <w:pPr>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00" w:type="dxa"/>
            <w:vAlign w:val="bottom"/>
          </w:tcPr>
          <w:p>
            <w:pPr>
              <w:jc w:val="right"/>
              <w:ind w:right="12"/>
              <w:spacing w:after="0"/>
              <w:rPr>
                <w:sz w:val="20"/>
                <w:szCs w:val="20"/>
                <w:color w:val="auto"/>
              </w:rPr>
            </w:pPr>
            <w:r>
              <w:rPr>
                <w:rFonts w:ascii="Courier New" w:cs="Courier New" w:eastAsia="Courier New" w:hAnsi="Courier New"/>
                <w:sz w:val="18"/>
                <w:szCs w:val="18"/>
                <w:color w:val="auto"/>
              </w:rPr>
              <w:t>4.224%</w:t>
            </w:r>
          </w:p>
        </w:tc>
        <w:tc>
          <w:tcPr>
            <w:tcW w:w="1060" w:type="dxa"/>
            <w:vAlign w:val="bottom"/>
          </w:tcPr>
          <w:p>
            <w:pPr>
              <w:spacing w:after="0"/>
              <w:rPr>
                <w:sz w:val="24"/>
                <w:szCs w:val="24"/>
                <w:color w:val="auto"/>
              </w:rPr>
            </w:pPr>
          </w:p>
        </w:tc>
      </w:tr>
    </w:tbl>
    <w:p>
      <w:pPr>
        <w:spacing w:after="0" w:line="201"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225,090</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2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5,040,760</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2419" w:firstLine="843"/>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w:t>
      </w:r>
    </w:p>
    <w:p>
      <w:pPr>
        <w:spacing w:after="0" w:line="6" w:lineRule="exact"/>
        <w:rPr>
          <w:sz w:val="20"/>
          <w:szCs w:val="20"/>
          <w:color w:val="auto"/>
        </w:rPr>
      </w:pPr>
    </w:p>
    <w:p>
      <w:pPr>
        <w:ind w:right="4099"/>
        <w:spacing w:after="0" w:line="235" w:lineRule="auto"/>
        <w:rPr>
          <w:sz w:val="20"/>
          <w:szCs w:val="20"/>
          <w:color w:val="auto"/>
        </w:rPr>
      </w:pPr>
      <w:r>
        <w:rPr>
          <w:rFonts w:ascii="Courier New" w:cs="Courier New" w:eastAsia="Courier New" w:hAnsi="Courier New"/>
          <w:sz w:val="18"/>
          <w:szCs w:val="18"/>
          <w:color w:val="auto"/>
        </w:rPr>
        <w:t>beneficial owner of more than five percent of the class of securities, check the following (X).</w:t>
      </w:r>
    </w:p>
    <w:p>
      <w:pPr>
        <w:spacing w:after="0" w:line="208"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Exhibit(s) A, B, and C.</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 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2839" w:firstLine="843"/>
        <w:spacing w:after="0" w:line="237" w:lineRule="auto"/>
        <w:rPr>
          <w:sz w:val="20"/>
          <w:szCs w:val="20"/>
          <w:color w:val="auto"/>
        </w:rPr>
      </w:pPr>
      <w:r>
        <w:rPr>
          <w:rFonts w:ascii="Courier New" w:cs="Courier New" w:eastAsia="Courier New" w:hAnsi="Courier New"/>
          <w:sz w:val="18"/>
          <w:szCs w:val="18"/>
          <w:color w:val="auto"/>
        </w:rPr>
        <w:t>Inasmuch as the reporting persons are no longer the beneficial owners of more than five percent of the number of shares outstanding, the reporting persons have no further reporting obligation under Section 13(d) of the Securities and Exchange Commission thereunder, and the reporting persons have no</w:t>
      </w:r>
    </w:p>
    <w:p>
      <w:pPr>
        <w:spacing w:after="0" w:line="6" w:lineRule="exact"/>
        <w:rPr>
          <w:sz w:val="20"/>
          <w:szCs w:val="20"/>
          <w:color w:val="auto"/>
        </w:rPr>
      </w:pPr>
    </w:p>
    <w:p>
      <w:pPr>
        <w:ind w:right="4199"/>
        <w:spacing w:after="0" w:line="235" w:lineRule="auto"/>
        <w:rPr>
          <w:sz w:val="20"/>
          <w:szCs w:val="20"/>
          <w:color w:val="auto"/>
        </w:rPr>
      </w:pPr>
      <w:r>
        <w:rPr>
          <w:rFonts w:ascii="Courier New" w:cs="Courier New" w:eastAsia="Courier New" w:hAnsi="Courier New"/>
          <w:sz w:val="18"/>
          <w:szCs w:val="18"/>
          <w:color w:val="auto"/>
        </w:rPr>
        <w:t>obligation to amend this Statement if any material change occurs in the facts set forth herein.</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After reasonable inquiry and to the best of my knowledge and belief, I certify that the information set forth in this Schedule 13G in connection with FMR Corp.'s beneficial ownership of</w:t>
      </w:r>
    </w:p>
    <w:p>
      <w:pPr>
        <w:spacing w:after="0" w:line="1" w:lineRule="exact"/>
        <w:rPr>
          <w:sz w:val="20"/>
          <w:szCs w:val="20"/>
          <w:color w:val="auto"/>
        </w:rPr>
      </w:pPr>
    </w:p>
    <w:p>
      <w:pPr>
        <w:ind w:right="4319"/>
        <w:spacing w:after="0" w:line="235" w:lineRule="auto"/>
        <w:rPr>
          <w:sz w:val="20"/>
          <w:szCs w:val="20"/>
          <w:color w:val="auto"/>
        </w:rPr>
      </w:pPr>
      <w:r>
        <w:rPr>
          <w:rFonts w:ascii="Courier New" w:cs="Courier New" w:eastAsia="Courier New" w:hAnsi="Courier New"/>
          <w:sz w:val="18"/>
          <w:szCs w:val="18"/>
          <w:color w:val="auto"/>
        </w:rPr>
        <w:t>the Common Stock of Marvell Technology Group Ltd. at May 31, 2002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June 10, 2002</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ectPr>
          <w:pgSz w:w="11900" w:h="16838" w:orient="portrait"/>
          <w:cols w:equalWidth="0" w:num="1">
            <w:col w:w="10219"/>
          </w:cols>
          <w:pgMar w:left="240" w:top="339"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rPr>
          <w:sz w:val="20"/>
          <w:szCs w:val="20"/>
          <w:color w:val="auto"/>
        </w:rPr>
      </w:pPr>
      <w:r>
        <w:rPr>
          <w:rFonts w:ascii="Courier New" w:cs="Courier New" w:eastAsia="Courier New" w:hAnsi="Courier New"/>
          <w:sz w:val="18"/>
          <w:szCs w:val="18"/>
          <w:color w:val="auto"/>
        </w:rPr>
        <w:t>dated December 30, 1997 by and on behalf</w:t>
      </w:r>
    </w:p>
    <w:p>
      <w:pPr>
        <w:spacing w:after="0" w:line="237" w:lineRule="auto"/>
        <w:rPr>
          <w:sz w:val="20"/>
          <w:szCs w:val="20"/>
          <w:color w:val="auto"/>
        </w:rPr>
      </w:pPr>
      <w:r>
        <w:rPr>
          <w:rFonts w:ascii="Courier New" w:cs="Courier New" w:eastAsia="Courier New" w:hAnsi="Courier New"/>
          <w:sz w:val="18"/>
          <w:szCs w:val="18"/>
          <w:color w:val="auto"/>
        </w:rPr>
        <w:t>of FMR Corp. and its direct and indirect</w:t>
      </w:r>
    </w:p>
    <w:p>
      <w:pPr>
        <w:spacing w:after="0" w:line="238" w:lineRule="auto"/>
        <w:rPr>
          <w:sz w:val="20"/>
          <w:szCs w:val="20"/>
          <w:color w:val="auto"/>
        </w:rPr>
      </w:pPr>
      <w:r>
        <w:rPr>
          <w:rFonts w:ascii="Courier New" w:cs="Courier New" w:eastAsia="Courier New" w:hAnsi="Courier New"/>
          <w:sz w:val="18"/>
          <w:szCs w:val="18"/>
          <w:color w:val="auto"/>
        </w:rPr>
        <w:t>subsidiaries</w:t>
      </w:r>
    </w:p>
    <w:p>
      <w:pPr>
        <w:spacing w:after="0" w:line="200" w:lineRule="exact"/>
        <w:rPr>
          <w:sz w:val="20"/>
          <w:szCs w:val="20"/>
          <w:color w:val="auto"/>
        </w:rPr>
      </w:pP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Pursuant to the instructions in Item 7 of Schedule</w:t>
      </w:r>
    </w:p>
    <w:p>
      <w:pPr>
        <w:spacing w:after="0" w:line="238" w:lineRule="auto"/>
        <w:rPr>
          <w:sz w:val="20"/>
          <w:szCs w:val="20"/>
          <w:color w:val="auto"/>
        </w:rPr>
      </w:pPr>
      <w:r>
        <w:rPr>
          <w:rFonts w:ascii="Courier New" w:cs="Courier New" w:eastAsia="Courier New" w:hAnsi="Courier New"/>
          <w:sz w:val="18"/>
          <w:szCs w:val="18"/>
          <w:color w:val="auto"/>
        </w:rPr>
        <w:t>13G, Fidelity Management &amp; Research Company</w:t>
      </w:r>
    </w:p>
    <w:p>
      <w:pPr>
        <w:spacing w:after="0"/>
        <w:rPr>
          <w:sz w:val="20"/>
          <w:szCs w:val="20"/>
          <w:color w:val="auto"/>
        </w:rPr>
      </w:pPr>
      <w:r>
        <w:rPr>
          <w:rFonts w:ascii="Courier New" w:cs="Courier New" w:eastAsia="Courier New" w:hAnsi="Courier New"/>
          <w:sz w:val="18"/>
          <w:szCs w:val="18"/>
          <w:color w:val="auto"/>
        </w:rPr>
        <w:t>("Fidelity"), 82 Devonshire Street, Boston, Massachusetts</w:t>
      </w:r>
    </w:p>
    <w:p>
      <w:pPr>
        <w:spacing w:after="0" w:line="237" w:lineRule="auto"/>
        <w:rPr>
          <w:sz w:val="20"/>
          <w:szCs w:val="20"/>
          <w:color w:val="auto"/>
        </w:rPr>
      </w:pPr>
      <w:r>
        <w:rPr>
          <w:rFonts w:ascii="Courier New" w:cs="Courier New" w:eastAsia="Courier New" w:hAnsi="Courier New"/>
          <w:sz w:val="18"/>
          <w:szCs w:val="18"/>
          <w:color w:val="auto"/>
        </w:rPr>
        <w:t>02109, a wholly-owned subsidiary of FMR Corp. and an</w:t>
      </w:r>
    </w:p>
    <w:p>
      <w:pPr>
        <w:spacing w:after="0" w:line="238" w:lineRule="auto"/>
        <w:rPr>
          <w:sz w:val="20"/>
          <w:szCs w:val="20"/>
          <w:color w:val="auto"/>
        </w:rPr>
      </w:pPr>
      <w:r>
        <w:rPr>
          <w:rFonts w:ascii="Courier New" w:cs="Courier New" w:eastAsia="Courier New" w:hAnsi="Courier New"/>
          <w:sz w:val="18"/>
          <w:szCs w:val="18"/>
          <w:color w:val="auto"/>
        </w:rPr>
        <w:t>investment adviser registered under Section 203 of the</w:t>
      </w:r>
    </w:p>
    <w:p>
      <w:pPr>
        <w:spacing w:after="0"/>
        <w:rPr>
          <w:sz w:val="20"/>
          <w:szCs w:val="20"/>
          <w:color w:val="auto"/>
        </w:rPr>
      </w:pPr>
      <w:r>
        <w:rPr>
          <w:rFonts w:ascii="Courier New" w:cs="Courier New" w:eastAsia="Courier New" w:hAnsi="Courier New"/>
          <w:sz w:val="18"/>
          <w:szCs w:val="18"/>
          <w:color w:val="auto"/>
        </w:rPr>
        <w:t>Investment Advisers Act of 1940, is the beneficial owner of</w:t>
      </w:r>
    </w:p>
    <w:p>
      <w:pPr>
        <w:spacing w:after="0" w:line="237" w:lineRule="auto"/>
        <w:rPr>
          <w:sz w:val="20"/>
          <w:szCs w:val="20"/>
          <w:color w:val="auto"/>
        </w:rPr>
      </w:pPr>
      <w:r>
        <w:rPr>
          <w:rFonts w:ascii="Courier New" w:cs="Courier New" w:eastAsia="Courier New" w:hAnsi="Courier New"/>
          <w:sz w:val="18"/>
          <w:szCs w:val="18"/>
          <w:color w:val="auto"/>
        </w:rPr>
        <w:t>4,751,970 shares or 3.982% of the Common Stock</w:t>
      </w:r>
    </w:p>
    <w:p>
      <w:pPr>
        <w:spacing w:after="0"/>
        <w:tabs>
          <w:tab w:leader="none" w:pos="4840" w:val="left"/>
        </w:tabs>
        <w:rPr>
          <w:sz w:val="20"/>
          <w:szCs w:val="20"/>
          <w:color w:val="auto"/>
        </w:rPr>
      </w:pPr>
      <w:r>
        <w:rPr>
          <w:rFonts w:ascii="Courier New" w:cs="Courier New" w:eastAsia="Courier New" w:hAnsi="Courier New"/>
          <w:sz w:val="18"/>
          <w:szCs w:val="18"/>
          <w:color w:val="auto"/>
        </w:rPr>
        <w:t>outstanding of Marvell Technology Group Ltd.</w:t>
      </w:r>
      <w:r>
        <w:rPr>
          <w:sz w:val="20"/>
          <w:szCs w:val="20"/>
          <w:color w:val="auto"/>
        </w:rPr>
        <w:tab/>
      </w:r>
      <w:r>
        <w:rPr>
          <w:rFonts w:ascii="Courier New" w:cs="Courier New" w:eastAsia="Courier New" w:hAnsi="Courier New"/>
          <w:sz w:val="16"/>
          <w:szCs w:val="16"/>
          <w:color w:val="auto"/>
        </w:rPr>
        <w:t>("the</w:t>
      </w:r>
    </w:p>
    <w:p>
      <w:pPr>
        <w:spacing w:after="0" w:line="237" w:lineRule="auto"/>
        <w:rPr>
          <w:sz w:val="20"/>
          <w:szCs w:val="20"/>
          <w:color w:val="auto"/>
        </w:rPr>
      </w:pPr>
      <w:r>
        <w:rPr>
          <w:rFonts w:ascii="Courier New" w:cs="Courier New" w:eastAsia="Courier New" w:hAnsi="Courier New"/>
          <w:sz w:val="18"/>
          <w:szCs w:val="18"/>
          <w:color w:val="auto"/>
        </w:rPr>
        <w:t>Company") as a result of acting as investment adviser to</w:t>
      </w:r>
    </w:p>
    <w:p>
      <w:pPr>
        <w:spacing w:after="0"/>
        <w:rPr>
          <w:sz w:val="20"/>
          <w:szCs w:val="20"/>
          <w:color w:val="auto"/>
        </w:rPr>
      </w:pPr>
      <w:r>
        <w:rPr>
          <w:rFonts w:ascii="Courier New" w:cs="Courier New" w:eastAsia="Courier New" w:hAnsi="Courier New"/>
          <w:sz w:val="18"/>
          <w:szCs w:val="18"/>
          <w:color w:val="auto"/>
        </w:rPr>
        <w:t>various investment companies registered under Section 8 of</w:t>
      </w:r>
    </w:p>
    <w:p>
      <w:pPr>
        <w:spacing w:after="0" w:line="237" w:lineRule="auto"/>
        <w:rPr>
          <w:sz w:val="20"/>
          <w:szCs w:val="20"/>
          <w:color w:val="auto"/>
        </w:rPr>
      </w:pPr>
      <w:r>
        <w:rPr>
          <w:rFonts w:ascii="Courier New" w:cs="Courier New" w:eastAsia="Courier New" w:hAnsi="Courier New"/>
          <w:sz w:val="18"/>
          <w:szCs w:val="18"/>
          <w:color w:val="auto"/>
        </w:rPr>
        <w:t>the Investment Company Act of 1940.</w:t>
      </w:r>
    </w:p>
    <w:p>
      <w:pPr>
        <w:spacing w:after="0" w:line="207"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FMR Corp., through its control of Fidelity, and the funds each has sole power to dispose of the 4,751,970 shares owned by the Funds.</w:t>
      </w:r>
    </w:p>
    <w:p>
      <w:pPr>
        <w:spacing w:after="0" w:line="209"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129,800 shares or 0.109% of the Common Stock outstanding of the Company as a result of its serving as investment manager of the institutional account(s).</w:t>
      </w: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 and FMR Corp., through its</w:t>
      </w:r>
    </w:p>
    <w:p>
      <w:pPr>
        <w:spacing w:after="0" w:line="238" w:lineRule="auto"/>
        <w:rPr>
          <w:sz w:val="20"/>
          <w:szCs w:val="20"/>
          <w:color w:val="auto"/>
        </w:rPr>
      </w:pPr>
      <w:r>
        <w:rPr>
          <w:rFonts w:ascii="Courier New" w:cs="Courier New" w:eastAsia="Courier New" w:hAnsi="Courier New"/>
          <w:sz w:val="18"/>
          <w:szCs w:val="18"/>
          <w:color w:val="auto"/>
        </w:rPr>
        <w:t>control of Fidelity Management Trust Company, each has</w:t>
      </w:r>
    </w:p>
    <w:p>
      <w:pPr>
        <w:spacing w:after="0"/>
        <w:rPr>
          <w:sz w:val="20"/>
          <w:szCs w:val="20"/>
          <w:color w:val="auto"/>
        </w:rPr>
      </w:pPr>
      <w:r>
        <w:rPr>
          <w:rFonts w:ascii="Courier New" w:cs="Courier New" w:eastAsia="Courier New" w:hAnsi="Courier New"/>
          <w:sz w:val="18"/>
          <w:szCs w:val="18"/>
          <w:color w:val="auto"/>
        </w:rPr>
        <w:t>sole dispositive power over 129,800 shares and sole power to</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vote or to direct the voting of 66,100 shares, and no power to</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vote or to direct the voting of 63,700 shares of Common</w:t>
      </w:r>
    </w:p>
    <w:p>
      <w:pPr>
        <w:spacing w:after="0" w:line="238" w:lineRule="auto"/>
        <w:rPr>
          <w:sz w:val="20"/>
          <w:szCs w:val="20"/>
          <w:color w:val="auto"/>
        </w:rPr>
      </w:pPr>
      <w:r>
        <w:rPr>
          <w:rFonts w:ascii="Courier New" w:cs="Courier New" w:eastAsia="Courier New" w:hAnsi="Courier New"/>
          <w:sz w:val="18"/>
          <w:szCs w:val="18"/>
          <w:color w:val="auto"/>
        </w:rPr>
        <w:t>Stock owned by the institutional account(s) as reported</w:t>
      </w:r>
    </w:p>
    <w:p>
      <w:pPr>
        <w:spacing w:after="0"/>
        <w:rPr>
          <w:sz w:val="20"/>
          <w:szCs w:val="20"/>
          <w:color w:val="auto"/>
        </w:rPr>
      </w:pPr>
      <w:r>
        <w:rPr>
          <w:rFonts w:ascii="Courier New" w:cs="Courier New" w:eastAsia="Courier New" w:hAnsi="Courier New"/>
          <w:sz w:val="18"/>
          <w:szCs w:val="18"/>
          <w:color w:val="auto"/>
        </w:rPr>
        <w:t>above.</w:t>
      </w:r>
    </w:p>
    <w:p>
      <w:pPr>
        <w:spacing w:after="0" w:line="206" w:lineRule="exact"/>
        <w:rPr>
          <w:sz w:val="20"/>
          <w:szCs w:val="20"/>
          <w:color w:val="auto"/>
        </w:rPr>
      </w:pPr>
    </w:p>
    <w:p>
      <w:pPr>
        <w:ind w:right="4099" w:firstLine="843"/>
        <w:spacing w:after="0" w:line="238" w:lineRule="auto"/>
        <w:rPr>
          <w:sz w:val="20"/>
          <w:szCs w:val="20"/>
          <w:color w:val="auto"/>
        </w:rPr>
      </w:pPr>
      <w:r>
        <w:rPr>
          <w:rFonts w:ascii="Courier New" w:cs="Courier New" w:eastAsia="Courier New" w:hAnsi="Courier New"/>
          <w:sz w:val="18"/>
          <w:szCs w:val="18"/>
          <w:color w:val="auto"/>
        </w:rPr>
        <w:t>Members of the Edward C. Johnson 3d family are the predominant owners of Class B shares of common stock of FMR Corp., representing approximately 49% of the voting power of FMR Corp. Mr. Johnson 3d owns 12.0% and Abigail Johnson owns 24.5% of the aggregate outstanding voting stock of FMR Corp. Mr. Johnson 3d is Chairman of FMR Corp. and Abigail P. Johnson is a Director of FMR Corp. The Johnson family group and all other Class B shareholders have entered into a shareholders' voting agreement under which all Class B shares will be voted in accordance with the majority vote of Class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pacing w:after="0" w:line="208" w:lineRule="exact"/>
        <w:rPr>
          <w:sz w:val="20"/>
          <w:szCs w:val="20"/>
          <w:color w:val="auto"/>
        </w:rPr>
      </w:pPr>
    </w:p>
    <w:p>
      <w:pPr>
        <w:ind w:right="3999" w:firstLine="843"/>
        <w:spacing w:after="0" w:line="237" w:lineRule="auto"/>
        <w:rPr>
          <w:sz w:val="20"/>
          <w:szCs w:val="20"/>
          <w:color w:val="auto"/>
        </w:rPr>
      </w:pPr>
      <w:r>
        <w:rPr>
          <w:rFonts w:ascii="Courier New" w:cs="Courier New" w:eastAsia="Courier New" w:hAnsi="Courier New"/>
          <w:sz w:val="18"/>
          <w:szCs w:val="18"/>
          <w:color w:val="auto"/>
        </w:rPr>
        <w:t>Fidelity International Limited, Pembroke Hall, 42 Crowlane, Hamilton, Bermuda, and various foreign-based subsidiaries provide investment advisory and management services to a number of non-U.S. investment companies (the "International Funds") and certain institutional investors. Fidelity International Limited is the beneficial owner of 158,990 shares or 0.133% of the Common Stock outstanding of the Company. Additional information with respect to the beneficial ownership of Fidelity International Limited is shown on Exhibit B.</w:t>
      </w:r>
    </w:p>
    <w:p>
      <w:pPr>
        <w:sectPr>
          <w:pgSz w:w="11900" w:h="16838" w:orient="portrait"/>
          <w:cols w:equalWidth="0" w:num="1">
            <w:col w:w="10219"/>
          </w:cols>
          <w:pgMar w:left="240" w:top="339" w:right="1440" w:bottom="0" w:gutter="0" w:footer="0" w:header="0"/>
        </w:sectPr>
      </w:pPr>
    </w:p>
    <w:bookmarkStart w:id="3" w:name="page4"/>
    <w:bookmarkEnd w:id="3"/>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6" w:lineRule="exact"/>
        <w:rPr>
          <w:sz w:val="20"/>
          <w:szCs w:val="20"/>
          <w:color w:val="auto"/>
        </w:rPr>
      </w:pPr>
    </w:p>
    <w:p>
      <w:pPr>
        <w:ind w:right="3459" w:firstLine="843"/>
        <w:spacing w:after="0" w:line="268" w:lineRule="auto"/>
        <w:rPr>
          <w:sz w:val="20"/>
          <w:szCs w:val="20"/>
          <w:color w:val="auto"/>
        </w:rPr>
      </w:pPr>
      <w:r>
        <w:rPr>
          <w:rFonts w:ascii="Courier New" w:cs="Courier New" w:eastAsia="Courier New" w:hAnsi="Courier New"/>
          <w:sz w:val="16"/>
          <w:szCs w:val="16"/>
          <w:color w:val="auto"/>
        </w:rPr>
        <w:t>Pursuant to instructions in Item 7 of Schedule 13G, this Exhibit has been prepared to identify Fidelity International Limited, Pembroke Hall, 42 Crow Lane, Hamilton, Bermuda,</w:t>
      </w:r>
    </w:p>
    <w:p>
      <w:pPr>
        <w:spacing w:after="0" w:line="1" w:lineRule="exact"/>
        <w:rPr>
          <w:sz w:val="20"/>
          <w:szCs w:val="20"/>
          <w:color w:val="auto"/>
        </w:rPr>
      </w:pPr>
    </w:p>
    <w:p>
      <w:pPr>
        <w:ind w:right="3579"/>
        <w:spacing w:after="0"/>
        <w:rPr>
          <w:sz w:val="20"/>
          <w:szCs w:val="20"/>
          <w:color w:val="auto"/>
        </w:rPr>
      </w:pPr>
      <w:r>
        <w:rPr>
          <w:rFonts w:ascii="Courier New" w:cs="Courier New" w:eastAsia="Courier New" w:hAnsi="Courier New"/>
          <w:sz w:val="18"/>
          <w:szCs w:val="18"/>
          <w:color w:val="auto"/>
        </w:rPr>
        <w:t>a Bermudan joint stock company incorporated for an unlimited duration by private act of the Bermuda Legislature (FIL) and an investment adviser to various investment companies (the "International Funds") and certain institutional investors, as a beneficial owner of the 158,990 shares or 0.133% of the Common Stock outstanding of Marvell Technology Group Ltd..</w:t>
      </w:r>
    </w:p>
    <w:p>
      <w:pPr>
        <w:spacing w:after="0" w:line="39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Prior to June 30, 1980, FIL was a majority-owned subsidiary of Fidelity Management &amp; Research Company (Fidelity), a wholly-owned subsidiary of FMR Corp. On that date, the shares of FIL held by Fidelity were distributed, as a dividend, to the shareholders of FMR Corp. FIL currently operates as an entity independent of FMR Corp. and Fidelity. The International Funds and FIL's other clients, with the exception of Fidelity and an affiliated company of Fidelity, are non-U.S. entities.</w:t>
      </w:r>
    </w:p>
    <w:p>
      <w:pPr>
        <w:spacing w:after="0" w:line="214"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A partnership controlled by Edward C. Johnson 3d and members of his family owns shares of FIL voting stock with</w:t>
      </w:r>
    </w:p>
    <w:p>
      <w:pPr>
        <w:ind w:right="3579"/>
        <w:spacing w:after="0" w:line="268" w:lineRule="auto"/>
        <w:rPr>
          <w:sz w:val="20"/>
          <w:szCs w:val="20"/>
          <w:color w:val="auto"/>
        </w:rPr>
      </w:pPr>
      <w:r>
        <w:rPr>
          <w:rFonts w:ascii="Courier New" w:cs="Courier New" w:eastAsia="Courier New" w:hAnsi="Courier New"/>
          <w:sz w:val="16"/>
          <w:szCs w:val="16"/>
          <w:color w:val="auto"/>
        </w:rPr>
        <w:t>the right to cast approximately 39.89% of the total votes which may be cast by all holders of FIL voting stock. Mr. Johnson 3d is Chairman of FMR Corp. and FIL. FMR Corp. and FIL</w:t>
      </w:r>
    </w:p>
    <w:p>
      <w:pPr>
        <w:spacing w:after="0" w:line="1"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6"/>
          <w:szCs w:val="16"/>
          <w:color w:val="auto"/>
        </w:rPr>
        <w:t>are separate and independent corporate entities, and their Boards of Directors are generally composed of different individuals. Other than when one serves as a sub adviser to the other, their investment decisions are made independently, and their clients are generally different organizations.</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9"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may continue to have the International Funds or other accounts purchase shares subject to a number of factors, including, among others, the availability of shares for sale at what FIL considers to be reasonable prices and other investment opportunities that may be available to the International Funds.</w:t>
      </w:r>
    </w:p>
    <w:p>
      <w:pPr>
        <w:spacing w:after="0" w:line="210"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intends to review continuously the equity position of the International Funds and other accounts in the Company. Depending upon its future evaluations of the business and prospects of the Company and upon other developments, including, but not limited to, general economic and business conditions and money market and stock market conditions,</w:t>
      </w:r>
    </w:p>
    <w:p>
      <w:pPr>
        <w:spacing w:after="0" w:line="1" w:lineRule="exact"/>
        <w:rPr>
          <w:sz w:val="20"/>
          <w:szCs w:val="20"/>
          <w:color w:val="auto"/>
        </w:rPr>
      </w:pPr>
    </w:p>
    <w:p>
      <w:pPr>
        <w:ind w:right="3679"/>
        <w:spacing w:after="0" w:line="237" w:lineRule="auto"/>
        <w:rPr>
          <w:sz w:val="20"/>
          <w:szCs w:val="20"/>
          <w:color w:val="auto"/>
        </w:rPr>
      </w:pPr>
      <w:r>
        <w:rPr>
          <w:rFonts w:ascii="Courier New" w:cs="Courier New" w:eastAsia="Courier New" w:hAnsi="Courier New"/>
          <w:sz w:val="18"/>
          <w:szCs w:val="18"/>
          <w:color w:val="auto"/>
        </w:rPr>
        <w:t>FIL may determine to cease making additional purchases of shares or to increase or decrease the equity interest in the Company by acquiring additional shares, or by disposing of all or a portion of the shares.</w:t>
      </w:r>
    </w:p>
    <w:p>
      <w:pPr>
        <w:spacing w:after="0" w:line="207"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does not have a present plan or proposal which relates to or would result in (i) an extraordinary corporate transaction, such as a merger, reorganization, liquidation, or sale or transfer of a material amount of assets involving the Company or any of its subsidiaries, (ii) any change in the Company's present Board of Directors or management, (iii)</w:t>
      </w:r>
    </w:p>
    <w:p>
      <w:pPr>
        <w:spacing w:after="0" w:line="1"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6"/>
          <w:szCs w:val="16"/>
          <w:color w:val="auto"/>
        </w:rPr>
        <w:t>any material changes in the Company's present capitalization or dividend policy or any other material change in the Company's business or corporate structure, (iv) any change in the Company's charter or by-laws, or (v) the Company's common stock becoming eligible for termination of its</w:t>
      </w:r>
    </w:p>
    <w:p>
      <w:pPr>
        <w:sectPr>
          <w:pgSz w:w="11900" w:h="16838" w:orient="portrait"/>
          <w:cols w:equalWidth="0" w:num="1">
            <w:col w:w="10219"/>
          </w:cols>
          <w:pgMar w:left="240" w:top="744" w:right="1440" w:bottom="0" w:gutter="0" w:footer="0" w:header="0"/>
        </w:sectPr>
      </w:pPr>
    </w:p>
    <w:bookmarkStart w:id="4" w:name="page5"/>
    <w:bookmarkEnd w:id="4"/>
    <w:p>
      <w:pPr>
        <w:spacing w:after="0"/>
        <w:rPr>
          <w:sz w:val="20"/>
          <w:szCs w:val="20"/>
          <w:color w:val="auto"/>
        </w:rPr>
      </w:pPr>
      <w:r>
        <w:rPr>
          <w:rFonts w:ascii="Courier New" w:cs="Courier New" w:eastAsia="Courier New" w:hAnsi="Courier New"/>
          <w:sz w:val="18"/>
          <w:szCs w:val="18"/>
          <w:color w:val="auto"/>
        </w:rPr>
        <w:t>registration pursuant to Section 12(g)(4) of the 1934 Act.</w:t>
      </w:r>
    </w:p>
    <w:p>
      <w:pPr>
        <w:spacing w:after="0" w:line="207" w:lineRule="exact"/>
        <w:rPr>
          <w:sz w:val="20"/>
          <w:szCs w:val="20"/>
          <w:color w:val="auto"/>
        </w:rPr>
      </w:pPr>
    </w:p>
    <w:p>
      <w:pPr>
        <w:ind w:right="4199" w:firstLine="843"/>
        <w:spacing w:after="0" w:line="235" w:lineRule="auto"/>
        <w:rPr>
          <w:sz w:val="20"/>
          <w:szCs w:val="20"/>
          <w:color w:val="auto"/>
        </w:rPr>
      </w:pPr>
      <w:r>
        <w:rPr>
          <w:rFonts w:ascii="Courier New" w:cs="Courier New" w:eastAsia="Courier New" w:hAnsi="Courier New"/>
          <w:sz w:val="18"/>
          <w:szCs w:val="18"/>
          <w:color w:val="auto"/>
        </w:rPr>
        <w:t>FIL has sole power to vote and the sole power to dispose of 158,990 shares.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June 10, 2002, agree and consent to the joint filing on their behalf of this Schedule 13G in connection with their beneficial ownership of the Common Stock of Marvell Technology Group Ltd. at May 31, 2002.</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FMR Corp. and its direct and indirect</w:t>
      </w:r>
    </w:p>
    <w:p>
      <w:pPr>
        <w:ind w:left="860"/>
        <w:spacing w:after="0"/>
        <w:rPr>
          <w:sz w:val="20"/>
          <w:szCs w:val="20"/>
          <w:color w:val="auto"/>
        </w:rPr>
      </w:pPr>
      <w:r>
        <w:rPr>
          <w:rFonts w:ascii="Courier New" w:cs="Courier New" w:eastAsia="Courier New" w:hAnsi="Courier New"/>
          <w:sz w:val="18"/>
          <w:szCs w:val="18"/>
          <w:color w:val="auto"/>
        </w:rPr>
        <w:t>subsidiaries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Edward C. Johnson 3d</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Abigail P. Johnson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2019-12-14T19:24:39Z</dcterms:created>
  <dcterms:modified xsi:type="dcterms:W3CDTF">2019-12-14T19:24:39Z</dcterms:modified>
</cp:coreProperties>
</file>