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filed with the Securities and Exchange Commission on June 25, 2002</w:t>
      </w:r>
    </w:p>
    <w:p>
      <w:pPr>
        <w:spacing w:after="0" w:line="225" w:lineRule="exact"/>
        <w:rPr>
          <w:sz w:val="20"/>
          <w:szCs w:val="20"/>
          <w:color w:val="auto"/>
        </w:rPr>
      </w:pPr>
    </w:p>
    <w:p>
      <w:pPr>
        <w:ind w:left="9020"/>
        <w:spacing w:after="0"/>
        <w:rPr>
          <w:sz w:val="20"/>
          <w:szCs w:val="20"/>
          <w:color w:val="auto"/>
        </w:rPr>
      </w:pPr>
      <w:r>
        <w:rPr>
          <w:rFonts w:ascii="Arial" w:cs="Arial" w:eastAsia="Arial" w:hAnsi="Arial"/>
          <w:sz w:val="15"/>
          <w:szCs w:val="15"/>
          <w:color w:val="auto"/>
        </w:rPr>
        <w:t>Registration No. 333-__________</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-11430</wp:posOffset>
            </wp:positionV>
            <wp:extent cx="7250430"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UNITED STATES 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S-8</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REGISTRATION STATEMENT</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152400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pacing w:after="0" w:line="200" w:lineRule="exact"/>
        <w:rPr>
          <w:sz w:val="20"/>
          <w:szCs w:val="20"/>
          <w:color w:val="auto"/>
        </w:rPr>
      </w:pPr>
    </w:p>
    <w:p>
      <w:pPr>
        <w:spacing w:after="0" w:line="256" w:lineRule="exact"/>
        <w:rPr>
          <w:sz w:val="20"/>
          <w:szCs w:val="20"/>
          <w:color w:val="auto"/>
        </w:rPr>
      </w:pPr>
    </w:p>
    <w:tbl>
      <w:tblPr>
        <w:tblLayout w:type="fixed"/>
        <w:tblInd w:w="2340" w:type="dxa"/>
        <w:tblCellMar>
          <w:top w:w="0" w:type="dxa"/>
          <w:left w:w="0" w:type="dxa"/>
          <w:bottom w:w="0" w:type="dxa"/>
          <w:right w:w="0" w:type="dxa"/>
        </w:tblCellMar>
      </w:tblPr>
      <w:tr>
        <w:trPr>
          <w:trHeight w:val="222"/>
        </w:trPr>
        <w:tc>
          <w:tcPr>
            <w:tcW w:w="4860" w:type="dxa"/>
            <w:vAlign w:val="bottom"/>
            <w:gridSpan w:val="2"/>
          </w:tcPr>
          <w:p>
            <w:pPr>
              <w:jc w:val="center"/>
              <w:ind w:right="2672"/>
              <w:spacing w:after="0"/>
              <w:rPr>
                <w:sz w:val="20"/>
                <w:szCs w:val="20"/>
                <w:color w:val="auto"/>
              </w:rPr>
            </w:pPr>
            <w:r>
              <w:rPr>
                <w:rFonts w:ascii="Arial" w:cs="Arial" w:eastAsia="Arial" w:hAnsi="Arial"/>
                <w:sz w:val="18"/>
                <w:szCs w:val="18"/>
                <w:b w:val="1"/>
                <w:bCs w:val="1"/>
                <w:color w:val="auto"/>
                <w:w w:val="89"/>
              </w:rPr>
              <w:t>Bermuda</w:t>
            </w:r>
          </w:p>
        </w:tc>
        <w:tc>
          <w:tcPr>
            <w:tcW w:w="1500" w:type="dxa"/>
            <w:vAlign w:val="bottom"/>
          </w:tcPr>
          <w:p>
            <w:pPr>
              <w:jc w:val="center"/>
              <w:ind w:left="92"/>
              <w:spacing w:after="0"/>
              <w:rPr>
                <w:sz w:val="20"/>
                <w:szCs w:val="20"/>
                <w:color w:val="auto"/>
              </w:rPr>
            </w:pPr>
            <w:r>
              <w:rPr>
                <w:rFonts w:ascii="Arial" w:cs="Arial" w:eastAsia="Arial" w:hAnsi="Arial"/>
                <w:sz w:val="18"/>
                <w:szCs w:val="18"/>
                <w:b w:val="1"/>
                <w:bCs w:val="1"/>
                <w:color w:val="auto"/>
                <w:w w:val="87"/>
              </w:rPr>
              <w:t>77-0481679</w:t>
            </w:r>
          </w:p>
        </w:tc>
      </w:tr>
      <w:tr>
        <w:trPr>
          <w:trHeight w:val="216"/>
        </w:trPr>
        <w:tc>
          <w:tcPr>
            <w:tcW w:w="4860" w:type="dxa"/>
            <w:vAlign w:val="bottom"/>
            <w:gridSpan w:val="2"/>
          </w:tcPr>
          <w:p>
            <w:pPr>
              <w:jc w:val="center"/>
              <w:ind w:right="2652"/>
              <w:spacing w:after="0"/>
              <w:rPr>
                <w:sz w:val="20"/>
                <w:szCs w:val="20"/>
                <w:color w:val="auto"/>
              </w:rPr>
            </w:pPr>
            <w:r>
              <w:rPr>
                <w:rFonts w:ascii="Arial" w:cs="Arial" w:eastAsia="Arial" w:hAnsi="Arial"/>
                <w:sz w:val="18"/>
                <w:szCs w:val="18"/>
                <w:color w:val="auto"/>
                <w:w w:val="90"/>
              </w:rPr>
              <w:t>(State or other jurisdiction of</w:t>
            </w:r>
          </w:p>
        </w:tc>
        <w:tc>
          <w:tcPr>
            <w:tcW w:w="1500" w:type="dxa"/>
            <w:vAlign w:val="bottom"/>
          </w:tcPr>
          <w:p>
            <w:pPr>
              <w:jc w:val="center"/>
              <w:ind w:left="92"/>
              <w:spacing w:after="0"/>
              <w:rPr>
                <w:sz w:val="20"/>
                <w:szCs w:val="20"/>
                <w:color w:val="auto"/>
              </w:rPr>
            </w:pPr>
            <w:r>
              <w:rPr>
                <w:rFonts w:ascii="Arial" w:cs="Arial" w:eastAsia="Arial" w:hAnsi="Arial"/>
                <w:sz w:val="18"/>
                <w:szCs w:val="18"/>
                <w:color w:val="auto"/>
                <w:w w:val="90"/>
              </w:rPr>
              <w:t>(I.R.S. Employer</w:t>
            </w:r>
          </w:p>
        </w:tc>
      </w:tr>
      <w:tr>
        <w:trPr>
          <w:trHeight w:val="222"/>
        </w:trPr>
        <w:tc>
          <w:tcPr>
            <w:tcW w:w="4860" w:type="dxa"/>
            <w:vAlign w:val="bottom"/>
            <w:gridSpan w:val="2"/>
          </w:tcPr>
          <w:p>
            <w:pPr>
              <w:jc w:val="center"/>
              <w:ind w:right="2672"/>
              <w:spacing w:after="0"/>
              <w:rPr>
                <w:sz w:val="20"/>
                <w:szCs w:val="20"/>
                <w:color w:val="auto"/>
              </w:rPr>
            </w:pPr>
            <w:r>
              <w:rPr>
                <w:rFonts w:ascii="Arial" w:cs="Arial" w:eastAsia="Arial" w:hAnsi="Arial"/>
                <w:sz w:val="18"/>
                <w:szCs w:val="18"/>
                <w:color w:val="auto"/>
                <w:w w:val="89"/>
              </w:rPr>
              <w:t>incorporation or organization)</w:t>
            </w:r>
          </w:p>
        </w:tc>
        <w:tc>
          <w:tcPr>
            <w:tcW w:w="1500" w:type="dxa"/>
            <w:vAlign w:val="bottom"/>
          </w:tcPr>
          <w:p>
            <w:pPr>
              <w:jc w:val="center"/>
              <w:ind w:left="112"/>
              <w:spacing w:after="0"/>
              <w:rPr>
                <w:sz w:val="20"/>
                <w:szCs w:val="20"/>
                <w:color w:val="auto"/>
              </w:rPr>
            </w:pPr>
            <w:r>
              <w:rPr>
                <w:rFonts w:ascii="Arial" w:cs="Arial" w:eastAsia="Arial" w:hAnsi="Arial"/>
                <w:sz w:val="18"/>
                <w:szCs w:val="18"/>
                <w:color w:val="auto"/>
                <w:w w:val="92"/>
              </w:rPr>
              <w:t>Identification No.)</w:t>
            </w:r>
          </w:p>
        </w:tc>
      </w:tr>
      <w:tr>
        <w:trPr>
          <w:trHeight w:val="218"/>
        </w:trPr>
        <w:tc>
          <w:tcPr>
            <w:tcW w:w="1880" w:type="dxa"/>
            <w:vAlign w:val="bottom"/>
          </w:tcPr>
          <w:p>
            <w:pPr>
              <w:spacing w:after="0"/>
              <w:rPr>
                <w:sz w:val="18"/>
                <w:szCs w:val="18"/>
                <w:color w:val="auto"/>
              </w:rPr>
            </w:pPr>
          </w:p>
        </w:tc>
        <w:tc>
          <w:tcPr>
            <w:tcW w:w="2980" w:type="dxa"/>
            <w:vAlign w:val="bottom"/>
            <w:tcBorders>
              <w:bottom w:val="single" w:sz="8" w:color="808080"/>
            </w:tcBorders>
          </w:tcPr>
          <w:p>
            <w:pPr>
              <w:spacing w:after="0"/>
              <w:rPr>
                <w:sz w:val="18"/>
                <w:szCs w:val="18"/>
                <w:color w:val="auto"/>
              </w:rPr>
            </w:pPr>
          </w:p>
        </w:tc>
        <w:tc>
          <w:tcPr>
            <w:tcW w:w="1500" w:type="dxa"/>
            <w:vAlign w:val="bottom"/>
          </w:tcPr>
          <w:p>
            <w:pPr>
              <w:spacing w:after="0"/>
              <w:rPr>
                <w:sz w:val="18"/>
                <w:szCs w:val="18"/>
                <w:color w:val="auto"/>
              </w:rPr>
            </w:pPr>
          </w:p>
        </w:tc>
      </w:tr>
      <w:tr>
        <w:trPr>
          <w:trHeight w:val="411"/>
        </w:trPr>
        <w:tc>
          <w:tcPr>
            <w:tcW w:w="1880" w:type="dxa"/>
            <w:vAlign w:val="bottom"/>
          </w:tcPr>
          <w:p>
            <w:pPr>
              <w:spacing w:after="0"/>
              <w:rPr>
                <w:sz w:val="24"/>
                <w:szCs w:val="24"/>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90"/>
              </w:rPr>
              <w:t>4th Floor</w:t>
            </w:r>
          </w:p>
        </w:tc>
        <w:tc>
          <w:tcPr>
            <w:tcW w:w="1500" w:type="dxa"/>
            <w:vAlign w:val="bottom"/>
          </w:tcPr>
          <w:p>
            <w:pPr>
              <w:spacing w:after="0"/>
              <w:rPr>
                <w:sz w:val="24"/>
                <w:szCs w:val="24"/>
                <w:color w:val="auto"/>
              </w:rPr>
            </w:pPr>
          </w:p>
        </w:tc>
      </w:tr>
      <w:tr>
        <w:trPr>
          <w:trHeight w:val="216"/>
        </w:trPr>
        <w:tc>
          <w:tcPr>
            <w:tcW w:w="1880" w:type="dxa"/>
            <w:vAlign w:val="bottom"/>
          </w:tcPr>
          <w:p>
            <w:pPr>
              <w:spacing w:after="0"/>
              <w:rPr>
                <w:sz w:val="18"/>
                <w:szCs w:val="18"/>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88"/>
              </w:rPr>
              <w:t>Windsor Place</w:t>
            </w:r>
          </w:p>
        </w:tc>
        <w:tc>
          <w:tcPr>
            <w:tcW w:w="15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87"/>
              </w:rPr>
              <w:t>22 Queen Street</w:t>
            </w:r>
          </w:p>
        </w:tc>
        <w:tc>
          <w:tcPr>
            <w:tcW w:w="15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90"/>
              </w:rPr>
              <w:t>P.O. Box HM 1179</w:t>
            </w:r>
          </w:p>
        </w:tc>
        <w:tc>
          <w:tcPr>
            <w:tcW w:w="1500" w:type="dxa"/>
            <w:vAlign w:val="bottom"/>
          </w:tcPr>
          <w:p>
            <w:pPr>
              <w:spacing w:after="0"/>
              <w:rPr>
                <w:sz w:val="18"/>
                <w:szCs w:val="18"/>
                <w:color w:val="auto"/>
              </w:rPr>
            </w:pPr>
          </w:p>
        </w:tc>
      </w:tr>
      <w:tr>
        <w:trPr>
          <w:trHeight w:val="216"/>
        </w:trPr>
        <w:tc>
          <w:tcPr>
            <w:tcW w:w="1880" w:type="dxa"/>
            <w:vAlign w:val="bottom"/>
          </w:tcPr>
          <w:p>
            <w:pPr>
              <w:spacing w:after="0"/>
              <w:rPr>
                <w:sz w:val="18"/>
                <w:szCs w:val="18"/>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EX</w:t>
            </w:r>
          </w:p>
        </w:tc>
        <w:tc>
          <w:tcPr>
            <w:tcW w:w="1500" w:type="dxa"/>
            <w:vAlign w:val="bottom"/>
          </w:tcPr>
          <w:p>
            <w:pPr>
              <w:spacing w:after="0"/>
              <w:rPr>
                <w:sz w:val="18"/>
                <w:szCs w:val="18"/>
                <w:color w:val="auto"/>
              </w:rPr>
            </w:pPr>
          </w:p>
        </w:tc>
      </w:tr>
      <w:tr>
        <w:trPr>
          <w:trHeight w:val="222"/>
        </w:trPr>
        <w:tc>
          <w:tcPr>
            <w:tcW w:w="1880" w:type="dxa"/>
            <w:vAlign w:val="bottom"/>
          </w:tcPr>
          <w:p>
            <w:pPr>
              <w:spacing w:after="0"/>
              <w:rPr>
                <w:sz w:val="19"/>
                <w:szCs w:val="19"/>
                <w:color w:val="auto"/>
              </w:rPr>
            </w:pPr>
          </w:p>
        </w:tc>
        <w:tc>
          <w:tcPr>
            <w:tcW w:w="2980" w:type="dxa"/>
            <w:vAlign w:val="bottom"/>
          </w:tcPr>
          <w:p>
            <w:pPr>
              <w:jc w:val="center"/>
              <w:spacing w:after="0"/>
              <w:rPr>
                <w:sz w:val="20"/>
                <w:szCs w:val="20"/>
                <w:color w:val="auto"/>
              </w:rPr>
            </w:pPr>
            <w:r>
              <w:rPr>
                <w:rFonts w:ascii="Arial" w:cs="Arial" w:eastAsia="Arial" w:hAnsi="Arial"/>
                <w:sz w:val="18"/>
                <w:szCs w:val="18"/>
                <w:b w:val="1"/>
                <w:bCs w:val="1"/>
                <w:color w:val="auto"/>
                <w:w w:val="89"/>
              </w:rPr>
              <w:t>Bermuda</w:t>
            </w:r>
          </w:p>
        </w:tc>
        <w:tc>
          <w:tcPr>
            <w:tcW w:w="1500" w:type="dxa"/>
            <w:vAlign w:val="bottom"/>
          </w:tcPr>
          <w:p>
            <w:pPr>
              <w:spacing w:after="0"/>
              <w:rPr>
                <w:sz w:val="19"/>
                <w:szCs w:val="19"/>
                <w:color w:val="auto"/>
              </w:rPr>
            </w:pPr>
          </w:p>
        </w:tc>
      </w:tr>
      <w:tr>
        <w:trPr>
          <w:trHeight w:val="216"/>
        </w:trPr>
        <w:tc>
          <w:tcPr>
            <w:tcW w:w="1880" w:type="dxa"/>
            <w:vAlign w:val="bottom"/>
          </w:tcPr>
          <w:p>
            <w:pPr>
              <w:spacing w:after="0"/>
              <w:rPr>
                <w:sz w:val="18"/>
                <w:szCs w:val="18"/>
                <w:color w:val="auto"/>
              </w:rPr>
            </w:pPr>
          </w:p>
        </w:tc>
        <w:tc>
          <w:tcPr>
            <w:tcW w:w="2980" w:type="dxa"/>
            <w:vAlign w:val="bottom"/>
          </w:tcPr>
          <w:p>
            <w:pPr>
              <w:jc w:val="center"/>
              <w:spacing w:after="0"/>
              <w:rPr>
                <w:sz w:val="20"/>
                <w:szCs w:val="20"/>
                <w:color w:val="auto"/>
              </w:rPr>
            </w:pPr>
            <w:r>
              <w:rPr>
                <w:rFonts w:ascii="Arial" w:cs="Arial" w:eastAsia="Arial" w:hAnsi="Arial"/>
                <w:sz w:val="18"/>
                <w:szCs w:val="18"/>
                <w:color w:val="auto"/>
                <w:w w:val="90"/>
              </w:rPr>
              <w:t>(Address of principal executive offices</w:t>
            </w:r>
          </w:p>
        </w:tc>
        <w:tc>
          <w:tcPr>
            <w:tcW w:w="1500" w:type="dxa"/>
            <w:vAlign w:val="bottom"/>
          </w:tcPr>
          <w:p>
            <w:pPr>
              <w:spacing w:after="0"/>
              <w:rPr>
                <w:sz w:val="18"/>
                <w:szCs w:val="18"/>
                <w:color w:val="auto"/>
              </w:rPr>
            </w:pPr>
          </w:p>
        </w:tc>
      </w:tr>
      <w:tr>
        <w:trPr>
          <w:trHeight w:val="222"/>
        </w:trPr>
        <w:tc>
          <w:tcPr>
            <w:tcW w:w="1880" w:type="dxa"/>
            <w:vAlign w:val="bottom"/>
          </w:tcPr>
          <w:p>
            <w:pPr>
              <w:spacing w:after="0"/>
              <w:rPr>
                <w:sz w:val="19"/>
                <w:szCs w:val="19"/>
                <w:color w:val="auto"/>
              </w:rPr>
            </w:pPr>
          </w:p>
        </w:tc>
        <w:tc>
          <w:tcPr>
            <w:tcW w:w="2980" w:type="dxa"/>
            <w:vAlign w:val="bottom"/>
          </w:tcPr>
          <w:p>
            <w:pPr>
              <w:jc w:val="center"/>
              <w:spacing w:after="0"/>
              <w:rPr>
                <w:sz w:val="20"/>
                <w:szCs w:val="20"/>
                <w:color w:val="auto"/>
              </w:rPr>
            </w:pPr>
            <w:r>
              <w:rPr>
                <w:rFonts w:ascii="Arial" w:cs="Arial" w:eastAsia="Arial" w:hAnsi="Arial"/>
                <w:sz w:val="18"/>
                <w:szCs w:val="18"/>
                <w:color w:val="auto"/>
                <w:w w:val="87"/>
              </w:rPr>
              <w:t>and telephone number)</w:t>
            </w:r>
          </w:p>
        </w:tc>
        <w:tc>
          <w:tcPr>
            <w:tcW w:w="150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138430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Options Issued by Marvell Technology Group Ltd. to</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Optionholders of SysKonnect GmbH</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(Full title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 94089</w:t>
      </w:r>
    </w:p>
    <w:p>
      <w:pPr>
        <w:spacing w:after="0" w:line="9" w:lineRule="exact"/>
        <w:rPr>
          <w:sz w:val="20"/>
          <w:szCs w:val="20"/>
          <w:color w:val="auto"/>
        </w:rPr>
      </w:pPr>
    </w:p>
    <w:p>
      <w:pPr>
        <w:ind w:left="5580" w:hanging="415"/>
        <w:spacing w:after="0"/>
        <w:tabs>
          <w:tab w:leader="none" w:pos="5580" w:val="left"/>
        </w:tabs>
        <w:numPr>
          <w:ilvl w:val="0"/>
          <w:numId w:val="1"/>
        </w:numPr>
        <w:rPr>
          <w:rFonts w:ascii="Arial" w:cs="Arial" w:eastAsia="Arial" w:hAnsi="Arial"/>
          <w:sz w:val="16"/>
          <w:szCs w:val="16"/>
          <w:b w:val="1"/>
          <w:bCs w:val="1"/>
          <w:color w:val="auto"/>
        </w:rPr>
      </w:pPr>
      <w:r>
        <w:rPr>
          <w:rFonts w:ascii="Arial" w:cs="Arial" w:eastAsia="Arial" w:hAnsi="Arial"/>
          <w:sz w:val="16"/>
          <w:szCs w:val="16"/>
          <w:b w:val="1"/>
          <w:bCs w:val="1"/>
          <w:color w:val="auto"/>
        </w:rPr>
        <w:t>222-2500</w:t>
      </w:r>
    </w:p>
    <w:p>
      <w:pPr>
        <w:spacing w:after="0" w:line="32" w:lineRule="exact"/>
        <w:rPr>
          <w:rFonts w:ascii="Arial" w:cs="Arial" w:eastAsia="Arial" w:hAnsi="Arial"/>
          <w:sz w:val="16"/>
          <w:szCs w:val="16"/>
          <w:b w:val="1"/>
          <w:bCs w:val="1"/>
          <w:color w:val="auto"/>
        </w:rPr>
      </w:pPr>
    </w:p>
    <w:p>
      <w:pPr>
        <w:jc w:val="both"/>
        <w:ind w:left="4720" w:right="4640" w:hanging="58"/>
        <w:spacing w:after="0" w:line="361" w:lineRule="auto"/>
        <w:rPr>
          <w:rFonts w:ascii="Arial" w:cs="Arial" w:eastAsia="Arial" w:hAnsi="Arial"/>
          <w:sz w:val="16"/>
          <w:szCs w:val="16"/>
          <w:b w:val="1"/>
          <w:bCs w:val="1"/>
          <w:color w:val="auto"/>
        </w:rPr>
      </w:pPr>
      <w:r>
        <w:rPr>
          <w:rFonts w:ascii="Arial" w:cs="Arial" w:eastAsia="Arial" w:hAnsi="Arial"/>
          <w:sz w:val="15"/>
          <w:szCs w:val="15"/>
          <w:color w:val="auto"/>
        </w:rPr>
        <w:t>(Name, address and telephone number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83185</wp:posOffset>
            </wp:positionV>
            <wp:extent cx="189547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CALCULATION OF REGISTRATION FEE</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300" w:type="dxa"/>
            <w:vAlign w:val="bottom"/>
          </w:tcPr>
          <w:p>
            <w:pPr>
              <w:jc w:val="center"/>
              <w:spacing w:after="0"/>
              <w:rPr>
                <w:sz w:val="20"/>
                <w:szCs w:val="20"/>
                <w:color w:val="auto"/>
              </w:rPr>
            </w:pPr>
            <w:r>
              <w:rPr>
                <w:rFonts w:ascii="Arial" w:cs="Arial" w:eastAsia="Arial" w:hAnsi="Arial"/>
                <w:sz w:val="14"/>
                <w:szCs w:val="14"/>
                <w:color w:val="auto"/>
                <w:w w:val="83"/>
              </w:rPr>
              <w:t>Proposed</w:t>
            </w:r>
          </w:p>
        </w:tc>
        <w:tc>
          <w:tcPr>
            <w:tcW w:w="4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color w:val="auto"/>
                <w:w w:val="83"/>
              </w:rPr>
              <w:t>Proposed</w:t>
            </w:r>
          </w:p>
        </w:tc>
        <w:tc>
          <w:tcPr>
            <w:tcW w:w="44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49"/>
        </w:trPr>
        <w:tc>
          <w:tcPr>
            <w:tcW w:w="3420" w:type="dxa"/>
            <w:vAlign w:val="bottom"/>
          </w:tcPr>
          <w:p>
            <w:pPr>
              <w:ind w:left="1220"/>
              <w:spacing w:after="0" w:line="149" w:lineRule="exact"/>
              <w:rPr>
                <w:sz w:val="20"/>
                <w:szCs w:val="20"/>
                <w:color w:val="auto"/>
              </w:rPr>
            </w:pPr>
            <w:r>
              <w:rPr>
                <w:rFonts w:ascii="Arial" w:cs="Arial" w:eastAsia="Arial" w:hAnsi="Arial"/>
                <w:sz w:val="14"/>
                <w:szCs w:val="14"/>
                <w:color w:val="auto"/>
              </w:rPr>
              <w:t>Title of Securities</w:t>
            </w:r>
          </w:p>
        </w:tc>
        <w:tc>
          <w:tcPr>
            <w:tcW w:w="420" w:type="dxa"/>
            <w:vAlign w:val="bottom"/>
          </w:tcPr>
          <w:p>
            <w:pPr>
              <w:spacing w:after="0"/>
              <w:rPr>
                <w:sz w:val="12"/>
                <w:szCs w:val="12"/>
                <w:color w:val="auto"/>
              </w:rPr>
            </w:pPr>
          </w:p>
        </w:tc>
        <w:tc>
          <w:tcPr>
            <w:tcW w:w="1660" w:type="dxa"/>
            <w:vAlign w:val="bottom"/>
          </w:tcPr>
          <w:p>
            <w:pPr>
              <w:jc w:val="center"/>
              <w:spacing w:after="0" w:line="149" w:lineRule="exact"/>
              <w:rPr>
                <w:sz w:val="20"/>
                <w:szCs w:val="20"/>
                <w:color w:val="auto"/>
              </w:rPr>
            </w:pPr>
            <w:r>
              <w:rPr>
                <w:rFonts w:ascii="Arial" w:cs="Arial" w:eastAsia="Arial" w:hAnsi="Arial"/>
                <w:sz w:val="14"/>
                <w:szCs w:val="14"/>
                <w:color w:val="auto"/>
                <w:w w:val="90"/>
              </w:rPr>
              <w:t>Amount To</w:t>
            </w:r>
          </w:p>
        </w:tc>
        <w:tc>
          <w:tcPr>
            <w:tcW w:w="440" w:type="dxa"/>
            <w:vAlign w:val="bottom"/>
          </w:tcPr>
          <w:p>
            <w:pPr>
              <w:spacing w:after="0"/>
              <w:rPr>
                <w:sz w:val="12"/>
                <w:szCs w:val="12"/>
                <w:color w:val="auto"/>
              </w:rPr>
            </w:pPr>
          </w:p>
        </w:tc>
        <w:tc>
          <w:tcPr>
            <w:tcW w:w="1300" w:type="dxa"/>
            <w:vAlign w:val="bottom"/>
          </w:tcPr>
          <w:p>
            <w:pPr>
              <w:jc w:val="center"/>
              <w:spacing w:after="0" w:line="149" w:lineRule="exact"/>
              <w:rPr>
                <w:sz w:val="20"/>
                <w:szCs w:val="20"/>
                <w:color w:val="auto"/>
              </w:rPr>
            </w:pPr>
            <w:r>
              <w:rPr>
                <w:rFonts w:ascii="Arial" w:cs="Arial" w:eastAsia="Arial" w:hAnsi="Arial"/>
                <w:sz w:val="14"/>
                <w:szCs w:val="14"/>
                <w:color w:val="auto"/>
                <w:w w:val="92"/>
              </w:rPr>
              <w:t>Maximum Offering</w:t>
            </w:r>
          </w:p>
        </w:tc>
        <w:tc>
          <w:tcPr>
            <w:tcW w:w="420" w:type="dxa"/>
            <w:vAlign w:val="bottom"/>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Arial" w:cs="Arial" w:eastAsia="Arial" w:hAnsi="Arial"/>
                <w:sz w:val="14"/>
                <w:szCs w:val="14"/>
                <w:color w:val="auto"/>
                <w:w w:val="89"/>
              </w:rPr>
              <w:t>Maximum Aggregate</w:t>
            </w:r>
          </w:p>
        </w:tc>
        <w:tc>
          <w:tcPr>
            <w:tcW w:w="440" w:type="dxa"/>
            <w:vAlign w:val="bottom"/>
          </w:tcPr>
          <w:p>
            <w:pPr>
              <w:spacing w:after="0"/>
              <w:rPr>
                <w:sz w:val="12"/>
                <w:szCs w:val="12"/>
                <w:color w:val="auto"/>
              </w:rPr>
            </w:pPr>
          </w:p>
        </w:tc>
        <w:tc>
          <w:tcPr>
            <w:tcW w:w="940" w:type="dxa"/>
            <w:vAlign w:val="bottom"/>
          </w:tcPr>
          <w:p>
            <w:pPr>
              <w:jc w:val="center"/>
              <w:spacing w:after="0" w:line="149" w:lineRule="exact"/>
              <w:rPr>
                <w:sz w:val="20"/>
                <w:szCs w:val="20"/>
                <w:color w:val="auto"/>
              </w:rPr>
            </w:pPr>
            <w:r>
              <w:rPr>
                <w:rFonts w:ascii="Arial" w:cs="Arial" w:eastAsia="Arial" w:hAnsi="Arial"/>
                <w:sz w:val="14"/>
                <w:szCs w:val="14"/>
                <w:color w:val="auto"/>
                <w:w w:val="90"/>
              </w:rPr>
              <w:t>Amount of</w:t>
            </w:r>
          </w:p>
        </w:tc>
      </w:tr>
      <w:tr>
        <w:trPr>
          <w:trHeight w:val="172"/>
        </w:trPr>
        <w:tc>
          <w:tcPr>
            <w:tcW w:w="3420" w:type="dxa"/>
            <w:vAlign w:val="bottom"/>
          </w:tcPr>
          <w:p>
            <w:pPr>
              <w:ind w:left="1240"/>
              <w:spacing w:after="0"/>
              <w:rPr>
                <w:sz w:val="20"/>
                <w:szCs w:val="20"/>
                <w:color w:val="auto"/>
              </w:rPr>
            </w:pPr>
            <w:r>
              <w:rPr>
                <w:rFonts w:ascii="Arial" w:cs="Arial" w:eastAsia="Arial" w:hAnsi="Arial"/>
                <w:sz w:val="14"/>
                <w:szCs w:val="14"/>
                <w:color w:val="auto"/>
              </w:rPr>
              <w:t>To Be Registered</w:t>
            </w:r>
          </w:p>
        </w:tc>
        <w:tc>
          <w:tcPr>
            <w:tcW w:w="420" w:type="dxa"/>
            <w:vAlign w:val="bottom"/>
          </w:tcPr>
          <w:p>
            <w:pPr>
              <w:spacing w:after="0"/>
              <w:rPr>
                <w:sz w:val="14"/>
                <w:szCs w:val="14"/>
                <w:color w:val="auto"/>
              </w:rPr>
            </w:pPr>
          </w:p>
        </w:tc>
        <w:tc>
          <w:tcPr>
            <w:tcW w:w="1660" w:type="dxa"/>
            <w:vAlign w:val="bottom"/>
          </w:tcPr>
          <w:p>
            <w:pPr>
              <w:jc w:val="center"/>
              <w:spacing w:after="0"/>
              <w:rPr>
                <w:sz w:val="20"/>
                <w:szCs w:val="20"/>
                <w:color w:val="auto"/>
              </w:rPr>
            </w:pPr>
            <w:r>
              <w:rPr>
                <w:rFonts w:ascii="Arial" w:cs="Arial" w:eastAsia="Arial" w:hAnsi="Arial"/>
                <w:sz w:val="14"/>
                <w:szCs w:val="14"/>
                <w:color w:val="auto"/>
                <w:w w:val="86"/>
              </w:rPr>
              <w:t>Be Registered(1)</w:t>
            </w:r>
          </w:p>
        </w:tc>
        <w:tc>
          <w:tcPr>
            <w:tcW w:w="440" w:type="dxa"/>
            <w:vAlign w:val="bottom"/>
          </w:tcPr>
          <w:p>
            <w:pPr>
              <w:spacing w:after="0"/>
              <w:rPr>
                <w:sz w:val="14"/>
                <w:szCs w:val="14"/>
                <w:color w:val="auto"/>
              </w:rPr>
            </w:pPr>
          </w:p>
        </w:tc>
        <w:tc>
          <w:tcPr>
            <w:tcW w:w="1300" w:type="dxa"/>
            <w:vAlign w:val="bottom"/>
          </w:tcPr>
          <w:p>
            <w:pPr>
              <w:jc w:val="center"/>
              <w:spacing w:after="0"/>
              <w:rPr>
                <w:sz w:val="20"/>
                <w:szCs w:val="20"/>
                <w:color w:val="auto"/>
              </w:rPr>
            </w:pPr>
            <w:r>
              <w:rPr>
                <w:rFonts w:ascii="Arial" w:cs="Arial" w:eastAsia="Arial" w:hAnsi="Arial"/>
                <w:sz w:val="14"/>
                <w:szCs w:val="14"/>
                <w:color w:val="auto"/>
                <w:w w:val="84"/>
              </w:rPr>
              <w:t>Price Per Share(2)</w:t>
            </w:r>
          </w:p>
        </w:tc>
        <w:tc>
          <w:tcPr>
            <w:tcW w:w="4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color w:val="auto"/>
                <w:w w:val="91"/>
              </w:rPr>
              <w:t>Offering Price(2)</w:t>
            </w:r>
          </w:p>
        </w:tc>
        <w:tc>
          <w:tcPr>
            <w:tcW w:w="440" w:type="dxa"/>
            <w:vAlign w:val="bottom"/>
          </w:tcPr>
          <w:p>
            <w:pPr>
              <w:spacing w:after="0"/>
              <w:rPr>
                <w:sz w:val="14"/>
                <w:szCs w:val="14"/>
                <w:color w:val="auto"/>
              </w:rPr>
            </w:pPr>
          </w:p>
        </w:tc>
        <w:tc>
          <w:tcPr>
            <w:tcW w:w="940" w:type="dxa"/>
            <w:vAlign w:val="bottom"/>
          </w:tcPr>
          <w:p>
            <w:pPr>
              <w:jc w:val="center"/>
              <w:spacing w:after="0"/>
              <w:rPr>
                <w:sz w:val="20"/>
                <w:szCs w:val="20"/>
                <w:color w:val="auto"/>
              </w:rPr>
            </w:pPr>
            <w:r>
              <w:rPr>
                <w:rFonts w:ascii="Arial" w:cs="Arial" w:eastAsia="Arial" w:hAnsi="Arial"/>
                <w:sz w:val="14"/>
                <w:szCs w:val="14"/>
                <w:color w:val="auto"/>
                <w:w w:val="87"/>
              </w:rPr>
              <w:t>Registration Fee</w:t>
            </w:r>
          </w:p>
        </w:tc>
      </w:tr>
      <w:tr>
        <w:trPr>
          <w:trHeight w:val="95"/>
        </w:trPr>
        <w:tc>
          <w:tcPr>
            <w:tcW w:w="342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166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130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2380" w:type="dxa"/>
            <w:vAlign w:val="bottom"/>
            <w:tcBorders>
              <w:bottom w:val="single" w:sz="8" w:color="808080"/>
            </w:tcBorders>
          </w:tcPr>
          <w:p>
            <w:pPr>
              <w:spacing w:after="0"/>
              <w:rPr>
                <w:sz w:val="8"/>
                <w:szCs w:val="8"/>
                <w:color w:val="auto"/>
              </w:rPr>
            </w:pPr>
          </w:p>
        </w:tc>
        <w:tc>
          <w:tcPr>
            <w:tcW w:w="440" w:type="dxa"/>
            <w:vAlign w:val="bottom"/>
          </w:tcPr>
          <w:p>
            <w:pPr>
              <w:spacing w:after="0"/>
              <w:rPr>
                <w:sz w:val="8"/>
                <w:szCs w:val="8"/>
                <w:color w:val="auto"/>
              </w:rPr>
            </w:pPr>
          </w:p>
        </w:tc>
        <w:tc>
          <w:tcPr>
            <w:tcW w:w="940" w:type="dxa"/>
            <w:vAlign w:val="bottom"/>
            <w:tcBorders>
              <w:bottom w:val="single" w:sz="8" w:color="808080"/>
            </w:tcBorders>
          </w:tcPr>
          <w:p>
            <w:pPr>
              <w:spacing w:after="0"/>
              <w:rPr>
                <w:sz w:val="8"/>
                <w:szCs w:val="8"/>
                <w:color w:val="auto"/>
              </w:rPr>
            </w:pPr>
          </w:p>
        </w:tc>
      </w:tr>
      <w:tr>
        <w:trPr>
          <w:trHeight w:val="309"/>
        </w:trPr>
        <w:tc>
          <w:tcPr>
            <w:tcW w:w="3420" w:type="dxa"/>
            <w:vAlign w:val="bottom"/>
          </w:tcPr>
          <w:p>
            <w:pPr>
              <w:spacing w:after="0"/>
              <w:rPr>
                <w:sz w:val="20"/>
                <w:szCs w:val="20"/>
                <w:color w:val="auto"/>
              </w:rPr>
            </w:pPr>
            <w:r>
              <w:rPr>
                <w:rFonts w:ascii="Arial" w:cs="Arial" w:eastAsia="Arial" w:hAnsi="Arial"/>
                <w:sz w:val="18"/>
                <w:szCs w:val="18"/>
                <w:color w:val="auto"/>
                <w:w w:val="89"/>
              </w:rPr>
              <w:t>Common Stock, par value $0.002 per share: To</w:t>
            </w:r>
          </w:p>
        </w:tc>
        <w:tc>
          <w:tcPr>
            <w:tcW w:w="42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3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216"/>
        </w:trPr>
        <w:tc>
          <w:tcPr>
            <w:tcW w:w="3420" w:type="dxa"/>
            <w:vAlign w:val="bottom"/>
          </w:tcPr>
          <w:p>
            <w:pPr>
              <w:ind w:left="140"/>
              <w:spacing w:after="0"/>
              <w:rPr>
                <w:sz w:val="20"/>
                <w:szCs w:val="20"/>
                <w:color w:val="auto"/>
              </w:rPr>
            </w:pPr>
            <w:r>
              <w:rPr>
                <w:rFonts w:ascii="Arial" w:cs="Arial" w:eastAsia="Arial" w:hAnsi="Arial"/>
                <w:sz w:val="18"/>
                <w:szCs w:val="18"/>
                <w:color w:val="auto"/>
                <w:w w:val="89"/>
              </w:rPr>
              <w:t>be issued under stock option grants to certain</w:t>
            </w:r>
          </w:p>
        </w:tc>
        <w:tc>
          <w:tcPr>
            <w:tcW w:w="42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3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940" w:type="dxa"/>
            <w:vAlign w:val="bottom"/>
          </w:tcPr>
          <w:p>
            <w:pPr>
              <w:spacing w:after="0"/>
              <w:rPr>
                <w:sz w:val="18"/>
                <w:szCs w:val="18"/>
                <w:color w:val="auto"/>
              </w:rPr>
            </w:pPr>
          </w:p>
        </w:tc>
      </w:tr>
      <w:tr>
        <w:trPr>
          <w:trHeight w:val="222"/>
        </w:trPr>
        <w:tc>
          <w:tcPr>
            <w:tcW w:w="3420" w:type="dxa"/>
            <w:vAlign w:val="bottom"/>
          </w:tcPr>
          <w:p>
            <w:pPr>
              <w:ind w:left="140"/>
              <w:spacing w:after="0"/>
              <w:rPr>
                <w:sz w:val="20"/>
                <w:szCs w:val="20"/>
                <w:color w:val="auto"/>
              </w:rPr>
            </w:pPr>
            <w:r>
              <w:rPr>
                <w:rFonts w:ascii="Arial" w:cs="Arial" w:eastAsia="Arial" w:hAnsi="Arial"/>
                <w:sz w:val="18"/>
                <w:szCs w:val="18"/>
                <w:color w:val="auto"/>
              </w:rPr>
              <w:t>employees</w:t>
            </w:r>
          </w:p>
        </w:tc>
        <w:tc>
          <w:tcPr>
            <w:tcW w:w="2080" w:type="dxa"/>
            <w:vAlign w:val="bottom"/>
            <w:gridSpan w:val="2"/>
          </w:tcPr>
          <w:p>
            <w:pPr>
              <w:jc w:val="center"/>
              <w:ind w:left="352"/>
              <w:spacing w:after="0"/>
              <w:rPr>
                <w:sz w:val="20"/>
                <w:szCs w:val="20"/>
                <w:color w:val="auto"/>
              </w:rPr>
            </w:pPr>
            <w:r>
              <w:rPr>
                <w:rFonts w:ascii="Arial" w:cs="Arial" w:eastAsia="Arial" w:hAnsi="Arial"/>
                <w:sz w:val="18"/>
                <w:szCs w:val="18"/>
                <w:color w:val="auto"/>
                <w:w w:val="86"/>
              </w:rPr>
              <w:t>215,000</w:t>
            </w:r>
          </w:p>
        </w:tc>
        <w:tc>
          <w:tcPr>
            <w:tcW w:w="1740" w:type="dxa"/>
            <w:vAlign w:val="bottom"/>
            <w:gridSpan w:val="2"/>
          </w:tcPr>
          <w:p>
            <w:pPr>
              <w:jc w:val="right"/>
              <w:ind w:right="392"/>
              <w:spacing w:after="0"/>
              <w:rPr>
                <w:sz w:val="20"/>
                <w:szCs w:val="20"/>
                <w:color w:val="auto"/>
              </w:rPr>
            </w:pPr>
            <w:r>
              <w:rPr>
                <w:rFonts w:ascii="Arial" w:cs="Arial" w:eastAsia="Arial" w:hAnsi="Arial"/>
                <w:sz w:val="18"/>
                <w:szCs w:val="18"/>
                <w:color w:val="auto"/>
              </w:rPr>
              <w:t>$24.22</w:t>
            </w:r>
          </w:p>
        </w:tc>
        <w:tc>
          <w:tcPr>
            <w:tcW w:w="2800" w:type="dxa"/>
            <w:vAlign w:val="bottom"/>
            <w:gridSpan w:val="2"/>
          </w:tcPr>
          <w:p>
            <w:pPr>
              <w:jc w:val="right"/>
              <w:ind w:right="812"/>
              <w:spacing w:after="0"/>
              <w:rPr>
                <w:sz w:val="20"/>
                <w:szCs w:val="20"/>
                <w:color w:val="auto"/>
              </w:rPr>
            </w:pPr>
            <w:r>
              <w:rPr>
                <w:rFonts w:ascii="Arial" w:cs="Arial" w:eastAsia="Arial" w:hAnsi="Arial"/>
                <w:sz w:val="18"/>
                <w:szCs w:val="18"/>
                <w:color w:val="auto"/>
              </w:rPr>
              <w:t>$5,207,300</w:t>
            </w:r>
          </w:p>
        </w:tc>
        <w:tc>
          <w:tcPr>
            <w:tcW w:w="1380" w:type="dxa"/>
            <w:vAlign w:val="bottom"/>
            <w:gridSpan w:val="2"/>
          </w:tcPr>
          <w:p>
            <w:pPr>
              <w:jc w:val="right"/>
              <w:ind w:right="372"/>
              <w:spacing w:after="0"/>
              <w:rPr>
                <w:sz w:val="20"/>
                <w:szCs w:val="20"/>
                <w:color w:val="auto"/>
              </w:rPr>
            </w:pPr>
            <w:r>
              <w:rPr>
                <w:rFonts w:ascii="Arial" w:cs="Arial" w:eastAsia="Arial" w:hAnsi="Arial"/>
                <w:sz w:val="18"/>
                <w:szCs w:val="18"/>
                <w:color w:val="auto"/>
              </w:rPr>
              <w:t>$480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1" w:lineRule="exact"/>
        <w:rPr>
          <w:sz w:val="20"/>
          <w:szCs w:val="20"/>
          <w:color w:val="auto"/>
        </w:rPr>
      </w:pPr>
    </w:p>
    <w:p>
      <w:pPr>
        <w:ind w:left="540" w:right="120" w:hanging="532"/>
        <w:spacing w:after="0" w:line="254"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Pursuant to Rule 416(a) of the Securities Act of 1933 this Registration Statement also covers shares issued pursuant to antidilution provisions set forth in the option agreements.</w:t>
      </w:r>
    </w:p>
    <w:p>
      <w:pPr>
        <w:ind w:left="540" w:right="340" w:hanging="532"/>
        <w:spacing w:after="0" w:line="261"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Estimated pursuant to Rule 457(h) under the Securities Act of 1933 solely for the purpose of calculating the registration fee. The price of the shares is based on the exercise price of the options being registered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127000</wp:posOffset>
            </wp:positionV>
            <wp:extent cx="189547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0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Registration Statement shall become effective upon filing in accordance with Rule 462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120650</wp:posOffset>
            </wp:positionV>
            <wp:extent cx="7250430"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38735"/>
                    </a:xfrm>
                    <a:prstGeom prst="rect">
                      <a:avLst/>
                    </a:prstGeom>
                    <a:noFill/>
                  </pic:spPr>
                </pic:pic>
              </a:graphicData>
            </a:graphic>
          </wp:anchor>
        </w:drawing>
      </w:r>
    </w:p>
    <w:p>
      <w:pPr>
        <w:sectPr>
          <w:pgSz w:w="11900" w:h="16838" w:orient="portrait"/>
          <w:cols w:equalWidth="0" w:num="1">
            <w:col w:w="11420"/>
          </w:cols>
          <w:pgMar w:left="240" w:top="122" w:right="239" w:bottom="458"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50430" cy="190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1905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Plan Information.*</w:t>
        </w:r>
      </w:hyperlink>
    </w:p>
    <w:p>
      <w:pPr>
        <w:ind w:left="320"/>
        <w:spacing w:after="0"/>
        <w:rPr>
          <w:rFonts w:ascii="Arial" w:cs="Arial" w:eastAsia="Arial" w:hAnsi="Arial"/>
          <w:sz w:val="19"/>
          <w:szCs w:val="19"/>
          <w:u w:val="single" w:color="auto"/>
          <w:color w:val="0000EE"/>
        </w:rPr>
      </w:pPr>
      <w:hyperlink w:anchor="page5">
        <w:r>
          <w:rPr>
            <w:rFonts w:ascii="Arial" w:cs="Arial" w:eastAsia="Arial" w:hAnsi="Arial"/>
            <w:sz w:val="19"/>
            <w:szCs w:val="19"/>
            <w:u w:val="single" w:color="auto"/>
            <w:color w:val="0000EE"/>
          </w:rPr>
          <w:t>Item 2. Registrant Information and Employee Plan Annual Information.*</w:t>
        </w:r>
      </w:hyperlink>
    </w:p>
    <w:p>
      <w:pPr>
        <w:spacing w:after="0" w:line="15"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II</w:t>
        </w:r>
      </w:hyperlink>
    </w:p>
    <w:p>
      <w:pPr>
        <w:ind w:left="32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3. Incorporation of Documents by Reference.</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4. Description of Securities.</w:t>
        </w:r>
      </w:hyperlink>
    </w:p>
    <w:p>
      <w:pPr>
        <w:ind w:left="32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5. Interests of Named Experts and Counsel.</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6. Indemnification of Directors and Officers.</w:t>
        </w:r>
      </w:hyperlink>
    </w:p>
    <w:p>
      <w:pPr>
        <w:ind w:left="320"/>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Item 7. Exemption From Registration Claimed.</w:t>
        </w:r>
      </w:hyperlink>
    </w:p>
    <w:p>
      <w:pPr>
        <w:ind w:left="320"/>
        <w:spacing w:after="0" w:line="230"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Item 8. Exhibits.</w:t>
        </w:r>
      </w:hyperlink>
    </w:p>
    <w:p>
      <w:pPr>
        <w:ind w:left="320"/>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Item 9. Undertakings.</w:t>
        </w:r>
      </w:hyperlink>
    </w:p>
    <w:p>
      <w:pPr>
        <w:spacing w:after="0" w:line="231"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SIGNATURES</w:t>
        </w:r>
      </w:hyperlink>
    </w:p>
    <w:p>
      <w:pPr>
        <w:spacing w:after="0" w:line="230" w:lineRule="auto"/>
        <w:rPr>
          <w:rFonts w:ascii="Arial" w:cs="Arial" w:eastAsia="Arial" w:hAnsi="Arial"/>
          <w:sz w:val="22"/>
          <w:szCs w:val="22"/>
          <w:u w:val="single" w:color="auto"/>
          <w:color w:val="0000EE"/>
        </w:rPr>
      </w:pPr>
      <w:hyperlink w:anchor="page10">
        <w:r>
          <w:rPr>
            <w:rFonts w:ascii="Arial" w:cs="Arial" w:eastAsia="Arial" w:hAnsi="Arial"/>
            <w:sz w:val="22"/>
            <w:szCs w:val="22"/>
            <w:u w:val="single" w:color="auto"/>
            <w:color w:val="0000EE"/>
          </w:rPr>
          <w:t>INDEX TO EXHIBITS</w:t>
        </w:r>
      </w:hyperlink>
    </w:p>
    <w:p>
      <w:pPr>
        <w:spacing w:after="0" w:line="231" w:lineRule="auto"/>
        <w:rPr>
          <w:sz w:val="20"/>
          <w:szCs w:val="20"/>
          <w:color w:val="auto"/>
        </w:rPr>
      </w:pPr>
      <w:r>
        <w:rPr>
          <w:rFonts w:ascii="Arial" w:cs="Arial" w:eastAsia="Arial" w:hAnsi="Arial"/>
          <w:sz w:val="22"/>
          <w:szCs w:val="22"/>
          <w:u w:val="single" w:color="auto"/>
          <w:color w:val="0000EE"/>
        </w:rPr>
        <w:t>EXHIBIT 5.1</w:t>
      </w:r>
    </w:p>
    <w:p>
      <w:pPr>
        <w:spacing w:after="0" w:line="230" w:lineRule="auto"/>
        <w:rPr>
          <w:sz w:val="20"/>
          <w:szCs w:val="20"/>
          <w:color w:val="auto"/>
        </w:rPr>
      </w:pPr>
      <w:r>
        <w:rPr>
          <w:rFonts w:ascii="Arial" w:cs="Arial" w:eastAsia="Arial" w:hAnsi="Arial"/>
          <w:sz w:val="22"/>
          <w:szCs w:val="22"/>
          <w:u w:val="single" w:color="auto"/>
          <w:color w:val="0000EE"/>
        </w:rPr>
        <w:t>EXHIBIT 23.1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Marvell Technology Group Ltd., or the Registrant, acquired all of the issued and outstanding capital stock of SysKonnect GmbH, or SysKonnect, pursuant to a Share Purchase Agreement, among the Registrant, SysKonnect and the sole shareholder of SysKonnect. The shares to be registered hereunder are issuable pursuant to options granted by the Registrant to former optionholders of SysKonnect.</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INFORMATION REQUIRED IN THE SECTION 10(a) PROSPECTUS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 Plan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 Registrant Information and Employee Plan Annual Information.*</w:t>
      </w:r>
    </w:p>
    <w:p>
      <w:pPr>
        <w:spacing w:after="0" w:line="231" w:lineRule="exact"/>
        <w:rPr>
          <w:sz w:val="20"/>
          <w:szCs w:val="20"/>
          <w:color w:val="auto"/>
        </w:rPr>
      </w:pPr>
    </w:p>
    <w:p>
      <w:pPr>
        <w:ind w:right="80" w:firstLine="8"/>
        <w:spacing w:after="0" w:line="268" w:lineRule="auto"/>
        <w:tabs>
          <w:tab w:leader="none" w:pos="307" w:val="left"/>
        </w:tabs>
        <w:numPr>
          <w:ilvl w:val="0"/>
          <w:numId w:val="3"/>
        </w:numPr>
        <w:rPr>
          <w:rFonts w:ascii="Arial" w:cs="Arial" w:eastAsia="Arial" w:hAnsi="Arial"/>
          <w:sz w:val="18"/>
          <w:szCs w:val="18"/>
          <w:color w:val="auto"/>
        </w:rPr>
      </w:pPr>
      <w:r>
        <w:rPr>
          <w:rFonts w:ascii="Arial" w:cs="Arial" w:eastAsia="Arial" w:hAnsi="Arial"/>
          <w:sz w:val="18"/>
          <w:szCs w:val="18"/>
          <w:color w:val="auto"/>
        </w:rPr>
        <w:t>Information required by Part I to be contained in the Section 10(a) prospectus is omitted from this Registration Statement in accordance with Rule 428 under the Securities Act of 1933, as amended (the “Securities Act”), and the Note to Part I of Form S-8.</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31" w:lineRule="exact"/>
        <w:rPr>
          <w:sz w:val="20"/>
          <w:szCs w:val="20"/>
          <w:color w:val="auto"/>
        </w:rPr>
      </w:pPr>
    </w:p>
    <w:p>
      <w:pPr>
        <w:ind w:left="3160"/>
        <w:spacing w:after="0"/>
        <w:rPr>
          <w:sz w:val="20"/>
          <w:szCs w:val="20"/>
          <w:color w:val="auto"/>
        </w:rPr>
      </w:pPr>
      <w:r>
        <w:rPr>
          <w:rFonts w:ascii="Arial" w:cs="Arial" w:eastAsia="Arial" w:hAnsi="Arial"/>
          <w:sz w:val="18"/>
          <w:szCs w:val="18"/>
          <w:color w:val="auto"/>
        </w:rPr>
        <w:t>INFORMATION REQUIRED IN THE REGISTRATION STATEMENT</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231" w:lineRule="exact"/>
        <w:rPr>
          <w:sz w:val="20"/>
          <w:szCs w:val="20"/>
          <w:color w:val="auto"/>
        </w:rPr>
      </w:pPr>
    </w:p>
    <w:p>
      <w:pPr>
        <w:ind w:right="460" w:firstLine="216"/>
        <w:spacing w:after="0" w:line="268" w:lineRule="auto"/>
        <w:rPr>
          <w:sz w:val="20"/>
          <w:szCs w:val="20"/>
          <w:color w:val="auto"/>
        </w:rPr>
      </w:pPr>
      <w:r>
        <w:rPr>
          <w:rFonts w:ascii="Arial" w:cs="Arial" w:eastAsia="Arial" w:hAnsi="Arial"/>
          <w:sz w:val="18"/>
          <w:szCs w:val="18"/>
          <w:color w:val="auto"/>
        </w:rPr>
        <w:t>The following documents filed by the Registrant with the Securities and Exchange Commission are hereby incorporated by reference in this Registration Statement:</w:t>
      </w:r>
    </w:p>
    <w:p>
      <w:pPr>
        <w:spacing w:after="0" w:line="186" w:lineRule="exact"/>
        <w:rPr>
          <w:sz w:val="20"/>
          <w:szCs w:val="20"/>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Registrant’s Annual Report on Form 10-K (File No. 0-30877) for the fiscal year ended February 2, 2002;</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Registrant’s Quarterly Report on Form 10-Q for the quarter ended May 4, 2002;</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Registrant’s Current Report on Form 8-K dated May 23, 2002;</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Registrant’s Current Report on Form 8-K dated June 24, 2002; and</w:t>
      </w:r>
    </w:p>
    <w:p>
      <w:pPr>
        <w:spacing w:after="0" w:line="225" w:lineRule="exact"/>
        <w:rPr>
          <w:rFonts w:ascii="Arial" w:cs="Arial" w:eastAsia="Arial" w:hAnsi="Arial"/>
          <w:sz w:val="18"/>
          <w:szCs w:val="18"/>
          <w:color w:val="auto"/>
        </w:rPr>
      </w:pPr>
    </w:p>
    <w:p>
      <w:pPr>
        <w:ind w:left="520" w:hanging="292"/>
        <w:spacing w:after="0"/>
        <w:tabs>
          <w:tab w:leader="none" w:pos="52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description of Registrant’s Common Stock contained in Registrant’s registration statement on Form 8-A, filed June 22, 2000.</w:t>
      </w:r>
    </w:p>
    <w:p>
      <w:pPr>
        <w:spacing w:after="0" w:line="225" w:lineRule="exact"/>
        <w:rPr>
          <w:sz w:val="20"/>
          <w:szCs w:val="20"/>
          <w:color w:val="auto"/>
        </w:rPr>
      </w:pPr>
    </w:p>
    <w:p>
      <w:pPr>
        <w:ind w:firstLine="220"/>
        <w:spacing w:after="0" w:line="256" w:lineRule="auto"/>
        <w:rPr>
          <w:sz w:val="20"/>
          <w:szCs w:val="20"/>
          <w:color w:val="auto"/>
        </w:rPr>
      </w:pPr>
      <w:r>
        <w:rPr>
          <w:rFonts w:ascii="Arial" w:cs="Arial" w:eastAsia="Arial" w:hAnsi="Arial"/>
          <w:sz w:val="18"/>
          <w:szCs w:val="18"/>
          <w:color w:val="auto"/>
        </w:rPr>
        <w:t>In addition, all documents subsequently filed by Registrant pursuant to Sections 13(a), 13(c), 14 and 15(d) of the Securities Exchange Act of 1934, as amended (the “Exchange Act”),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4. Description of Securities.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5. Interests of Named Experts and Counsel.</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6. Indemnification of Directors and Officers.</w:t>
      </w:r>
    </w:p>
    <w:p>
      <w:pPr>
        <w:spacing w:after="0" w:line="231" w:lineRule="exact"/>
        <w:rPr>
          <w:sz w:val="20"/>
          <w:szCs w:val="20"/>
          <w:color w:val="auto"/>
        </w:rPr>
      </w:pPr>
    </w:p>
    <w:p>
      <w:pPr>
        <w:ind w:right="440" w:firstLine="220"/>
        <w:spacing w:after="0" w:line="259"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332" w:lineRule="auto"/>
        <w:rPr>
          <w:sz w:val="20"/>
          <w:szCs w:val="20"/>
          <w:color w:val="auto"/>
        </w:rPr>
      </w:pPr>
      <w:r>
        <w:rPr>
          <w:rFonts w:ascii="Arial" w:cs="Arial" w:eastAsia="Arial" w:hAnsi="Arial"/>
          <w:sz w:val="16"/>
          <w:szCs w:val="16"/>
          <w:color w:val="auto"/>
        </w:rPr>
        <w:t>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139" w:lineRule="exact"/>
        <w:rPr>
          <w:sz w:val="20"/>
          <w:szCs w:val="20"/>
          <w:color w:val="auto"/>
        </w:rPr>
      </w:pPr>
    </w:p>
    <w:p>
      <w:pPr>
        <w:ind w:right="140" w:firstLine="216"/>
        <w:spacing w:after="0" w:line="259" w:lineRule="auto"/>
        <w:rPr>
          <w:sz w:val="20"/>
          <w:szCs w:val="20"/>
          <w:color w:val="auto"/>
        </w:rPr>
      </w:pPr>
      <w:r>
        <w:rPr>
          <w:rFonts w:ascii="Arial" w:cs="Arial" w:eastAsia="Arial" w:hAnsi="Arial"/>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194" w:lineRule="exact"/>
        <w:rPr>
          <w:sz w:val="20"/>
          <w:szCs w:val="20"/>
          <w:color w:val="auto"/>
        </w:rPr>
      </w:pPr>
    </w:p>
    <w:p>
      <w:pPr>
        <w:ind w:right="240" w:firstLine="216"/>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67" w:lineRule="exact"/>
        <w:rPr>
          <w:sz w:val="20"/>
          <w:szCs w:val="20"/>
          <w:color w:val="auto"/>
        </w:rPr>
      </w:pPr>
    </w:p>
    <w:p>
      <w:pPr>
        <w:ind w:right="40" w:firstLine="220"/>
        <w:spacing w:after="0" w:line="298" w:lineRule="auto"/>
        <w:rPr>
          <w:sz w:val="20"/>
          <w:szCs w:val="20"/>
          <w:color w:val="auto"/>
        </w:rPr>
      </w:pPr>
      <w:r>
        <w:rPr>
          <w:rFonts w:ascii="Arial" w:cs="Arial" w:eastAsia="Arial" w:hAnsi="Arial"/>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67" w:lineRule="exact"/>
        <w:rPr>
          <w:sz w:val="20"/>
          <w:szCs w:val="20"/>
          <w:color w:val="auto"/>
        </w:rPr>
      </w:pPr>
    </w:p>
    <w:p>
      <w:pPr>
        <w:jc w:val="both"/>
        <w:ind w:right="120" w:firstLine="216"/>
        <w:spacing w:after="0" w:line="259" w:lineRule="auto"/>
        <w:rPr>
          <w:sz w:val="20"/>
          <w:szCs w:val="20"/>
          <w:color w:val="auto"/>
        </w:rPr>
      </w:pPr>
      <w:r>
        <w:rPr>
          <w:rFonts w:ascii="Arial" w:cs="Arial" w:eastAsia="Arial" w:hAnsi="Arial"/>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 Exemption From Registration Claimed.</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jc w:val="right"/>
              <w:ind w:right="178"/>
              <w:spacing w:after="0"/>
              <w:rPr>
                <w:sz w:val="20"/>
                <w:szCs w:val="20"/>
                <w:color w:val="auto"/>
              </w:rPr>
            </w:pPr>
            <w:r>
              <w:rPr>
                <w:rFonts w:ascii="Arial" w:cs="Arial" w:eastAsia="Arial" w:hAnsi="Arial"/>
                <w:sz w:val="14"/>
                <w:szCs w:val="14"/>
                <w:color w:val="auto"/>
              </w:rPr>
              <w:t>Exhibit</w:t>
            </w:r>
          </w:p>
        </w:tc>
        <w:tc>
          <w:tcPr>
            <w:tcW w:w="580" w:type="dxa"/>
            <w:vAlign w:val="bottom"/>
          </w:tcPr>
          <w:p>
            <w:pPr>
              <w:spacing w:after="0"/>
              <w:rPr>
                <w:sz w:val="14"/>
                <w:szCs w:val="14"/>
                <w:color w:val="auto"/>
              </w:rPr>
            </w:pPr>
          </w:p>
        </w:tc>
        <w:tc>
          <w:tcPr>
            <w:tcW w:w="9920" w:type="dxa"/>
            <w:vAlign w:val="bottom"/>
          </w:tcPr>
          <w:p>
            <w:pPr>
              <w:spacing w:after="0"/>
              <w:rPr>
                <w:sz w:val="14"/>
                <w:szCs w:val="14"/>
                <w:color w:val="auto"/>
              </w:rPr>
            </w:pPr>
          </w:p>
        </w:tc>
      </w:tr>
      <w:tr>
        <w:trPr>
          <w:trHeight w:val="172"/>
        </w:trPr>
        <w:tc>
          <w:tcPr>
            <w:tcW w:w="920" w:type="dxa"/>
            <w:vAlign w:val="bottom"/>
          </w:tcPr>
          <w:p>
            <w:pPr>
              <w:jc w:val="right"/>
              <w:ind w:right="158"/>
              <w:spacing w:after="0"/>
              <w:rPr>
                <w:sz w:val="20"/>
                <w:szCs w:val="20"/>
                <w:color w:val="auto"/>
              </w:rPr>
            </w:pPr>
            <w:r>
              <w:rPr>
                <w:rFonts w:ascii="Arial" w:cs="Arial" w:eastAsia="Arial" w:hAnsi="Arial"/>
                <w:sz w:val="14"/>
                <w:szCs w:val="14"/>
                <w:color w:val="auto"/>
              </w:rPr>
              <w:t>Number</w:t>
            </w:r>
          </w:p>
        </w:tc>
        <w:tc>
          <w:tcPr>
            <w:tcW w:w="580" w:type="dxa"/>
            <w:vAlign w:val="bottom"/>
          </w:tcPr>
          <w:p>
            <w:pPr>
              <w:spacing w:after="0"/>
              <w:rPr>
                <w:sz w:val="14"/>
                <w:szCs w:val="14"/>
                <w:color w:val="auto"/>
              </w:rPr>
            </w:pPr>
          </w:p>
        </w:tc>
        <w:tc>
          <w:tcPr>
            <w:tcW w:w="9920" w:type="dxa"/>
            <w:vAlign w:val="bottom"/>
          </w:tcPr>
          <w:p>
            <w:pPr>
              <w:ind w:left="4760"/>
              <w:spacing w:after="0"/>
              <w:rPr>
                <w:sz w:val="20"/>
                <w:szCs w:val="20"/>
                <w:color w:val="auto"/>
              </w:rPr>
            </w:pPr>
            <w:r>
              <w:rPr>
                <w:rFonts w:ascii="Arial" w:cs="Arial" w:eastAsia="Arial" w:hAnsi="Arial"/>
                <w:sz w:val="14"/>
                <w:szCs w:val="14"/>
                <w:color w:val="auto"/>
              </w:rPr>
              <w:t>Exhibit</w:t>
            </w:r>
          </w:p>
        </w:tc>
      </w:tr>
      <w:tr>
        <w:trPr>
          <w:trHeight w:val="95"/>
        </w:trPr>
        <w:tc>
          <w:tcPr>
            <w:tcW w:w="92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920" w:type="dxa"/>
            <w:vAlign w:val="bottom"/>
            <w:tcBorders>
              <w:bottom w:val="single" w:sz="8" w:color="808080"/>
            </w:tcBorders>
          </w:tcPr>
          <w:p>
            <w:pPr>
              <w:spacing w:after="0"/>
              <w:rPr>
                <w:sz w:val="8"/>
                <w:szCs w:val="8"/>
                <w:color w:val="auto"/>
              </w:rPr>
            </w:pPr>
          </w:p>
        </w:tc>
      </w:tr>
      <w:tr>
        <w:trPr>
          <w:trHeight w:val="309"/>
        </w:trPr>
        <w:tc>
          <w:tcPr>
            <w:tcW w:w="920" w:type="dxa"/>
            <w:vAlign w:val="bottom"/>
          </w:tcPr>
          <w:p>
            <w:pPr>
              <w:jc w:val="right"/>
              <w:ind w:right="518"/>
              <w:spacing w:after="0"/>
              <w:rPr>
                <w:sz w:val="20"/>
                <w:szCs w:val="20"/>
                <w:color w:val="auto"/>
              </w:rPr>
            </w:pPr>
            <w:r>
              <w:rPr>
                <w:rFonts w:ascii="Arial" w:cs="Arial" w:eastAsia="Arial" w:hAnsi="Arial"/>
                <w:sz w:val="18"/>
                <w:szCs w:val="18"/>
                <w:color w:val="auto"/>
              </w:rPr>
              <w:t>5.1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23.1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23.2</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Consent of Appleby Spurling &amp; Kempe (included in Exhibit 5.1)</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24.1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Powers of Attorney (see page 5)</w:t>
            </w:r>
          </w:p>
        </w:tc>
      </w:tr>
      <w:tr>
        <w:trPr>
          <w:trHeight w:val="222"/>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99.1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Marvell Share Sale and Purchase Form Agreement.</w:t>
            </w:r>
          </w:p>
        </w:tc>
      </w:tr>
    </w:tbl>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 Undertakings.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The undersigned Registrant hereby undertakes:</w:t>
      </w:r>
    </w:p>
    <w:p>
      <w:pPr>
        <w:spacing w:after="0" w:line="225" w:lineRule="exact"/>
        <w:rPr>
          <w:sz w:val="20"/>
          <w:szCs w:val="20"/>
          <w:color w:val="auto"/>
        </w:rPr>
      </w:pPr>
    </w:p>
    <w:p>
      <w:pPr>
        <w:ind w:left="5680" w:right="2100" w:hanging="5452"/>
        <w:spacing w:after="0" w:line="519" w:lineRule="auto"/>
        <w:tabs>
          <w:tab w:leader="none" w:pos="53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-15875</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700" w:hanging="202"/>
        <w:spacing w:after="0"/>
        <w:tabs>
          <w:tab w:leader="none" w:pos="7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 of 1933;</w:t>
      </w:r>
    </w:p>
    <w:p>
      <w:pPr>
        <w:spacing w:after="0" w:line="225" w:lineRule="exact"/>
        <w:rPr>
          <w:rFonts w:ascii="Arial" w:cs="Arial" w:eastAsia="Arial" w:hAnsi="Arial"/>
          <w:sz w:val="18"/>
          <w:szCs w:val="18"/>
          <w:color w:val="auto"/>
        </w:rPr>
      </w:pPr>
    </w:p>
    <w:p>
      <w:pPr>
        <w:ind w:left="280" w:right="20" w:firstLine="218"/>
        <w:spacing w:after="0" w:line="332" w:lineRule="auto"/>
        <w:tabs>
          <w:tab w:leader="none" w:pos="755" w:val="left"/>
        </w:tabs>
        <w:numPr>
          <w:ilvl w:val="0"/>
          <w:numId w:val="6"/>
        </w:numPr>
        <w:rPr>
          <w:rFonts w:ascii="Arial" w:cs="Arial" w:eastAsia="Arial" w:hAnsi="Arial"/>
          <w:sz w:val="16"/>
          <w:szCs w:val="16"/>
          <w:color w:val="auto"/>
        </w:rPr>
      </w:pPr>
      <w:r>
        <w:rPr>
          <w:rFonts w:ascii="Arial" w:cs="Arial" w:eastAsia="Arial" w:hAnsi="Arial"/>
          <w:sz w:val="16"/>
          <w:szCs w:val="16"/>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w:t>
      </w:r>
    </w:p>
    <w:p>
      <w:pPr>
        <w:spacing w:after="0" w:line="139" w:lineRule="exact"/>
        <w:rPr>
          <w:rFonts w:ascii="Arial" w:cs="Arial" w:eastAsia="Arial" w:hAnsi="Arial"/>
          <w:sz w:val="16"/>
          <w:szCs w:val="16"/>
          <w:color w:val="auto"/>
        </w:rPr>
      </w:pPr>
    </w:p>
    <w:p>
      <w:pPr>
        <w:ind w:left="280" w:right="500" w:firstLine="218"/>
        <w:spacing w:after="0" w:line="268" w:lineRule="auto"/>
        <w:tabs>
          <w:tab w:leader="none" w:pos="803" w:val="left"/>
        </w:tabs>
        <w:numPr>
          <w:ilvl w:val="0"/>
          <w:numId w:val="6"/>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provided, however, that paragraphs (a)(1)(i) and (a)(1)(ii) do not apply if the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194" w:lineRule="exact"/>
        <w:rPr>
          <w:sz w:val="20"/>
          <w:szCs w:val="20"/>
          <w:color w:val="auto"/>
        </w:rPr>
      </w:pPr>
    </w:p>
    <w:p>
      <w:pPr>
        <w:ind w:right="220" w:firstLine="228"/>
        <w:spacing w:after="0" w:line="370" w:lineRule="auto"/>
        <w:tabs>
          <w:tab w:leader="none" w:pos="512" w:val="left"/>
        </w:tabs>
        <w:numPr>
          <w:ilvl w:val="0"/>
          <w:numId w:val="7"/>
        </w:numPr>
        <w:rPr>
          <w:rFonts w:ascii="Arial" w:cs="Arial" w:eastAsia="Arial" w:hAnsi="Arial"/>
          <w:sz w:val="15"/>
          <w:szCs w:val="15"/>
          <w:color w:val="auto"/>
        </w:rPr>
      </w:pPr>
      <w:r>
        <w:rPr>
          <w:rFonts w:ascii="Arial" w:cs="Arial" w:eastAsia="Arial" w:hAnsi="Arial"/>
          <w:sz w:val="15"/>
          <w:szCs w:val="15"/>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116" w:lineRule="exact"/>
        <w:rPr>
          <w:rFonts w:ascii="Arial" w:cs="Arial" w:eastAsia="Arial" w:hAnsi="Arial"/>
          <w:sz w:val="15"/>
          <w:szCs w:val="15"/>
          <w:color w:val="auto"/>
        </w:rPr>
      </w:pPr>
    </w:p>
    <w:p>
      <w:pPr>
        <w:ind w:right="160" w:firstLine="228"/>
        <w:spacing w:after="0" w:line="268" w:lineRule="auto"/>
        <w:tabs>
          <w:tab w:leader="none" w:pos="512"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86" w:lineRule="exact"/>
        <w:rPr>
          <w:sz w:val="20"/>
          <w:szCs w:val="20"/>
          <w:color w:val="auto"/>
        </w:rPr>
      </w:pPr>
    </w:p>
    <w:p>
      <w:pPr>
        <w:ind w:firstLine="228"/>
        <w:spacing w:after="0" w:line="298" w:lineRule="auto"/>
        <w:tabs>
          <w:tab w:leader="none" w:pos="512"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undersigned registrant hereby undertakes that, for purposes of determining any liability under the Securities Act, each filing of the Registrant’s annual report pursuant to Section 13(a) or Section 15(d) of the Exchange Act (and, where applicable, each filing of an employee benefit plan’s annual report pursuant to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66" w:lineRule="exact"/>
        <w:rPr>
          <w:rFonts w:ascii="Arial" w:cs="Arial" w:eastAsia="Arial" w:hAnsi="Arial"/>
          <w:sz w:val="16"/>
          <w:szCs w:val="16"/>
          <w:color w:val="auto"/>
        </w:rPr>
      </w:pPr>
    </w:p>
    <w:p>
      <w:pPr>
        <w:ind w:right="100" w:firstLine="228"/>
        <w:spacing w:after="0" w:line="290" w:lineRule="auto"/>
        <w:tabs>
          <w:tab w:leader="none" w:pos="502" w:val="left"/>
        </w:tabs>
        <w:numPr>
          <w:ilvl w:val="0"/>
          <w:numId w:val="8"/>
        </w:numPr>
        <w:rPr>
          <w:rFonts w:ascii="Arial" w:cs="Arial" w:eastAsia="Arial" w:hAnsi="Arial"/>
          <w:sz w:val="16"/>
          <w:szCs w:val="16"/>
          <w:color w:val="auto"/>
        </w:rPr>
      </w:pPr>
      <w:r>
        <w:rPr>
          <w:rFonts w:ascii="Arial" w:cs="Arial" w:eastAsia="Arial" w:hAnsi="Arial"/>
          <w:sz w:val="16"/>
          <w:szCs w:val="16"/>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SIGNATURES</w:t>
      </w:r>
    </w:p>
    <w:p>
      <w:pPr>
        <w:spacing w:after="0" w:line="225" w:lineRule="exact"/>
        <w:rPr>
          <w:sz w:val="20"/>
          <w:szCs w:val="20"/>
          <w:color w:val="auto"/>
        </w:rPr>
      </w:pPr>
    </w:p>
    <w:p>
      <w:pPr>
        <w:ind w:right="40" w:firstLine="220"/>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24th day of June, 2002.</w:t>
      </w:r>
    </w:p>
    <w:p>
      <w:pPr>
        <w:spacing w:after="0" w:line="221"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95" w:lineRule="exact"/>
        <w:rPr>
          <w:sz w:val="20"/>
          <w:szCs w:val="20"/>
          <w:color w:val="auto"/>
        </w:rPr>
      </w:pPr>
    </w:p>
    <w:p>
      <w:pPr>
        <w:ind w:left="5620"/>
        <w:spacing w:after="0"/>
        <w:tabs>
          <w:tab w:leader="none" w:pos="80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3735705</wp:posOffset>
            </wp:positionH>
            <wp:positionV relativeFrom="paragraph">
              <wp:posOffset>80010</wp:posOffset>
            </wp:positionV>
            <wp:extent cx="351599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515995" cy="8890"/>
                    </a:xfrm>
                    <a:prstGeom prst="rect">
                      <a:avLst/>
                    </a:prstGeom>
                    <a:noFill/>
                  </pic:spPr>
                </pic:pic>
              </a:graphicData>
            </a:graphic>
          </wp:anchor>
        </w:drawing>
      </w:r>
    </w:p>
    <w:p>
      <w:pPr>
        <w:spacing w:after="0" w:line="219" w:lineRule="exact"/>
        <w:rPr>
          <w:sz w:val="20"/>
          <w:szCs w:val="20"/>
          <w:color w:val="auto"/>
        </w:rPr>
      </w:pPr>
    </w:p>
    <w:p>
      <w:pPr>
        <w:jc w:val="center"/>
        <w:ind w:left="588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jc w:val="center"/>
        <w:ind w:left="588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ind w:right="480" w:firstLine="220"/>
        <w:spacing w:after="0" w:line="268" w:lineRule="auto"/>
        <w:rPr>
          <w:sz w:val="20"/>
          <w:szCs w:val="20"/>
          <w:color w:val="auto"/>
        </w:rPr>
      </w:pPr>
      <w:r>
        <w:rPr>
          <w:rFonts w:ascii="Arial" w:cs="Arial" w:eastAsia="Arial" w:hAnsi="Arial"/>
          <w:sz w:val="18"/>
          <w:szCs w:val="18"/>
          <w:color w:val="auto"/>
        </w:rPr>
        <w:t>Pursuant to the requirements of the Securities Act of 1933, the undersigned, the duly authorized representative of the Registrant in the United States, has signed this Registration Statement in the City of Sunnyvale, State of California, on the 24th day of June, 2002.</w:t>
      </w:r>
    </w:p>
    <w:p>
      <w:pPr>
        <w:spacing w:after="0" w:line="200" w:lineRule="exact"/>
        <w:rPr>
          <w:sz w:val="20"/>
          <w:szCs w:val="20"/>
          <w:color w:val="auto"/>
        </w:rPr>
      </w:pPr>
    </w:p>
    <w:p>
      <w:pPr>
        <w:spacing w:after="0" w:line="229" w:lineRule="exact"/>
        <w:rPr>
          <w:sz w:val="20"/>
          <w:szCs w:val="20"/>
          <w:color w:val="auto"/>
        </w:rPr>
      </w:pPr>
    </w:p>
    <w:p>
      <w:pPr>
        <w:jc w:val="center"/>
        <w:ind w:left="5840"/>
        <w:spacing w:after="0"/>
        <w:rPr>
          <w:sz w:val="20"/>
          <w:szCs w:val="20"/>
          <w:color w:val="auto"/>
        </w:rPr>
      </w:pP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3701415</wp:posOffset>
            </wp:positionH>
            <wp:positionV relativeFrom="paragraph">
              <wp:posOffset>80010</wp:posOffset>
            </wp:positionV>
            <wp:extent cx="355028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3550285" cy="8890"/>
                    </a:xfrm>
                    <a:prstGeom prst="rect">
                      <a:avLst/>
                    </a:prstGeom>
                    <a:noFill/>
                  </pic:spPr>
                </pic:pic>
              </a:graphicData>
            </a:graphic>
          </wp:anchor>
        </w:drawing>
      </w:r>
    </w:p>
    <w:p>
      <w:pPr>
        <w:spacing w:after="0" w:line="219" w:lineRule="exact"/>
        <w:rPr>
          <w:sz w:val="20"/>
          <w:szCs w:val="20"/>
          <w:color w:val="auto"/>
        </w:rPr>
      </w:pPr>
    </w:p>
    <w:p>
      <w:pPr>
        <w:jc w:val="center"/>
        <w:ind w:left="5840"/>
        <w:spacing w:after="0"/>
        <w:rPr>
          <w:sz w:val="20"/>
          <w:szCs w:val="20"/>
          <w:color w:val="auto"/>
        </w:rPr>
      </w:pPr>
      <w:r>
        <w:rPr>
          <w:rFonts w:ascii="Arial" w:cs="Arial" w:eastAsia="Arial" w:hAnsi="Arial"/>
          <w:sz w:val="18"/>
          <w:szCs w:val="18"/>
          <w:color w:val="auto"/>
        </w:rPr>
        <w:t>Sehat Sutardja</w:t>
      </w:r>
    </w:p>
    <w:p>
      <w:pPr>
        <w:spacing w:after="0" w:line="15" w:lineRule="exact"/>
        <w:rPr>
          <w:sz w:val="20"/>
          <w:szCs w:val="20"/>
          <w:color w:val="auto"/>
        </w:rPr>
      </w:pPr>
    </w:p>
    <w:p>
      <w:pPr>
        <w:jc w:val="center"/>
        <w:ind w:left="5840"/>
        <w:spacing w:after="0"/>
        <w:rPr>
          <w:sz w:val="20"/>
          <w:szCs w:val="20"/>
          <w:color w:val="auto"/>
        </w:rPr>
      </w:pPr>
      <w:r>
        <w:rPr>
          <w:rFonts w:ascii="Arial" w:cs="Arial" w:eastAsia="Arial" w:hAnsi="Arial"/>
          <w:sz w:val="18"/>
          <w:szCs w:val="18"/>
          <w:color w:val="auto"/>
        </w:rPr>
        <w:t>President and Chief Executive Officer</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KNOW ALL MEN BY THESE PRESENTS, that each person whose signature appears below constitutes and appoints Sehat Sutardja and George Hervey, and each of them, his true and lawful attorneys-in-fact and agents, each with full power of substitution and resubstitution, for him and in his name, place and stead, in any and all capacities, to sign any and all amendments, to this Registration Statement,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each of said attorneys-in-fact and agents, or his substitute or substitutes may lawfully do or cause to be done by virtue hereof.</w:t>
      </w:r>
    </w:p>
    <w:p>
      <w:pPr>
        <w:spacing w:after="0" w:line="174" w:lineRule="exact"/>
        <w:rPr>
          <w:sz w:val="20"/>
          <w:szCs w:val="20"/>
          <w:color w:val="auto"/>
        </w:rPr>
      </w:pPr>
    </w:p>
    <w:p>
      <w:pPr>
        <w:ind w:right="20" w:firstLine="220"/>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below by the following persons in the capacities and on the dates indicated.</w:t>
      </w:r>
    </w:p>
    <w:p>
      <w:pPr>
        <w:spacing w:after="0" w:line="209" w:lineRule="exact"/>
        <w:rPr>
          <w:sz w:val="20"/>
          <w:szCs w:val="20"/>
          <w:color w:val="auto"/>
        </w:rPr>
      </w:pPr>
    </w:p>
    <w:p>
      <w:pPr>
        <w:ind w:left="1500"/>
        <w:spacing w:after="0"/>
        <w:tabs>
          <w:tab w:leader="none" w:pos="6300" w:val="left"/>
          <w:tab w:leader="none" w:pos="10360" w:val="left"/>
        </w:tabs>
        <w:rPr>
          <w:sz w:val="20"/>
          <w:szCs w:val="20"/>
          <w:color w:val="auto"/>
        </w:rPr>
      </w:pPr>
      <w:r>
        <w:rPr>
          <w:rFonts w:ascii="Arial" w:cs="Arial" w:eastAsia="Arial" w:hAnsi="Arial"/>
          <w:sz w:val="14"/>
          <w:szCs w:val="14"/>
          <w:b w:val="1"/>
          <w:bCs w:val="1"/>
          <w:color w:val="auto"/>
        </w:rPr>
        <w:t>Name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340" w:type="dxa"/>
            <w:vAlign w:val="bottom"/>
          </w:tcPr>
          <w:p>
            <w:pPr>
              <w:jc w:val="center"/>
              <w:spacing w:after="0"/>
              <w:rPr>
                <w:sz w:val="20"/>
                <w:szCs w:val="20"/>
                <w:color w:val="auto"/>
              </w:rPr>
            </w:pPr>
            <w:r>
              <w:rPr>
                <w:rFonts w:ascii="Arial" w:cs="Arial" w:eastAsia="Arial" w:hAnsi="Arial"/>
                <w:sz w:val="18"/>
                <w:szCs w:val="18"/>
                <w:color w:val="auto"/>
                <w:w w:val="88"/>
              </w:rPr>
              <w:t>/s/ Sehat Sutardja</w:t>
            </w:r>
          </w:p>
        </w:tc>
        <w:tc>
          <w:tcPr>
            <w:tcW w:w="5340" w:type="dxa"/>
            <w:vAlign w:val="bottom"/>
          </w:tcPr>
          <w:p>
            <w:pPr>
              <w:jc w:val="center"/>
              <w:ind w:left="832"/>
              <w:spacing w:after="0"/>
              <w:rPr>
                <w:sz w:val="20"/>
                <w:szCs w:val="20"/>
                <w:color w:val="auto"/>
              </w:rPr>
            </w:pPr>
            <w:r>
              <w:rPr>
                <w:rFonts w:ascii="Arial" w:cs="Arial" w:eastAsia="Arial" w:hAnsi="Arial"/>
                <w:sz w:val="18"/>
                <w:szCs w:val="18"/>
                <w:color w:val="auto"/>
                <w:w w:val="88"/>
              </w:rPr>
              <w:t>Co-Chairman of the Board, President</w:t>
            </w:r>
          </w:p>
        </w:tc>
        <w:tc>
          <w:tcPr>
            <w:tcW w:w="1900" w:type="dxa"/>
            <w:vAlign w:val="bottom"/>
          </w:tcPr>
          <w:p>
            <w:pPr>
              <w:ind w:left="920"/>
              <w:spacing w:after="0"/>
              <w:rPr>
                <w:sz w:val="20"/>
                <w:szCs w:val="20"/>
                <w:color w:val="auto"/>
              </w:rPr>
            </w:pPr>
            <w:r>
              <w:rPr>
                <w:rFonts w:ascii="Arial" w:cs="Arial" w:eastAsia="Arial" w:hAnsi="Arial"/>
                <w:sz w:val="18"/>
                <w:szCs w:val="18"/>
                <w:color w:val="auto"/>
                <w:w w:val="84"/>
              </w:rPr>
              <w:t>June 24, 2002</w:t>
            </w:r>
          </w:p>
        </w:tc>
        <w:tc>
          <w:tcPr>
            <w:tcW w:w="0" w:type="dxa"/>
            <w:vAlign w:val="bottom"/>
          </w:tcPr>
          <w:p>
            <w:pPr>
              <w:spacing w:after="0"/>
              <w:rPr>
                <w:sz w:val="1"/>
                <w:szCs w:val="1"/>
                <w:color w:val="auto"/>
              </w:rPr>
            </w:pPr>
          </w:p>
        </w:tc>
      </w:tr>
      <w:tr>
        <w:trPr>
          <w:trHeight w:val="116"/>
        </w:trPr>
        <w:tc>
          <w:tcPr>
            <w:tcW w:w="3340" w:type="dxa"/>
            <w:vAlign w:val="bottom"/>
            <w:tcBorders>
              <w:bottom w:val="single" w:sz="8" w:color="808080"/>
            </w:tcBorders>
          </w:tcPr>
          <w:p>
            <w:pPr>
              <w:spacing w:after="0"/>
              <w:rPr>
                <w:sz w:val="10"/>
                <w:szCs w:val="10"/>
                <w:color w:val="auto"/>
              </w:rPr>
            </w:pPr>
          </w:p>
        </w:tc>
        <w:tc>
          <w:tcPr>
            <w:tcW w:w="5340" w:type="dxa"/>
            <w:vAlign w:val="bottom"/>
            <w:vMerge w:val="restart"/>
          </w:tcPr>
          <w:p>
            <w:pPr>
              <w:jc w:val="center"/>
              <w:ind w:left="832"/>
              <w:spacing w:after="0"/>
              <w:rPr>
                <w:sz w:val="20"/>
                <w:szCs w:val="20"/>
                <w:color w:val="auto"/>
              </w:rPr>
            </w:pPr>
            <w:r>
              <w:rPr>
                <w:rFonts w:ascii="Arial" w:cs="Arial" w:eastAsia="Arial" w:hAnsi="Arial"/>
                <w:sz w:val="18"/>
                <w:szCs w:val="18"/>
                <w:color w:val="auto"/>
                <w:w w:val="90"/>
              </w:rPr>
              <w:t>and Chief Executive Officer</w:t>
            </w:r>
          </w:p>
        </w:tc>
        <w:tc>
          <w:tcPr>
            <w:tcW w:w="19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0"/>
        </w:trPr>
        <w:tc>
          <w:tcPr>
            <w:tcW w:w="3340" w:type="dxa"/>
            <w:vAlign w:val="bottom"/>
          </w:tcPr>
          <w:p>
            <w:pPr>
              <w:spacing w:after="0"/>
              <w:rPr>
                <w:sz w:val="6"/>
                <w:szCs w:val="6"/>
                <w:color w:val="auto"/>
              </w:rPr>
            </w:pPr>
          </w:p>
        </w:tc>
        <w:tc>
          <w:tcPr>
            <w:tcW w:w="5340" w:type="dxa"/>
            <w:vAlign w:val="bottom"/>
            <w:vMerge w:val="continue"/>
          </w:tcPr>
          <w:p>
            <w:pPr>
              <w:spacing w:after="0"/>
              <w:rPr>
                <w:sz w:val="6"/>
                <w:szCs w:val="6"/>
                <w:color w:val="auto"/>
              </w:rPr>
            </w:pPr>
          </w:p>
        </w:tc>
        <w:tc>
          <w:tcPr>
            <w:tcW w:w="19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6"/>
        </w:trPr>
        <w:tc>
          <w:tcPr>
            <w:tcW w:w="3340" w:type="dxa"/>
            <w:vAlign w:val="bottom"/>
          </w:tcPr>
          <w:p>
            <w:pPr>
              <w:jc w:val="center"/>
              <w:spacing w:after="0"/>
              <w:rPr>
                <w:sz w:val="20"/>
                <w:szCs w:val="20"/>
                <w:color w:val="auto"/>
              </w:rPr>
            </w:pPr>
            <w:r>
              <w:rPr>
                <w:rFonts w:ascii="Arial" w:cs="Arial" w:eastAsia="Arial" w:hAnsi="Arial"/>
                <w:sz w:val="18"/>
                <w:szCs w:val="18"/>
                <w:color w:val="auto"/>
                <w:w w:val="85"/>
              </w:rPr>
              <w:t>Sehat Sutardja</w:t>
            </w:r>
          </w:p>
        </w:tc>
        <w:tc>
          <w:tcPr>
            <w:tcW w:w="5340" w:type="dxa"/>
            <w:vAlign w:val="bottom"/>
          </w:tcPr>
          <w:p>
            <w:pPr>
              <w:jc w:val="center"/>
              <w:ind w:left="812"/>
              <w:spacing w:after="0"/>
              <w:rPr>
                <w:sz w:val="20"/>
                <w:szCs w:val="20"/>
                <w:color w:val="auto"/>
              </w:rPr>
            </w:pPr>
            <w:r>
              <w:rPr>
                <w:rFonts w:ascii="Arial" w:cs="Arial" w:eastAsia="Arial" w:hAnsi="Arial"/>
                <w:sz w:val="18"/>
                <w:szCs w:val="18"/>
                <w:color w:val="auto"/>
                <w:w w:val="91"/>
              </w:rPr>
              <w:t>(Principal Executive Officer)</w:t>
            </w:r>
          </w:p>
        </w:tc>
        <w:tc>
          <w:tcPr>
            <w:tcW w:w="19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26"/>
        </w:trPr>
        <w:tc>
          <w:tcPr>
            <w:tcW w:w="334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5340" w:type="dxa"/>
            <w:vAlign w:val="bottom"/>
          </w:tcPr>
          <w:p>
            <w:pPr>
              <w:jc w:val="center"/>
              <w:ind w:left="832"/>
              <w:spacing w:after="0"/>
              <w:rPr>
                <w:sz w:val="20"/>
                <w:szCs w:val="20"/>
                <w:color w:val="auto"/>
              </w:rPr>
            </w:pPr>
            <w:r>
              <w:rPr>
                <w:rFonts w:ascii="Arial" w:cs="Arial" w:eastAsia="Arial" w:hAnsi="Arial"/>
                <w:sz w:val="18"/>
                <w:szCs w:val="18"/>
                <w:color w:val="auto"/>
                <w:w w:val="88"/>
              </w:rPr>
              <w:t>Vice President of Finance and Chief</w:t>
            </w:r>
          </w:p>
        </w:tc>
        <w:tc>
          <w:tcPr>
            <w:tcW w:w="1900" w:type="dxa"/>
            <w:vAlign w:val="bottom"/>
          </w:tcPr>
          <w:p>
            <w:pPr>
              <w:ind w:left="920"/>
              <w:spacing w:after="0"/>
              <w:rPr>
                <w:sz w:val="20"/>
                <w:szCs w:val="20"/>
                <w:color w:val="auto"/>
              </w:rPr>
            </w:pPr>
            <w:r>
              <w:rPr>
                <w:rFonts w:ascii="Arial" w:cs="Arial" w:eastAsia="Arial" w:hAnsi="Arial"/>
                <w:sz w:val="18"/>
                <w:szCs w:val="18"/>
                <w:color w:val="auto"/>
                <w:w w:val="84"/>
              </w:rPr>
              <w:t>June 24, 2002</w:t>
            </w:r>
          </w:p>
        </w:tc>
        <w:tc>
          <w:tcPr>
            <w:tcW w:w="0" w:type="dxa"/>
            <w:vAlign w:val="bottom"/>
          </w:tcPr>
          <w:p>
            <w:pPr>
              <w:spacing w:after="0"/>
              <w:rPr>
                <w:sz w:val="1"/>
                <w:szCs w:val="1"/>
                <w:color w:val="auto"/>
              </w:rPr>
            </w:pPr>
          </w:p>
        </w:tc>
      </w:tr>
      <w:tr>
        <w:trPr>
          <w:trHeight w:val="116"/>
        </w:trPr>
        <w:tc>
          <w:tcPr>
            <w:tcW w:w="3340" w:type="dxa"/>
            <w:vAlign w:val="bottom"/>
            <w:tcBorders>
              <w:bottom w:val="single" w:sz="8" w:color="808080"/>
            </w:tcBorders>
          </w:tcPr>
          <w:p>
            <w:pPr>
              <w:spacing w:after="0"/>
              <w:rPr>
                <w:sz w:val="10"/>
                <w:szCs w:val="10"/>
                <w:color w:val="auto"/>
              </w:rPr>
            </w:pPr>
          </w:p>
        </w:tc>
        <w:tc>
          <w:tcPr>
            <w:tcW w:w="5340" w:type="dxa"/>
            <w:vAlign w:val="bottom"/>
            <w:vMerge w:val="restart"/>
          </w:tcPr>
          <w:p>
            <w:pPr>
              <w:jc w:val="center"/>
              <w:ind w:left="832"/>
              <w:spacing w:after="0"/>
              <w:rPr>
                <w:sz w:val="20"/>
                <w:szCs w:val="20"/>
                <w:color w:val="auto"/>
              </w:rPr>
            </w:pPr>
            <w:r>
              <w:rPr>
                <w:rFonts w:ascii="Arial" w:cs="Arial" w:eastAsia="Arial" w:hAnsi="Arial"/>
                <w:sz w:val="18"/>
                <w:szCs w:val="18"/>
                <w:color w:val="auto"/>
                <w:w w:val="92"/>
              </w:rPr>
              <w:t>Financial Officer (Principal</w:t>
            </w:r>
          </w:p>
        </w:tc>
        <w:tc>
          <w:tcPr>
            <w:tcW w:w="19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0"/>
        </w:trPr>
        <w:tc>
          <w:tcPr>
            <w:tcW w:w="3340" w:type="dxa"/>
            <w:vAlign w:val="bottom"/>
          </w:tcPr>
          <w:p>
            <w:pPr>
              <w:spacing w:after="0"/>
              <w:rPr>
                <w:sz w:val="6"/>
                <w:szCs w:val="6"/>
                <w:color w:val="auto"/>
              </w:rPr>
            </w:pPr>
          </w:p>
        </w:tc>
        <w:tc>
          <w:tcPr>
            <w:tcW w:w="5340" w:type="dxa"/>
            <w:vAlign w:val="bottom"/>
            <w:vMerge w:val="continue"/>
          </w:tcPr>
          <w:p>
            <w:pPr>
              <w:spacing w:after="0"/>
              <w:rPr>
                <w:sz w:val="6"/>
                <w:szCs w:val="6"/>
                <w:color w:val="auto"/>
              </w:rPr>
            </w:pPr>
          </w:p>
        </w:tc>
        <w:tc>
          <w:tcPr>
            <w:tcW w:w="19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6"/>
        </w:trPr>
        <w:tc>
          <w:tcPr>
            <w:tcW w:w="3340" w:type="dxa"/>
            <w:vAlign w:val="bottom"/>
          </w:tcPr>
          <w:p>
            <w:pPr>
              <w:jc w:val="center"/>
              <w:spacing w:after="0"/>
              <w:rPr>
                <w:sz w:val="20"/>
                <w:szCs w:val="20"/>
                <w:color w:val="auto"/>
              </w:rPr>
            </w:pPr>
            <w:r>
              <w:rPr>
                <w:rFonts w:ascii="Arial" w:cs="Arial" w:eastAsia="Arial" w:hAnsi="Arial"/>
                <w:sz w:val="18"/>
                <w:szCs w:val="18"/>
                <w:color w:val="auto"/>
                <w:w w:val="86"/>
              </w:rPr>
              <w:t>George Hervey</w:t>
            </w:r>
          </w:p>
        </w:tc>
        <w:tc>
          <w:tcPr>
            <w:tcW w:w="5340" w:type="dxa"/>
            <w:vAlign w:val="bottom"/>
          </w:tcPr>
          <w:p>
            <w:pPr>
              <w:jc w:val="center"/>
              <w:ind w:left="832"/>
              <w:spacing w:after="0"/>
              <w:rPr>
                <w:sz w:val="20"/>
                <w:szCs w:val="20"/>
                <w:color w:val="auto"/>
              </w:rPr>
            </w:pPr>
            <w:r>
              <w:rPr>
                <w:rFonts w:ascii="Arial" w:cs="Arial" w:eastAsia="Arial" w:hAnsi="Arial"/>
                <w:sz w:val="18"/>
                <w:szCs w:val="18"/>
                <w:color w:val="auto"/>
                <w:w w:val="91"/>
              </w:rPr>
              <w:t>Financial and Accounting Officer)</w:t>
            </w:r>
          </w:p>
        </w:tc>
        <w:tc>
          <w:tcPr>
            <w:tcW w:w="19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87"/>
              </w:rPr>
              <w:t>/s/ Diosdado P. Banatao</w:t>
            </w:r>
          </w:p>
        </w:tc>
        <w:tc>
          <w:tcPr>
            <w:tcW w:w="5340" w:type="dxa"/>
            <w:vAlign w:val="bottom"/>
          </w:tcPr>
          <w:p>
            <w:pPr>
              <w:jc w:val="center"/>
              <w:ind w:left="812"/>
              <w:spacing w:after="0"/>
              <w:rPr>
                <w:sz w:val="20"/>
                <w:szCs w:val="20"/>
                <w:color w:val="auto"/>
              </w:rPr>
            </w:pPr>
            <w:r>
              <w:rPr>
                <w:rFonts w:ascii="Arial" w:cs="Arial" w:eastAsia="Arial" w:hAnsi="Arial"/>
                <w:sz w:val="18"/>
                <w:szCs w:val="18"/>
                <w:color w:val="auto"/>
                <w:w w:val="89"/>
              </w:rPr>
              <w:t>Co-Chairman of the Board</w:t>
            </w:r>
          </w:p>
        </w:tc>
        <w:tc>
          <w:tcPr>
            <w:tcW w:w="1900" w:type="dxa"/>
            <w:vAlign w:val="bottom"/>
          </w:tcPr>
          <w:p>
            <w:pPr>
              <w:ind w:left="920"/>
              <w:spacing w:after="0"/>
              <w:rPr>
                <w:sz w:val="20"/>
                <w:szCs w:val="20"/>
                <w:color w:val="auto"/>
              </w:rPr>
            </w:pPr>
            <w:r>
              <w:rPr>
                <w:rFonts w:ascii="Arial" w:cs="Arial" w:eastAsia="Arial" w:hAnsi="Arial"/>
                <w:sz w:val="18"/>
                <w:szCs w:val="18"/>
                <w:color w:val="auto"/>
                <w:w w:val="84"/>
              </w:rPr>
              <w:t>June 24, 2002</w:t>
            </w:r>
          </w:p>
        </w:tc>
        <w:tc>
          <w:tcPr>
            <w:tcW w:w="0" w:type="dxa"/>
            <w:vAlign w:val="bottom"/>
          </w:tcPr>
          <w:p>
            <w:pPr>
              <w:spacing w:after="0"/>
              <w:rPr>
                <w:sz w:val="1"/>
                <w:szCs w:val="1"/>
                <w:color w:val="auto"/>
              </w:rPr>
            </w:pPr>
          </w:p>
        </w:tc>
      </w:tr>
      <w:tr>
        <w:trPr>
          <w:trHeight w:val="110"/>
        </w:trPr>
        <w:tc>
          <w:tcPr>
            <w:tcW w:w="3340" w:type="dxa"/>
            <w:vAlign w:val="bottom"/>
            <w:tcBorders>
              <w:bottom w:val="single" w:sz="8" w:color="808080"/>
            </w:tcBorders>
          </w:tcPr>
          <w:p>
            <w:pPr>
              <w:spacing w:after="0"/>
              <w:rPr>
                <w:sz w:val="9"/>
                <w:szCs w:val="9"/>
                <w:color w:val="auto"/>
              </w:rPr>
            </w:pPr>
          </w:p>
        </w:tc>
        <w:tc>
          <w:tcPr>
            <w:tcW w:w="53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534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95"/>
              </w:rPr>
              <w:t>/s/ Manuel Alba</w:t>
            </w:r>
          </w:p>
        </w:tc>
        <w:tc>
          <w:tcPr>
            <w:tcW w:w="5340" w:type="dxa"/>
            <w:vAlign w:val="bottom"/>
          </w:tcPr>
          <w:p>
            <w:pPr>
              <w:jc w:val="center"/>
              <w:ind w:left="832"/>
              <w:spacing w:after="0"/>
              <w:rPr>
                <w:sz w:val="20"/>
                <w:szCs w:val="20"/>
                <w:color w:val="auto"/>
              </w:rPr>
            </w:pPr>
            <w:r>
              <w:rPr>
                <w:rFonts w:ascii="Arial" w:cs="Arial" w:eastAsia="Arial" w:hAnsi="Arial"/>
                <w:sz w:val="18"/>
                <w:szCs w:val="18"/>
                <w:color w:val="auto"/>
                <w:w w:val="91"/>
              </w:rPr>
              <w:t>Director</w:t>
            </w:r>
          </w:p>
        </w:tc>
        <w:tc>
          <w:tcPr>
            <w:tcW w:w="1900" w:type="dxa"/>
            <w:vAlign w:val="bottom"/>
          </w:tcPr>
          <w:p>
            <w:pPr>
              <w:ind w:left="920"/>
              <w:spacing w:after="0"/>
              <w:rPr>
                <w:sz w:val="20"/>
                <w:szCs w:val="20"/>
                <w:color w:val="auto"/>
              </w:rPr>
            </w:pPr>
            <w:r>
              <w:rPr>
                <w:rFonts w:ascii="Arial" w:cs="Arial" w:eastAsia="Arial" w:hAnsi="Arial"/>
                <w:sz w:val="18"/>
                <w:szCs w:val="18"/>
                <w:color w:val="auto"/>
                <w:w w:val="84"/>
              </w:rPr>
              <w:t>June 24, 2002</w:t>
            </w:r>
          </w:p>
        </w:tc>
        <w:tc>
          <w:tcPr>
            <w:tcW w:w="0" w:type="dxa"/>
            <w:vAlign w:val="bottom"/>
          </w:tcPr>
          <w:p>
            <w:pPr>
              <w:spacing w:after="0"/>
              <w:rPr>
                <w:sz w:val="1"/>
                <w:szCs w:val="1"/>
                <w:color w:val="auto"/>
              </w:rPr>
            </w:pPr>
          </w:p>
        </w:tc>
      </w:tr>
      <w:tr>
        <w:trPr>
          <w:trHeight w:val="110"/>
        </w:trPr>
        <w:tc>
          <w:tcPr>
            <w:tcW w:w="3340" w:type="dxa"/>
            <w:vAlign w:val="bottom"/>
            <w:tcBorders>
              <w:bottom w:val="single" w:sz="8" w:color="808080"/>
            </w:tcBorders>
          </w:tcPr>
          <w:p>
            <w:pPr>
              <w:spacing w:after="0"/>
              <w:rPr>
                <w:sz w:val="9"/>
                <w:szCs w:val="9"/>
                <w:color w:val="auto"/>
              </w:rPr>
            </w:pPr>
          </w:p>
        </w:tc>
        <w:tc>
          <w:tcPr>
            <w:tcW w:w="53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93"/>
              </w:rPr>
              <w:t>Manuel Alba</w:t>
            </w:r>
          </w:p>
        </w:tc>
        <w:tc>
          <w:tcPr>
            <w:tcW w:w="534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5340" w:type="dxa"/>
            <w:vAlign w:val="bottom"/>
          </w:tcPr>
          <w:p>
            <w:pPr>
              <w:jc w:val="center"/>
              <w:ind w:left="832"/>
              <w:spacing w:after="0"/>
              <w:rPr>
                <w:sz w:val="20"/>
                <w:szCs w:val="20"/>
                <w:color w:val="auto"/>
              </w:rPr>
            </w:pPr>
            <w:r>
              <w:rPr>
                <w:rFonts w:ascii="Arial" w:cs="Arial" w:eastAsia="Arial" w:hAnsi="Arial"/>
                <w:sz w:val="18"/>
                <w:szCs w:val="18"/>
                <w:color w:val="auto"/>
                <w:w w:val="91"/>
              </w:rPr>
              <w:t>Director</w:t>
            </w:r>
          </w:p>
        </w:tc>
        <w:tc>
          <w:tcPr>
            <w:tcW w:w="1900" w:type="dxa"/>
            <w:vAlign w:val="bottom"/>
          </w:tcPr>
          <w:p>
            <w:pPr>
              <w:ind w:left="920"/>
              <w:spacing w:after="0"/>
              <w:rPr>
                <w:sz w:val="20"/>
                <w:szCs w:val="20"/>
                <w:color w:val="auto"/>
              </w:rPr>
            </w:pPr>
            <w:r>
              <w:rPr>
                <w:rFonts w:ascii="Arial" w:cs="Arial" w:eastAsia="Arial" w:hAnsi="Arial"/>
                <w:sz w:val="18"/>
                <w:szCs w:val="18"/>
                <w:color w:val="auto"/>
                <w:w w:val="84"/>
              </w:rPr>
              <w:t>June 24, 2002</w:t>
            </w:r>
          </w:p>
        </w:tc>
        <w:tc>
          <w:tcPr>
            <w:tcW w:w="0" w:type="dxa"/>
            <w:vAlign w:val="bottom"/>
          </w:tcPr>
          <w:p>
            <w:pPr>
              <w:spacing w:after="0"/>
              <w:rPr>
                <w:sz w:val="1"/>
                <w:szCs w:val="1"/>
                <w:color w:val="auto"/>
              </w:rPr>
            </w:pPr>
          </w:p>
        </w:tc>
      </w:tr>
      <w:tr>
        <w:trPr>
          <w:trHeight w:val="110"/>
        </w:trPr>
        <w:tc>
          <w:tcPr>
            <w:tcW w:w="3340" w:type="dxa"/>
            <w:vAlign w:val="bottom"/>
            <w:tcBorders>
              <w:bottom w:val="single" w:sz="8" w:color="808080"/>
            </w:tcBorders>
          </w:tcPr>
          <w:p>
            <w:pPr>
              <w:spacing w:after="0"/>
              <w:rPr>
                <w:sz w:val="9"/>
                <w:szCs w:val="9"/>
                <w:color w:val="auto"/>
              </w:rPr>
            </w:pPr>
          </w:p>
        </w:tc>
        <w:tc>
          <w:tcPr>
            <w:tcW w:w="5340" w:type="dxa"/>
            <w:vAlign w:val="bottom"/>
          </w:tcPr>
          <w:p>
            <w:pPr>
              <w:spacing w:after="0"/>
              <w:rPr>
                <w:sz w:val="9"/>
                <w:szCs w:val="9"/>
                <w:color w:val="auto"/>
              </w:rPr>
            </w:pPr>
          </w:p>
        </w:tc>
        <w:tc>
          <w:tcPr>
            <w:tcW w:w="19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92"/>
              </w:rPr>
              <w:t>Weili Dai</w:t>
            </w:r>
          </w:p>
        </w:tc>
        <w:tc>
          <w:tcPr>
            <w:tcW w:w="534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419" w:right="239" w:bottom="1440" w:gutter="0" w:footer="0" w:header="0"/>
        </w:sectPr>
      </w:pPr>
    </w:p>
    <w:p>
      <w:pPr>
        <w:spacing w:after="0" w:line="10"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8" w:name="page9"/>
    <w:bookmarkEnd w:id="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ind w:left="1500"/>
        <w:spacing w:after="0"/>
        <w:tabs>
          <w:tab w:leader="none" w:pos="6300" w:val="left"/>
          <w:tab w:leader="none" w:pos="10360" w:val="left"/>
        </w:tabs>
        <w:rPr>
          <w:sz w:val="20"/>
          <w:szCs w:val="20"/>
          <w:color w:val="auto"/>
        </w:rPr>
      </w:pPr>
      <w:r>
        <w:rPr>
          <w:rFonts w:ascii="Arial" w:cs="Arial" w:eastAsia="Arial" w:hAnsi="Arial"/>
          <w:sz w:val="14"/>
          <w:szCs w:val="14"/>
          <w:b w:val="1"/>
          <w:bCs w:val="1"/>
          <w:color w:val="auto"/>
        </w:rPr>
        <w:t>Name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91"/>
              </w:rPr>
              <w:t>/s/ Herbert Chang</w:t>
            </w:r>
          </w:p>
        </w:tc>
        <w:tc>
          <w:tcPr>
            <w:tcW w:w="4840" w:type="dxa"/>
            <w:vAlign w:val="bottom"/>
          </w:tcPr>
          <w:p>
            <w:pPr>
              <w:ind w:left="2840"/>
              <w:spacing w:after="0"/>
              <w:rPr>
                <w:sz w:val="20"/>
                <w:szCs w:val="20"/>
                <w:color w:val="auto"/>
              </w:rPr>
            </w:pPr>
            <w:r>
              <w:rPr>
                <w:rFonts w:ascii="Arial" w:cs="Arial" w:eastAsia="Arial" w:hAnsi="Arial"/>
                <w:sz w:val="18"/>
                <w:szCs w:val="18"/>
                <w:color w:val="auto"/>
              </w:rPr>
              <w:t>Director</w:t>
            </w:r>
          </w:p>
        </w:tc>
        <w:tc>
          <w:tcPr>
            <w:tcW w:w="3240" w:type="dxa"/>
            <w:vAlign w:val="bottom"/>
          </w:tcPr>
          <w:p>
            <w:pPr>
              <w:ind w:left="1420"/>
              <w:spacing w:after="0"/>
              <w:rPr>
                <w:sz w:val="20"/>
                <w:szCs w:val="20"/>
                <w:color w:val="auto"/>
              </w:rPr>
            </w:pPr>
            <w:r>
              <w:rPr>
                <w:rFonts w:ascii="Arial" w:cs="Arial" w:eastAsia="Arial" w:hAnsi="Arial"/>
                <w:sz w:val="18"/>
                <w:szCs w:val="18"/>
                <w:color w:val="auto"/>
              </w:rPr>
              <w:t>June 24, 2002</w:t>
            </w:r>
          </w:p>
        </w:tc>
      </w:tr>
      <w:tr>
        <w:trPr>
          <w:trHeight w:val="110"/>
        </w:trPr>
        <w:tc>
          <w:tcPr>
            <w:tcW w:w="3340" w:type="dxa"/>
            <w:vAlign w:val="bottom"/>
            <w:tcBorders>
              <w:bottom w:val="single" w:sz="8" w:color="808080"/>
            </w:tcBorders>
          </w:tcPr>
          <w:p>
            <w:pPr>
              <w:spacing w:after="0"/>
              <w:rPr>
                <w:sz w:val="9"/>
                <w:szCs w:val="9"/>
                <w:color w:val="auto"/>
              </w:rPr>
            </w:pPr>
          </w:p>
        </w:tc>
        <w:tc>
          <w:tcPr>
            <w:tcW w:w="4840" w:type="dxa"/>
            <w:vAlign w:val="bottom"/>
          </w:tcPr>
          <w:p>
            <w:pPr>
              <w:spacing w:after="0"/>
              <w:rPr>
                <w:sz w:val="9"/>
                <w:szCs w:val="9"/>
                <w:color w:val="auto"/>
              </w:rPr>
            </w:pPr>
          </w:p>
        </w:tc>
        <w:tc>
          <w:tcPr>
            <w:tcW w:w="3240" w:type="dxa"/>
            <w:vAlign w:val="bottom"/>
          </w:tcPr>
          <w:p>
            <w:pPr>
              <w:spacing w:after="0"/>
              <w:rPr>
                <w:sz w:val="9"/>
                <w:szCs w:val="9"/>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6"/>
              </w:rPr>
              <w:t>Herbert Chang</w:t>
            </w:r>
          </w:p>
        </w:tc>
        <w:tc>
          <w:tcPr>
            <w:tcW w:w="484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96"/>
              </w:rPr>
              <w:t>/s/ John M. Cioffi</w:t>
            </w:r>
          </w:p>
        </w:tc>
        <w:tc>
          <w:tcPr>
            <w:tcW w:w="4840" w:type="dxa"/>
            <w:vAlign w:val="bottom"/>
          </w:tcPr>
          <w:p>
            <w:pPr>
              <w:ind w:left="2840"/>
              <w:spacing w:after="0"/>
              <w:rPr>
                <w:sz w:val="20"/>
                <w:szCs w:val="20"/>
                <w:color w:val="auto"/>
              </w:rPr>
            </w:pPr>
            <w:r>
              <w:rPr>
                <w:rFonts w:ascii="Arial" w:cs="Arial" w:eastAsia="Arial" w:hAnsi="Arial"/>
                <w:sz w:val="18"/>
                <w:szCs w:val="18"/>
                <w:color w:val="auto"/>
              </w:rPr>
              <w:t>Director</w:t>
            </w:r>
          </w:p>
        </w:tc>
        <w:tc>
          <w:tcPr>
            <w:tcW w:w="3240" w:type="dxa"/>
            <w:vAlign w:val="bottom"/>
          </w:tcPr>
          <w:p>
            <w:pPr>
              <w:ind w:left="1420"/>
              <w:spacing w:after="0"/>
              <w:rPr>
                <w:sz w:val="20"/>
                <w:szCs w:val="20"/>
                <w:color w:val="auto"/>
              </w:rPr>
            </w:pPr>
            <w:r>
              <w:rPr>
                <w:rFonts w:ascii="Arial" w:cs="Arial" w:eastAsia="Arial" w:hAnsi="Arial"/>
                <w:sz w:val="18"/>
                <w:szCs w:val="18"/>
                <w:color w:val="auto"/>
              </w:rPr>
              <w:t>June 24, 2002</w:t>
            </w:r>
          </w:p>
        </w:tc>
      </w:tr>
      <w:tr>
        <w:trPr>
          <w:trHeight w:val="110"/>
        </w:trPr>
        <w:tc>
          <w:tcPr>
            <w:tcW w:w="3340" w:type="dxa"/>
            <w:vAlign w:val="bottom"/>
            <w:tcBorders>
              <w:bottom w:val="single" w:sz="8" w:color="808080"/>
            </w:tcBorders>
          </w:tcPr>
          <w:p>
            <w:pPr>
              <w:spacing w:after="0"/>
              <w:rPr>
                <w:sz w:val="9"/>
                <w:szCs w:val="9"/>
                <w:color w:val="auto"/>
              </w:rPr>
            </w:pPr>
          </w:p>
        </w:tc>
        <w:tc>
          <w:tcPr>
            <w:tcW w:w="4840" w:type="dxa"/>
            <w:vAlign w:val="bottom"/>
          </w:tcPr>
          <w:p>
            <w:pPr>
              <w:spacing w:after="0"/>
              <w:rPr>
                <w:sz w:val="9"/>
                <w:szCs w:val="9"/>
                <w:color w:val="auto"/>
              </w:rPr>
            </w:pPr>
          </w:p>
        </w:tc>
        <w:tc>
          <w:tcPr>
            <w:tcW w:w="3240" w:type="dxa"/>
            <w:vAlign w:val="bottom"/>
          </w:tcPr>
          <w:p>
            <w:pPr>
              <w:spacing w:after="0"/>
              <w:rPr>
                <w:sz w:val="9"/>
                <w:szCs w:val="9"/>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92"/>
              </w:rPr>
              <w:t>John M. Cioffi</w:t>
            </w:r>
          </w:p>
        </w:tc>
        <w:tc>
          <w:tcPr>
            <w:tcW w:w="484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92"/>
              </w:rPr>
              <w:t>/s/ Paul R. Gray</w:t>
            </w:r>
          </w:p>
        </w:tc>
        <w:tc>
          <w:tcPr>
            <w:tcW w:w="4840" w:type="dxa"/>
            <w:vAlign w:val="bottom"/>
          </w:tcPr>
          <w:p>
            <w:pPr>
              <w:ind w:left="2840"/>
              <w:spacing w:after="0"/>
              <w:rPr>
                <w:sz w:val="20"/>
                <w:szCs w:val="20"/>
                <w:color w:val="auto"/>
              </w:rPr>
            </w:pPr>
            <w:r>
              <w:rPr>
                <w:rFonts w:ascii="Arial" w:cs="Arial" w:eastAsia="Arial" w:hAnsi="Arial"/>
                <w:sz w:val="18"/>
                <w:szCs w:val="18"/>
                <w:color w:val="auto"/>
              </w:rPr>
              <w:t>Director</w:t>
            </w:r>
          </w:p>
        </w:tc>
        <w:tc>
          <w:tcPr>
            <w:tcW w:w="3240" w:type="dxa"/>
            <w:vAlign w:val="bottom"/>
          </w:tcPr>
          <w:p>
            <w:pPr>
              <w:ind w:left="1420"/>
              <w:spacing w:after="0"/>
              <w:rPr>
                <w:sz w:val="20"/>
                <w:szCs w:val="20"/>
                <w:color w:val="auto"/>
              </w:rPr>
            </w:pPr>
            <w:r>
              <w:rPr>
                <w:rFonts w:ascii="Arial" w:cs="Arial" w:eastAsia="Arial" w:hAnsi="Arial"/>
                <w:sz w:val="18"/>
                <w:szCs w:val="18"/>
                <w:color w:val="auto"/>
              </w:rPr>
              <w:t>June 24, 2002</w:t>
            </w:r>
          </w:p>
        </w:tc>
      </w:tr>
      <w:tr>
        <w:trPr>
          <w:trHeight w:val="110"/>
        </w:trPr>
        <w:tc>
          <w:tcPr>
            <w:tcW w:w="3340" w:type="dxa"/>
            <w:vAlign w:val="bottom"/>
            <w:tcBorders>
              <w:bottom w:val="single" w:sz="8" w:color="808080"/>
            </w:tcBorders>
          </w:tcPr>
          <w:p>
            <w:pPr>
              <w:spacing w:after="0"/>
              <w:rPr>
                <w:sz w:val="9"/>
                <w:szCs w:val="9"/>
                <w:color w:val="auto"/>
              </w:rPr>
            </w:pPr>
          </w:p>
        </w:tc>
        <w:tc>
          <w:tcPr>
            <w:tcW w:w="4840" w:type="dxa"/>
            <w:vAlign w:val="bottom"/>
          </w:tcPr>
          <w:p>
            <w:pPr>
              <w:spacing w:after="0"/>
              <w:rPr>
                <w:sz w:val="9"/>
                <w:szCs w:val="9"/>
                <w:color w:val="auto"/>
              </w:rPr>
            </w:pPr>
          </w:p>
        </w:tc>
        <w:tc>
          <w:tcPr>
            <w:tcW w:w="3240" w:type="dxa"/>
            <w:vAlign w:val="bottom"/>
          </w:tcPr>
          <w:p>
            <w:pPr>
              <w:spacing w:after="0"/>
              <w:rPr>
                <w:sz w:val="9"/>
                <w:szCs w:val="9"/>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7"/>
              </w:rPr>
              <w:t>Paul R. Gray</w:t>
            </w:r>
          </w:p>
        </w:tc>
        <w:tc>
          <w:tcPr>
            <w:tcW w:w="484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88"/>
              </w:rPr>
              <w:t>/s/ Pantas Sutardja</w:t>
            </w:r>
          </w:p>
        </w:tc>
        <w:tc>
          <w:tcPr>
            <w:tcW w:w="4840" w:type="dxa"/>
            <w:vAlign w:val="bottom"/>
          </w:tcPr>
          <w:p>
            <w:pPr>
              <w:ind w:left="2840"/>
              <w:spacing w:after="0"/>
              <w:rPr>
                <w:sz w:val="20"/>
                <w:szCs w:val="20"/>
                <w:color w:val="auto"/>
              </w:rPr>
            </w:pPr>
            <w:r>
              <w:rPr>
                <w:rFonts w:ascii="Arial" w:cs="Arial" w:eastAsia="Arial" w:hAnsi="Arial"/>
                <w:sz w:val="18"/>
                <w:szCs w:val="18"/>
                <w:color w:val="auto"/>
              </w:rPr>
              <w:t>Director</w:t>
            </w:r>
          </w:p>
        </w:tc>
        <w:tc>
          <w:tcPr>
            <w:tcW w:w="3240" w:type="dxa"/>
            <w:vAlign w:val="bottom"/>
          </w:tcPr>
          <w:p>
            <w:pPr>
              <w:ind w:left="1420"/>
              <w:spacing w:after="0"/>
              <w:rPr>
                <w:sz w:val="20"/>
                <w:szCs w:val="20"/>
                <w:color w:val="auto"/>
              </w:rPr>
            </w:pPr>
            <w:r>
              <w:rPr>
                <w:rFonts w:ascii="Arial" w:cs="Arial" w:eastAsia="Arial" w:hAnsi="Arial"/>
                <w:sz w:val="18"/>
                <w:szCs w:val="18"/>
                <w:color w:val="auto"/>
              </w:rPr>
              <w:t>June 24, 2002</w:t>
            </w:r>
          </w:p>
        </w:tc>
      </w:tr>
      <w:tr>
        <w:trPr>
          <w:trHeight w:val="110"/>
        </w:trPr>
        <w:tc>
          <w:tcPr>
            <w:tcW w:w="3340" w:type="dxa"/>
            <w:vAlign w:val="bottom"/>
            <w:tcBorders>
              <w:bottom w:val="single" w:sz="8" w:color="808080"/>
            </w:tcBorders>
          </w:tcPr>
          <w:p>
            <w:pPr>
              <w:spacing w:after="0"/>
              <w:rPr>
                <w:sz w:val="9"/>
                <w:szCs w:val="9"/>
                <w:color w:val="auto"/>
              </w:rPr>
            </w:pPr>
          </w:p>
        </w:tc>
        <w:tc>
          <w:tcPr>
            <w:tcW w:w="4840" w:type="dxa"/>
            <w:vAlign w:val="bottom"/>
          </w:tcPr>
          <w:p>
            <w:pPr>
              <w:spacing w:after="0"/>
              <w:rPr>
                <w:sz w:val="9"/>
                <w:szCs w:val="9"/>
                <w:color w:val="auto"/>
              </w:rPr>
            </w:pPr>
          </w:p>
        </w:tc>
        <w:tc>
          <w:tcPr>
            <w:tcW w:w="3240" w:type="dxa"/>
            <w:vAlign w:val="bottom"/>
          </w:tcPr>
          <w:p>
            <w:pPr>
              <w:spacing w:after="0"/>
              <w:rPr>
                <w:sz w:val="9"/>
                <w:szCs w:val="9"/>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5"/>
              </w:rPr>
              <w:t>Pantas Sutardja</w:t>
            </w:r>
          </w:p>
        </w:tc>
        <w:tc>
          <w:tcPr>
            <w:tcW w:w="484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432"/>
        </w:trPr>
        <w:tc>
          <w:tcPr>
            <w:tcW w:w="3340" w:type="dxa"/>
            <w:vAlign w:val="bottom"/>
          </w:tcPr>
          <w:p>
            <w:pPr>
              <w:jc w:val="center"/>
              <w:spacing w:after="0"/>
              <w:rPr>
                <w:sz w:val="20"/>
                <w:szCs w:val="20"/>
                <w:color w:val="auto"/>
              </w:rPr>
            </w:pPr>
            <w:r>
              <w:rPr>
                <w:rFonts w:ascii="Arial" w:cs="Arial" w:eastAsia="Arial" w:hAnsi="Arial"/>
                <w:sz w:val="18"/>
                <w:szCs w:val="18"/>
                <w:color w:val="auto"/>
                <w:w w:val="90"/>
              </w:rPr>
              <w:t>/s/ Ronald D. Verdoorn</w:t>
            </w:r>
          </w:p>
        </w:tc>
        <w:tc>
          <w:tcPr>
            <w:tcW w:w="4840" w:type="dxa"/>
            <w:vAlign w:val="bottom"/>
          </w:tcPr>
          <w:p>
            <w:pPr>
              <w:ind w:left="2840"/>
              <w:spacing w:after="0"/>
              <w:rPr>
                <w:sz w:val="20"/>
                <w:szCs w:val="20"/>
                <w:color w:val="auto"/>
              </w:rPr>
            </w:pPr>
            <w:r>
              <w:rPr>
                <w:rFonts w:ascii="Arial" w:cs="Arial" w:eastAsia="Arial" w:hAnsi="Arial"/>
                <w:sz w:val="18"/>
                <w:szCs w:val="18"/>
                <w:color w:val="auto"/>
              </w:rPr>
              <w:t>Director</w:t>
            </w:r>
          </w:p>
        </w:tc>
        <w:tc>
          <w:tcPr>
            <w:tcW w:w="3240" w:type="dxa"/>
            <w:vAlign w:val="bottom"/>
          </w:tcPr>
          <w:p>
            <w:pPr>
              <w:ind w:left="1420"/>
              <w:spacing w:after="0"/>
              <w:rPr>
                <w:sz w:val="20"/>
                <w:szCs w:val="20"/>
                <w:color w:val="auto"/>
              </w:rPr>
            </w:pPr>
            <w:r>
              <w:rPr>
                <w:rFonts w:ascii="Arial" w:cs="Arial" w:eastAsia="Arial" w:hAnsi="Arial"/>
                <w:sz w:val="18"/>
                <w:szCs w:val="18"/>
                <w:color w:val="auto"/>
              </w:rPr>
              <w:t>June 24, 2002</w:t>
            </w:r>
          </w:p>
        </w:tc>
      </w:tr>
      <w:tr>
        <w:trPr>
          <w:trHeight w:val="110"/>
        </w:trPr>
        <w:tc>
          <w:tcPr>
            <w:tcW w:w="3340" w:type="dxa"/>
            <w:vAlign w:val="bottom"/>
            <w:tcBorders>
              <w:bottom w:val="single" w:sz="8" w:color="808080"/>
            </w:tcBorders>
          </w:tcPr>
          <w:p>
            <w:pPr>
              <w:spacing w:after="0"/>
              <w:rPr>
                <w:sz w:val="9"/>
                <w:szCs w:val="9"/>
                <w:color w:val="auto"/>
              </w:rPr>
            </w:pPr>
          </w:p>
        </w:tc>
        <w:tc>
          <w:tcPr>
            <w:tcW w:w="4840" w:type="dxa"/>
            <w:vAlign w:val="bottom"/>
          </w:tcPr>
          <w:p>
            <w:pPr>
              <w:spacing w:after="0"/>
              <w:rPr>
                <w:sz w:val="9"/>
                <w:szCs w:val="9"/>
                <w:color w:val="auto"/>
              </w:rPr>
            </w:pPr>
          </w:p>
        </w:tc>
        <w:tc>
          <w:tcPr>
            <w:tcW w:w="3240" w:type="dxa"/>
            <w:vAlign w:val="bottom"/>
          </w:tcPr>
          <w:p>
            <w:pPr>
              <w:spacing w:after="0"/>
              <w:rPr>
                <w:sz w:val="9"/>
                <w:szCs w:val="9"/>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Ronald D. Verdoorn</w:t>
            </w:r>
          </w:p>
        </w:tc>
        <w:tc>
          <w:tcPr>
            <w:tcW w:w="484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432"/>
        </w:trPr>
        <w:tc>
          <w:tcPr>
            <w:tcW w:w="3340" w:type="dxa"/>
            <w:vAlign w:val="bottom"/>
          </w:tcPr>
          <w:p>
            <w:pPr>
              <w:spacing w:after="0"/>
              <w:rPr>
                <w:sz w:val="24"/>
                <w:szCs w:val="24"/>
                <w:color w:val="auto"/>
              </w:rPr>
            </w:pPr>
          </w:p>
        </w:tc>
        <w:tc>
          <w:tcPr>
            <w:tcW w:w="4840" w:type="dxa"/>
            <w:vAlign w:val="bottom"/>
          </w:tcPr>
          <w:p>
            <w:pPr>
              <w:ind w:left="2340"/>
              <w:spacing w:after="0"/>
              <w:rPr>
                <w:sz w:val="20"/>
                <w:szCs w:val="20"/>
                <w:color w:val="auto"/>
              </w:rPr>
            </w:pPr>
            <w:r>
              <w:rPr>
                <w:rFonts w:ascii="Arial" w:cs="Arial" w:eastAsia="Arial" w:hAnsi="Arial"/>
                <w:sz w:val="18"/>
                <w:szCs w:val="18"/>
                <w:color w:val="auto"/>
              </w:rPr>
              <w:t>6</w:t>
            </w:r>
          </w:p>
        </w:tc>
        <w:tc>
          <w:tcPr>
            <w:tcW w:w="3240" w:type="dxa"/>
            <w:vAlign w:val="bottom"/>
          </w:tcPr>
          <w:p>
            <w:pPr>
              <w:spacing w:after="0"/>
              <w:rPr>
                <w:sz w:val="24"/>
                <w:szCs w:val="24"/>
                <w:color w:val="auto"/>
              </w:rPr>
            </w:pPr>
          </w:p>
        </w:tc>
      </w:tr>
      <w:tr>
        <w:trPr>
          <w:trHeight w:val="228"/>
        </w:trPr>
        <w:tc>
          <w:tcPr>
            <w:tcW w:w="3340" w:type="dxa"/>
            <w:vAlign w:val="bottom"/>
            <w:tcBorders>
              <w:bottom w:val="single" w:sz="8" w:color="808080"/>
            </w:tcBorders>
          </w:tcPr>
          <w:p>
            <w:pPr>
              <w:spacing w:after="0"/>
              <w:rPr>
                <w:sz w:val="19"/>
                <w:szCs w:val="19"/>
                <w:color w:val="auto"/>
              </w:rPr>
            </w:pPr>
          </w:p>
        </w:tc>
        <w:tc>
          <w:tcPr>
            <w:tcW w:w="4840" w:type="dxa"/>
            <w:vAlign w:val="bottom"/>
            <w:tcBorders>
              <w:bottom w:val="single" w:sz="8" w:color="808080"/>
            </w:tcBorders>
          </w:tcPr>
          <w:p>
            <w:pPr>
              <w:spacing w:after="0"/>
              <w:rPr>
                <w:sz w:val="19"/>
                <w:szCs w:val="19"/>
                <w:color w:val="auto"/>
              </w:rPr>
            </w:pPr>
          </w:p>
        </w:tc>
        <w:tc>
          <w:tcPr>
            <w:tcW w:w="32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9920" w:type="dxa"/>
            <w:vAlign w:val="bottom"/>
          </w:tcPr>
          <w:p>
            <w:pPr>
              <w:ind w:left="3340"/>
              <w:spacing w:after="0"/>
              <w:rPr>
                <w:sz w:val="20"/>
                <w:szCs w:val="20"/>
                <w:color w:val="auto"/>
              </w:rPr>
            </w:pPr>
            <w:r>
              <w:rPr>
                <w:rFonts w:ascii="Arial" w:cs="Arial" w:eastAsia="Arial" w:hAnsi="Arial"/>
                <w:sz w:val="18"/>
                <w:szCs w:val="18"/>
                <w:b w:val="1"/>
                <w:bCs w:val="1"/>
                <w:color w:val="auto"/>
              </w:rPr>
              <w:t>INDEX TO EXHIBITS</w:t>
            </w:r>
          </w:p>
        </w:tc>
      </w:tr>
      <w:tr>
        <w:trPr>
          <w:trHeight w:val="383"/>
        </w:trPr>
        <w:tc>
          <w:tcPr>
            <w:tcW w:w="920" w:type="dxa"/>
            <w:vAlign w:val="bottom"/>
          </w:tcPr>
          <w:p>
            <w:pPr>
              <w:jc w:val="right"/>
              <w:ind w:right="178"/>
              <w:spacing w:after="0"/>
              <w:rPr>
                <w:sz w:val="20"/>
                <w:szCs w:val="20"/>
                <w:color w:val="auto"/>
              </w:rPr>
            </w:pPr>
            <w:r>
              <w:rPr>
                <w:rFonts w:ascii="Arial" w:cs="Arial" w:eastAsia="Arial" w:hAnsi="Arial"/>
                <w:sz w:val="14"/>
                <w:szCs w:val="14"/>
                <w:color w:val="auto"/>
              </w:rPr>
              <w:t>Exhibit</w:t>
            </w:r>
          </w:p>
        </w:tc>
        <w:tc>
          <w:tcPr>
            <w:tcW w:w="580" w:type="dxa"/>
            <w:vAlign w:val="bottom"/>
          </w:tcPr>
          <w:p>
            <w:pPr>
              <w:spacing w:after="0"/>
              <w:rPr>
                <w:sz w:val="24"/>
                <w:szCs w:val="24"/>
                <w:color w:val="auto"/>
              </w:rPr>
            </w:pPr>
          </w:p>
        </w:tc>
        <w:tc>
          <w:tcPr>
            <w:tcW w:w="9920" w:type="dxa"/>
            <w:vAlign w:val="bottom"/>
          </w:tcPr>
          <w:p>
            <w:pPr>
              <w:spacing w:after="0"/>
              <w:rPr>
                <w:sz w:val="24"/>
                <w:szCs w:val="24"/>
                <w:color w:val="auto"/>
              </w:rPr>
            </w:pPr>
          </w:p>
        </w:tc>
      </w:tr>
      <w:tr>
        <w:trPr>
          <w:trHeight w:val="172"/>
        </w:trPr>
        <w:tc>
          <w:tcPr>
            <w:tcW w:w="920" w:type="dxa"/>
            <w:vAlign w:val="bottom"/>
          </w:tcPr>
          <w:p>
            <w:pPr>
              <w:jc w:val="right"/>
              <w:ind w:right="158"/>
              <w:spacing w:after="0"/>
              <w:rPr>
                <w:sz w:val="20"/>
                <w:szCs w:val="20"/>
                <w:color w:val="auto"/>
              </w:rPr>
            </w:pPr>
            <w:r>
              <w:rPr>
                <w:rFonts w:ascii="Arial" w:cs="Arial" w:eastAsia="Arial" w:hAnsi="Arial"/>
                <w:sz w:val="14"/>
                <w:szCs w:val="14"/>
                <w:color w:val="auto"/>
              </w:rPr>
              <w:t>Number</w:t>
            </w:r>
          </w:p>
        </w:tc>
        <w:tc>
          <w:tcPr>
            <w:tcW w:w="580" w:type="dxa"/>
            <w:vAlign w:val="bottom"/>
          </w:tcPr>
          <w:p>
            <w:pPr>
              <w:spacing w:after="0"/>
              <w:rPr>
                <w:sz w:val="14"/>
                <w:szCs w:val="14"/>
                <w:color w:val="auto"/>
              </w:rPr>
            </w:pPr>
          </w:p>
        </w:tc>
        <w:tc>
          <w:tcPr>
            <w:tcW w:w="9920" w:type="dxa"/>
            <w:vAlign w:val="bottom"/>
          </w:tcPr>
          <w:p>
            <w:pPr>
              <w:ind w:left="4760"/>
              <w:spacing w:after="0"/>
              <w:rPr>
                <w:sz w:val="20"/>
                <w:szCs w:val="20"/>
                <w:color w:val="auto"/>
              </w:rPr>
            </w:pPr>
            <w:r>
              <w:rPr>
                <w:rFonts w:ascii="Arial" w:cs="Arial" w:eastAsia="Arial" w:hAnsi="Arial"/>
                <w:sz w:val="14"/>
                <w:szCs w:val="14"/>
                <w:color w:val="auto"/>
              </w:rPr>
              <w:t>Exhibit</w:t>
            </w:r>
          </w:p>
        </w:tc>
      </w:tr>
      <w:tr>
        <w:trPr>
          <w:trHeight w:val="95"/>
        </w:trPr>
        <w:tc>
          <w:tcPr>
            <w:tcW w:w="920" w:type="dxa"/>
            <w:vAlign w:val="bottom"/>
            <w:tcBorders>
              <w:bottom w:val="single" w:sz="8" w:color="808080"/>
            </w:tcBorders>
          </w:tcPr>
          <w:p>
            <w:pPr>
              <w:spacing w:after="0"/>
              <w:rPr>
                <w:sz w:val="8"/>
                <w:szCs w:val="8"/>
                <w:color w:val="auto"/>
              </w:rPr>
            </w:pPr>
          </w:p>
        </w:tc>
        <w:tc>
          <w:tcPr>
            <w:tcW w:w="580" w:type="dxa"/>
            <w:vAlign w:val="bottom"/>
          </w:tcPr>
          <w:p>
            <w:pPr>
              <w:spacing w:after="0"/>
              <w:rPr>
                <w:sz w:val="8"/>
                <w:szCs w:val="8"/>
                <w:color w:val="auto"/>
              </w:rPr>
            </w:pPr>
          </w:p>
        </w:tc>
        <w:tc>
          <w:tcPr>
            <w:tcW w:w="9920" w:type="dxa"/>
            <w:vAlign w:val="bottom"/>
            <w:tcBorders>
              <w:bottom w:val="single" w:sz="8" w:color="808080"/>
            </w:tcBorders>
          </w:tcPr>
          <w:p>
            <w:pPr>
              <w:spacing w:after="0"/>
              <w:rPr>
                <w:sz w:val="8"/>
                <w:szCs w:val="8"/>
                <w:color w:val="auto"/>
              </w:rPr>
            </w:pPr>
          </w:p>
        </w:tc>
      </w:tr>
      <w:tr>
        <w:trPr>
          <w:trHeight w:val="309"/>
        </w:trPr>
        <w:tc>
          <w:tcPr>
            <w:tcW w:w="920" w:type="dxa"/>
            <w:vAlign w:val="bottom"/>
          </w:tcPr>
          <w:p>
            <w:pPr>
              <w:jc w:val="right"/>
              <w:ind w:right="518"/>
              <w:spacing w:after="0"/>
              <w:rPr>
                <w:sz w:val="20"/>
                <w:szCs w:val="20"/>
                <w:color w:val="auto"/>
              </w:rPr>
            </w:pPr>
            <w:r>
              <w:rPr>
                <w:rFonts w:ascii="Arial" w:cs="Arial" w:eastAsia="Arial" w:hAnsi="Arial"/>
                <w:sz w:val="18"/>
                <w:szCs w:val="18"/>
                <w:color w:val="auto"/>
              </w:rPr>
              <w:t>5.1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23.1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23.2</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Consent of Appleby Spurling &amp; Kempe (included in Exhibit 5.1)</w:t>
            </w:r>
          </w:p>
        </w:tc>
      </w:tr>
      <w:tr>
        <w:trPr>
          <w:trHeight w:val="216"/>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24.1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Powers of Attorney (see page 5)</w:t>
            </w:r>
          </w:p>
        </w:tc>
      </w:tr>
      <w:tr>
        <w:trPr>
          <w:trHeight w:val="222"/>
        </w:trPr>
        <w:tc>
          <w:tcPr>
            <w:tcW w:w="920" w:type="dxa"/>
            <w:vAlign w:val="bottom"/>
          </w:tcPr>
          <w:p>
            <w:pPr>
              <w:jc w:val="right"/>
              <w:ind w:right="518"/>
              <w:spacing w:after="0"/>
              <w:rPr>
                <w:sz w:val="20"/>
                <w:szCs w:val="20"/>
                <w:color w:val="auto"/>
              </w:rPr>
            </w:pPr>
            <w:r>
              <w:rPr>
                <w:rFonts w:ascii="Arial" w:cs="Arial" w:eastAsia="Arial" w:hAnsi="Arial"/>
                <w:sz w:val="18"/>
                <w:szCs w:val="18"/>
                <w:color w:val="auto"/>
                <w:w w:val="85"/>
              </w:rPr>
              <w:t>99.1</w:t>
            </w:r>
          </w:p>
        </w:tc>
        <w:tc>
          <w:tcPr>
            <w:tcW w:w="10500" w:type="dxa"/>
            <w:vAlign w:val="bottom"/>
            <w:gridSpan w:val="2"/>
          </w:tcPr>
          <w:p>
            <w:pPr>
              <w:ind w:left="580"/>
              <w:spacing w:after="0"/>
              <w:rPr>
                <w:sz w:val="20"/>
                <w:szCs w:val="20"/>
                <w:color w:val="auto"/>
              </w:rPr>
            </w:pPr>
            <w:r>
              <w:rPr>
                <w:rFonts w:ascii="Arial" w:cs="Arial" w:eastAsia="Arial" w:hAnsi="Arial"/>
                <w:sz w:val="18"/>
                <w:szCs w:val="18"/>
                <w:color w:val="auto"/>
              </w:rPr>
              <w:t>Marvell Share Sale and Purchase Form Agreement.</w:t>
            </w:r>
          </w:p>
        </w:tc>
      </w:tr>
      <w:tr>
        <w:trPr>
          <w:trHeight w:val="432"/>
        </w:trPr>
        <w:tc>
          <w:tcPr>
            <w:tcW w:w="920" w:type="dxa"/>
            <w:vAlign w:val="bottom"/>
          </w:tcPr>
          <w:p>
            <w:pPr>
              <w:spacing w:after="0"/>
              <w:rPr>
                <w:sz w:val="24"/>
                <w:szCs w:val="24"/>
                <w:color w:val="auto"/>
              </w:rPr>
            </w:pPr>
          </w:p>
        </w:tc>
        <w:tc>
          <w:tcPr>
            <w:tcW w:w="10500" w:type="dxa"/>
            <w:vAlign w:val="bottom"/>
            <w:gridSpan w:val="2"/>
          </w:tcPr>
          <w:p>
            <w:pPr>
              <w:ind w:left="4760"/>
              <w:spacing w:after="0"/>
              <w:rPr>
                <w:sz w:val="20"/>
                <w:szCs w:val="20"/>
                <w:color w:val="auto"/>
              </w:rPr>
            </w:pPr>
            <w:r>
              <w:rPr>
                <w:rFonts w:ascii="Arial" w:cs="Arial" w:eastAsia="Arial" w:hAnsi="Arial"/>
                <w:sz w:val="18"/>
                <w:szCs w:val="18"/>
                <w:color w:val="auto"/>
              </w:rPr>
              <w:t>7</w:t>
            </w:r>
          </w:p>
        </w:tc>
      </w:tr>
    </w:tbl>
    <w:p>
      <w:pPr>
        <w:sectPr>
          <w:pgSz w:w="11900" w:h="16838" w:orient="portrait"/>
          <w:cols w:equalWidth="0" w:num="1">
            <w:col w:w="11420"/>
          </w:cols>
          <w:pgMar w:left="240" w:top="419" w:right="239" w:bottom="1440" w:gutter="0" w:footer="0" w:header="0"/>
        </w:sectPr>
      </w:pPr>
    </w:p>
    <w:bookmarkStart w:id="10" w:name="page11"/>
    <w:bookmarkEnd w:id="10"/>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ind w:left="2220"/>
        <w:spacing w:after="0"/>
        <w:rPr>
          <w:sz w:val="20"/>
          <w:szCs w:val="20"/>
          <w:color w:val="auto"/>
        </w:rPr>
      </w:pPr>
      <w:r>
        <w:rPr>
          <w:rFonts w:ascii="Courier New" w:cs="Courier New" w:eastAsia="Courier New" w:hAnsi="Courier New"/>
          <w:sz w:val="18"/>
          <w:szCs w:val="18"/>
          <w:color w:val="auto"/>
        </w:rPr>
        <w:t>[Appleby Spurling &amp; Kempe Letterhead]</w:t>
      </w:r>
    </w:p>
    <w:p>
      <w:pPr>
        <w:spacing w:after="0" w:line="200" w:lineRule="exact"/>
        <w:rPr>
          <w:sz w:val="20"/>
          <w:szCs w:val="20"/>
          <w:color w:val="auto"/>
        </w:rPr>
      </w:pPr>
    </w:p>
    <w:p>
      <w:pPr>
        <w:spacing w:after="0" w:line="204"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JMVS/124194.04</w:t>
      </w:r>
    </w:p>
    <w:p>
      <w:pPr>
        <w:spacing w:after="0" w:line="4" w:lineRule="exact"/>
        <w:rPr>
          <w:sz w:val="20"/>
          <w:szCs w:val="20"/>
          <w:color w:val="auto"/>
        </w:rPr>
      </w:pPr>
    </w:p>
    <w:p>
      <w:pPr>
        <w:ind w:left="5160"/>
        <w:spacing w:after="0"/>
        <w:rPr>
          <w:sz w:val="20"/>
          <w:szCs w:val="20"/>
          <w:color w:val="auto"/>
        </w:rPr>
      </w:pPr>
      <w:r>
        <w:rPr>
          <w:rFonts w:ascii="Courier New" w:cs="Courier New" w:eastAsia="Courier New" w:hAnsi="Courier New"/>
          <w:sz w:val="16"/>
          <w:szCs w:val="16"/>
          <w:color w:val="auto"/>
        </w:rPr>
        <w:t>Direct Telephone:(441) 298 3240</w:t>
      </w:r>
    </w:p>
    <w:p>
      <w:pPr>
        <w:spacing w:after="0" w:line="16"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Direct e-mail: jvirgil@ask.bm</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 Virgil Smith</w:t>
      </w:r>
    </w:p>
    <w:p>
      <w:pPr>
        <w:spacing w:after="0" w:line="238" w:lineRule="auto"/>
        <w:rPr>
          <w:sz w:val="20"/>
          <w:szCs w:val="20"/>
          <w:color w:val="auto"/>
        </w:rPr>
      </w:pPr>
      <w:r>
        <w:rPr>
          <w:rFonts w:ascii="Courier New" w:cs="Courier New" w:eastAsia="Courier New" w:hAnsi="Courier New"/>
          <w:sz w:val="18"/>
          <w:szCs w:val="18"/>
          <w:color w:val="auto"/>
        </w:rPr>
        <w:t>ASSOCIATE</w:t>
      </w:r>
    </w:p>
    <w:p>
      <w:pPr>
        <w:spacing w:after="0" w:line="200" w:lineRule="exact"/>
        <w:rPr>
          <w:sz w:val="20"/>
          <w:szCs w:val="20"/>
          <w:color w:val="auto"/>
        </w:rPr>
      </w:pPr>
    </w:p>
    <w:p>
      <w:pPr>
        <w:spacing w:after="0" w:line="204"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24 June 2002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P.O. Box HM 1179</w:t>
      </w:r>
    </w:p>
    <w:p>
      <w:pPr>
        <w:spacing w:after="0" w:line="238" w:lineRule="auto"/>
        <w:rPr>
          <w:sz w:val="20"/>
          <w:szCs w:val="20"/>
          <w:color w:val="auto"/>
        </w:rPr>
      </w:pPr>
      <w:r>
        <w:rPr>
          <w:rFonts w:ascii="Courier New" w:cs="Courier New" w:eastAsia="Courier New" w:hAnsi="Courier New"/>
          <w:sz w:val="18"/>
          <w:szCs w:val="18"/>
          <w:color w:val="auto"/>
        </w:rPr>
        <w:t>Hamilton HM EX, Bermuda</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have acted as special legal counsel in Bermuda to Marvell Technology Group Ltd., a Bermuda company (the "Company") in connection with its filing with the United States Securities and Exchange Commission of a Registration Statement on Form S-8 (the "Registration Statement") with respect to 215,000 shares of the Company's common shares of par value US$0.002 per share (the "Common Shares") to be issued pursuant to the terms of the share sale and purchase agreements between the Company and certain former employees of SysKonnect GmbH, a wholly owned subsidiary of the Company (the "Option Agreements").</w:t>
      </w: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960" w:right="1879" w:hanging="952"/>
        <w:spacing w:after="0" w:line="237" w:lineRule="auto"/>
        <w:tabs>
          <w:tab w:leader="none" w:pos="9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submitted to us as originals and the conformity to authentic original documents of all documents submitted to us as certified, conformed, notarised or photostatic copies;</w:t>
      </w:r>
    </w:p>
    <w:p>
      <w:pPr>
        <w:spacing w:after="0" w:line="201" w:lineRule="exact"/>
        <w:rPr>
          <w:rFonts w:ascii="Courier New" w:cs="Courier New" w:eastAsia="Courier New" w:hAnsi="Courier New"/>
          <w:sz w:val="18"/>
          <w:szCs w:val="18"/>
          <w:color w:val="auto"/>
        </w:rPr>
      </w:pPr>
    </w:p>
    <w:p>
      <w:pPr>
        <w:ind w:left="960" w:hanging="952"/>
        <w:spacing w:after="0"/>
        <w:tabs>
          <w:tab w:leader="none" w:pos="9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6"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ectPr>
          <w:pgSz w:w="11900" w:h="16838" w:orient="portrait"/>
          <w:cols w:equalWidth="0" w:num="1">
            <w:col w:w="10219"/>
          </w:cols>
          <w:pgMar w:left="240" w:top="339" w:right="1440" w:bottom="1440" w:gutter="0" w:footer="0" w:header="0"/>
        </w:sectPr>
      </w:pPr>
    </w:p>
    <w:bookmarkStart w:id="11" w:name="page12"/>
    <w:bookmarkEnd w:id="11"/>
    <w:p>
      <w:pPr>
        <w:spacing w:after="0"/>
        <w:tabs>
          <w:tab w:leader="none" w:pos="3880" w:val="left"/>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- 2 -</w:t>
      </w:r>
      <w:r>
        <w:rPr>
          <w:sz w:val="20"/>
          <w:szCs w:val="20"/>
          <w:color w:val="auto"/>
        </w:rPr>
        <w:tab/>
      </w:r>
      <w:r>
        <w:rPr>
          <w:rFonts w:ascii="Courier New" w:cs="Courier New" w:eastAsia="Courier New" w:hAnsi="Courier New"/>
          <w:sz w:val="16"/>
          <w:szCs w:val="16"/>
          <w:color w:val="auto"/>
        </w:rPr>
        <w:t>24 June 2002</w:t>
      </w:r>
    </w:p>
    <w:p>
      <w:pPr>
        <w:spacing w:after="0" w:line="200" w:lineRule="exact"/>
        <w:rPr>
          <w:sz w:val="20"/>
          <w:szCs w:val="20"/>
          <w:color w:val="auto"/>
        </w:rPr>
      </w:pPr>
    </w:p>
    <w:p>
      <w:pPr>
        <w:spacing w:after="0" w:line="209" w:lineRule="exact"/>
        <w:rPr>
          <w:sz w:val="20"/>
          <w:szCs w:val="20"/>
          <w:color w:val="auto"/>
        </w:rPr>
      </w:pPr>
    </w:p>
    <w:p>
      <w:pPr>
        <w:ind w:left="960" w:right="1999" w:hanging="952"/>
        <w:spacing w:after="0" w:line="236"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pacing w:after="0" w:line="208" w:lineRule="exact"/>
        <w:rPr>
          <w:rFonts w:ascii="Courier New" w:cs="Courier New" w:eastAsia="Courier New" w:hAnsi="Courier New"/>
          <w:sz w:val="18"/>
          <w:szCs w:val="18"/>
          <w:color w:val="auto"/>
        </w:rPr>
      </w:pPr>
    </w:p>
    <w:p>
      <w:pPr>
        <w:ind w:left="960" w:right="1999" w:hanging="952"/>
        <w:spacing w:after="0" w:line="236"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Option Agreements and the Resolutions are true, accurate and complete in all material respects;</w:t>
      </w:r>
    </w:p>
    <w:p>
      <w:pPr>
        <w:spacing w:after="0" w:line="208" w:lineRule="exact"/>
        <w:rPr>
          <w:rFonts w:ascii="Courier New" w:cs="Courier New" w:eastAsia="Courier New" w:hAnsi="Courier New"/>
          <w:sz w:val="18"/>
          <w:szCs w:val="18"/>
          <w:color w:val="auto"/>
        </w:rPr>
      </w:pPr>
    </w:p>
    <w:p>
      <w:pPr>
        <w:ind w:left="960" w:right="1879" w:hanging="952"/>
        <w:spacing w:after="0" w:line="271" w:lineRule="auto"/>
        <w:tabs>
          <w:tab w:leader="none" w:pos="96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Resolutions are in full force and effect and have not been rescinded, either in whole or in part, and accurately record the resolutions passed by the Board of Directors in a meeting which was duly convened and at which a duly constituted quorum was present and voting throughout and that there is no matter affecting the authority of the Directors to bring about the issue of the Common Shares by the Company under the terms of the Option Agreements, not disclosed by the Constitutional Documents or the Resolutions, which would have any adverse implication in relation to the opinions expressed herein;</w:t>
      </w:r>
    </w:p>
    <w:p>
      <w:pPr>
        <w:spacing w:after="0" w:line="183" w:lineRule="exact"/>
        <w:rPr>
          <w:rFonts w:ascii="Courier New" w:cs="Courier New" w:eastAsia="Courier New" w:hAnsi="Courier New"/>
          <w:sz w:val="16"/>
          <w:szCs w:val="16"/>
          <w:color w:val="auto"/>
        </w:rPr>
      </w:pPr>
    </w:p>
    <w:p>
      <w:pPr>
        <w:ind w:left="960" w:right="1779" w:hanging="952"/>
        <w:spacing w:after="0" w:line="235"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Option Agreements will constitute the legal, valid and binding obligations of the parties thereto, other than the Company;</w:t>
      </w:r>
    </w:p>
    <w:p>
      <w:pPr>
        <w:spacing w:after="0" w:line="208" w:lineRule="exact"/>
        <w:rPr>
          <w:rFonts w:ascii="Courier New" w:cs="Courier New" w:eastAsia="Courier New" w:hAnsi="Courier New"/>
          <w:sz w:val="18"/>
          <w:szCs w:val="18"/>
          <w:color w:val="auto"/>
        </w:rPr>
      </w:pPr>
    </w:p>
    <w:p>
      <w:pPr>
        <w:ind w:left="960" w:right="199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Resolutions, discharged his fiduciary duty owed to the Company and acted honestly and in good faith with a view to the best interests of the Company;</w:t>
      </w:r>
    </w:p>
    <w:p>
      <w:pPr>
        <w:spacing w:after="0" w:line="207" w:lineRule="exact"/>
        <w:rPr>
          <w:rFonts w:ascii="Courier New" w:cs="Courier New" w:eastAsia="Courier New" w:hAnsi="Courier New"/>
          <w:sz w:val="18"/>
          <w:szCs w:val="18"/>
          <w:color w:val="auto"/>
        </w:rPr>
      </w:pPr>
    </w:p>
    <w:p>
      <w:pPr>
        <w:ind w:left="960" w:right="199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Company has entered into its obligations under the Option Agreements in good faith for the purpose of carrying on its business and that, at the time it did so, there were reasonable grounds for believing that the transactions contemplated in the respective Option Agreements would benefit the Company;</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at the time of issue by the Stock Option Committee of the Board of Directors (the "Committee") of any Common Shares pursuant to the Option Agreements, such Committee was duly constituted and at the date hereof remains a duly constituted committee of the Board of Directors of the Company having the necessary powers and authorities to issue the Common Shares pursuant to the Option Agreements;</w:t>
      </w:r>
    </w:p>
    <w:p>
      <w:pPr>
        <w:spacing w:after="0" w:line="209"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approval of the issue of any Common Shares under the Option Agreements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pacing w:after="0" w:line="211" w:lineRule="exact"/>
        <w:rPr>
          <w:rFonts w:ascii="Courier New" w:cs="Courier New" w:eastAsia="Courier New" w:hAnsi="Courier New"/>
          <w:sz w:val="18"/>
          <w:szCs w:val="18"/>
          <w:color w:val="auto"/>
        </w:rPr>
      </w:pPr>
    </w:p>
    <w:p>
      <w:pPr>
        <w:ind w:left="960" w:right="1879" w:hanging="952"/>
        <w:spacing w:after="0" w:line="236" w:lineRule="auto"/>
        <w:tabs>
          <w:tab w:leader="none" w:pos="96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the issue of any Common Shares under Option Agreements is authorised, the issue price will not be less than the par value of the Common</w:t>
      </w:r>
    </w:p>
    <w:p>
      <w:pPr>
        <w:sectPr>
          <w:pgSz w:w="11900" w:h="16838" w:orient="portrait"/>
          <w:cols w:equalWidth="0" w:num="1">
            <w:col w:w="10219"/>
          </w:cols>
          <w:pgMar w:left="240" w:top="514" w:right="1440" w:bottom="1440" w:gutter="0" w:footer="0" w:header="0"/>
        </w:sectPr>
      </w:pPr>
    </w:p>
    <w:bookmarkStart w:id="12" w:name="page13"/>
    <w:bookmarkEnd w:id="12"/>
    <w:p>
      <w:pPr>
        <w:spacing w:after="0"/>
        <w:tabs>
          <w:tab w:leader="none" w:pos="3880" w:val="left"/>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- 3 -</w:t>
      </w:r>
      <w:r>
        <w:rPr>
          <w:sz w:val="20"/>
          <w:szCs w:val="20"/>
          <w:color w:val="auto"/>
        </w:rPr>
        <w:tab/>
      </w:r>
      <w:r>
        <w:rPr>
          <w:rFonts w:ascii="Courier New" w:cs="Courier New" w:eastAsia="Courier New" w:hAnsi="Courier New"/>
          <w:sz w:val="16"/>
          <w:szCs w:val="16"/>
          <w:color w:val="auto"/>
        </w:rPr>
        <w:t>24 June 2002</w:t>
      </w:r>
    </w:p>
    <w:p>
      <w:pPr>
        <w:spacing w:after="0" w:line="200" w:lineRule="exact"/>
        <w:rPr>
          <w:sz w:val="20"/>
          <w:szCs w:val="20"/>
          <w:color w:val="auto"/>
        </w:rPr>
      </w:pPr>
    </w:p>
    <w:p>
      <w:pPr>
        <w:spacing w:after="0" w:line="209" w:lineRule="exact"/>
        <w:rPr>
          <w:sz w:val="20"/>
          <w:szCs w:val="20"/>
          <w:color w:val="auto"/>
        </w:rPr>
      </w:pPr>
    </w:p>
    <w:p>
      <w:pPr>
        <w:ind w:left="960" w:right="2099"/>
        <w:spacing w:after="0" w:line="279" w:lineRule="auto"/>
        <w:rPr>
          <w:sz w:val="20"/>
          <w:szCs w:val="20"/>
          <w:color w:val="auto"/>
        </w:rPr>
      </w:pPr>
      <w:r>
        <w:rPr>
          <w:rFonts w:ascii="Courier New" w:cs="Courier New" w:eastAsia="Courier New" w:hAnsi="Courier New"/>
          <w:sz w:val="16"/>
          <w:szCs w:val="16"/>
          <w:color w:val="auto"/>
        </w:rPr>
        <w:t>Shares and that the Company will have sufficient authorised share capital to effect such issue and will continue to hold the necessary consent from the Bermuda Monetary Authority for such share issue;</w:t>
      </w:r>
    </w:p>
    <w:p>
      <w:pPr>
        <w:spacing w:after="0" w:line="178" w:lineRule="exact"/>
        <w:rPr>
          <w:sz w:val="20"/>
          <w:szCs w:val="20"/>
          <w:color w:val="auto"/>
        </w:rPr>
      </w:pPr>
    </w:p>
    <w:p>
      <w:pPr>
        <w:ind w:left="960" w:right="1779" w:hanging="952"/>
        <w:spacing w:after="0" w:line="237" w:lineRule="auto"/>
        <w:tabs>
          <w:tab w:leader="none" w:pos="9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in any case where Common Shares are issued by the Company pursuant to the Option Agreements on terms that do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the Option Agreements;</w:t>
      </w:r>
    </w:p>
    <w:p>
      <w:pPr>
        <w:spacing w:after="0" w:line="211"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the Resolutions and Option Agreements and when fully paid for pursuant to and in accordance with the terms and conditions of the Option Agreements, as contemplated by the Option Agreements, the Common Shares will be validly issued, fully-paid and non-assessable shares in the capital of the Company.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7" w:lineRule="exact"/>
        <w:rPr>
          <w:sz w:val="20"/>
          <w:szCs w:val="20"/>
          <w:color w:val="auto"/>
        </w:rPr>
      </w:pPr>
    </w:p>
    <w:p>
      <w:pPr>
        <w:ind w:left="960" w:right="1879" w:hanging="952"/>
        <w:spacing w:after="0" w:line="237" w:lineRule="auto"/>
        <w:tabs>
          <w:tab w:leader="none" w:pos="9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208"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reference in this opinion to Common Shares being "non-assessable" shall mean, in relation to fully paid shares of the Company and subject to any</w:t>
      </w:r>
    </w:p>
    <w:p>
      <w:pPr>
        <w:sectPr>
          <w:pgSz w:w="11900" w:h="16838" w:orient="portrait"/>
          <w:cols w:equalWidth="0" w:num="1">
            <w:col w:w="10219"/>
          </w:cols>
          <w:pgMar w:left="240" w:top="514" w:right="1440" w:bottom="1440" w:gutter="0" w:footer="0" w:header="0"/>
        </w:sectPr>
      </w:pPr>
    </w:p>
    <w:bookmarkStart w:id="13" w:name="page14"/>
    <w:bookmarkEnd w:id="13"/>
    <w:p>
      <w:pPr>
        <w:spacing w:after="0"/>
        <w:tabs>
          <w:tab w:leader="none" w:pos="3880" w:val="left"/>
          <w:tab w:leader="none" w:pos="716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- 4 -</w:t>
      </w:r>
      <w:r>
        <w:rPr>
          <w:sz w:val="20"/>
          <w:szCs w:val="20"/>
          <w:color w:val="auto"/>
        </w:rPr>
        <w:tab/>
      </w:r>
      <w:r>
        <w:rPr>
          <w:rFonts w:ascii="Courier New" w:cs="Courier New" w:eastAsia="Courier New" w:hAnsi="Courier New"/>
          <w:sz w:val="16"/>
          <w:szCs w:val="16"/>
          <w:color w:val="auto"/>
        </w:rPr>
        <w:t>24 June 2002</w:t>
      </w:r>
    </w:p>
    <w:p>
      <w:pPr>
        <w:spacing w:after="0" w:line="200" w:lineRule="exact"/>
        <w:rPr>
          <w:sz w:val="20"/>
          <w:szCs w:val="20"/>
          <w:color w:val="auto"/>
        </w:rPr>
      </w:pPr>
    </w:p>
    <w:p>
      <w:pPr>
        <w:spacing w:after="0" w:line="209" w:lineRule="exact"/>
        <w:rPr>
          <w:sz w:val="20"/>
          <w:szCs w:val="20"/>
          <w:color w:val="auto"/>
        </w:rPr>
      </w:pPr>
    </w:p>
    <w:p>
      <w:pPr>
        <w:ind w:left="960" w:right="1779"/>
        <w:spacing w:after="0" w:line="271" w:lineRule="auto"/>
        <w:rPr>
          <w:sz w:val="20"/>
          <w:szCs w:val="20"/>
          <w:color w:val="auto"/>
        </w:rPr>
      </w:pPr>
      <w:r>
        <w:rPr>
          <w:rFonts w:ascii="Courier New" w:cs="Courier New" w:eastAsia="Courier New" w:hAnsi="Courier New"/>
          <w:sz w:val="16"/>
          <w:szCs w:val="16"/>
          <w:color w:val="auto"/>
        </w:rPr>
        <w:t>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8" w:lineRule="exact"/>
        <w:rPr>
          <w:sz w:val="20"/>
          <w:szCs w:val="20"/>
          <w:color w:val="auto"/>
        </w:rPr>
      </w:pPr>
    </w:p>
    <w:p>
      <w:pPr>
        <w:ind w:left="960" w:right="1779" w:hanging="952"/>
        <w:spacing w:after="0" w:line="236" w:lineRule="auto"/>
        <w:tabs>
          <w:tab w:leader="none" w:pos="9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208" w:lineRule="exact"/>
        <w:rPr>
          <w:rFonts w:ascii="Courier New" w:cs="Courier New" w:eastAsia="Courier New" w:hAnsi="Courier New"/>
          <w:sz w:val="18"/>
          <w:szCs w:val="18"/>
          <w:color w:val="auto"/>
        </w:rPr>
      </w:pPr>
    </w:p>
    <w:p>
      <w:pPr>
        <w:ind w:left="1900" w:right="1779" w:hanging="944"/>
        <w:spacing w:after="0" w:line="237" w:lineRule="auto"/>
        <w:tabs>
          <w:tab w:leader="none" w:pos="190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11" w:lineRule="exact"/>
        <w:rPr>
          <w:rFonts w:ascii="Courier New" w:cs="Courier New" w:eastAsia="Courier New" w:hAnsi="Courier New"/>
          <w:sz w:val="18"/>
          <w:szCs w:val="18"/>
          <w:color w:val="auto"/>
        </w:rPr>
      </w:pPr>
    </w:p>
    <w:p>
      <w:pPr>
        <w:ind w:left="1900" w:right="1879" w:hanging="944"/>
        <w:spacing w:after="0" w:line="236" w:lineRule="auto"/>
        <w:tabs>
          <w:tab w:leader="none" w:pos="1900" w:val="left"/>
        </w:tabs>
        <w:numPr>
          <w:ilvl w:val="1"/>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960" w:right="1779" w:hanging="952"/>
        <w:spacing w:after="0" w:line="279" w:lineRule="auto"/>
        <w:tabs>
          <w:tab w:leader="none" w:pos="96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order to issue this opinion we have carried out the Searches as referred to in paragraphs 4 and 5 of the Schedule and have not enquired as to whether there has been any change since the date of the Searches.</w:t>
      </w:r>
    </w:p>
    <w:p>
      <w:pPr>
        <w:spacing w:after="0" w:line="178" w:lineRule="exact"/>
        <w:rPr>
          <w:rFonts w:ascii="Courier New" w:cs="Courier New" w:eastAsia="Courier New" w:hAnsi="Courier New"/>
          <w:sz w:val="16"/>
          <w:szCs w:val="16"/>
          <w:color w:val="auto"/>
        </w:rPr>
      </w:pPr>
    </w:p>
    <w:p>
      <w:pPr>
        <w:ind w:left="960" w:right="1779" w:hanging="952"/>
        <w:spacing w:after="0" w:line="237" w:lineRule="auto"/>
        <w:tabs>
          <w:tab w:leader="none" w:pos="9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relied upon the statements made in the Officers Certificate referred to in paragraph 9 of the Schedule. We have made no independent verification of the matters referred to in the certificate and we qualify this opinion to the extent that the statements made in the certificate are not accurate in any respect.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6"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APPLEBY SPURLING &amp; KEMPE</w:t>
      </w:r>
    </w:p>
    <w:p>
      <w:pPr>
        <w:sectPr>
          <w:pgSz w:w="11900" w:h="16838" w:orient="portrait"/>
          <w:cols w:equalWidth="0" w:num="1">
            <w:col w:w="10219"/>
          </w:cols>
          <w:pgMar w:left="240" w:top="514" w:right="1440" w:bottom="1440" w:gutter="0" w:footer="0" w:header="0"/>
        </w:sectPr>
      </w:pPr>
    </w:p>
    <w:bookmarkStart w:id="14" w:name="page15"/>
    <w:bookmarkEnd w:id="14"/>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7" w:lineRule="exact"/>
        <w:rPr>
          <w:sz w:val="20"/>
          <w:szCs w:val="20"/>
          <w:color w:val="auto"/>
        </w:rPr>
      </w:pPr>
    </w:p>
    <w:p>
      <w:pPr>
        <w:ind w:left="952" w:right="1879" w:hanging="952"/>
        <w:spacing w:after="0" w:line="236"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from Marvell Semiconductor, Inc. on 18 June 2002 (excluding the exhibits and excluding the documents incorporated by reference).</w:t>
      </w:r>
    </w:p>
    <w:p>
      <w:pPr>
        <w:spacing w:after="0" w:line="208" w:lineRule="exact"/>
        <w:rPr>
          <w:rFonts w:ascii="Courier New" w:cs="Courier New" w:eastAsia="Courier New" w:hAnsi="Courier New"/>
          <w:sz w:val="18"/>
          <w:szCs w:val="18"/>
          <w:color w:val="auto"/>
        </w:rPr>
      </w:pPr>
    </w:p>
    <w:p>
      <w:pPr>
        <w:ind w:left="952" w:right="2099" w:hanging="952"/>
        <w:spacing w:after="0" w:line="236"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draft 4 of the Marvell Share Sale and Purchase Form Agreement received from Marvell Semiconductor, Inc. on 21 June 2002.</w:t>
      </w:r>
    </w:p>
    <w:p>
      <w:pPr>
        <w:spacing w:after="0" w:line="208" w:lineRule="exact"/>
        <w:rPr>
          <w:rFonts w:ascii="Courier New" w:cs="Courier New" w:eastAsia="Courier New" w:hAnsi="Courier New"/>
          <w:sz w:val="18"/>
          <w:szCs w:val="18"/>
          <w:color w:val="auto"/>
        </w:rPr>
      </w:pPr>
    </w:p>
    <w:p>
      <w:pPr>
        <w:ind w:left="952" w:right="1879" w:hanging="952"/>
        <w:spacing w:after="0" w:line="235"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Certified copy of the Minutes of the meeting of the Board of Directors of the Company held on 12 June 2002 (the "Resolutions").</w:t>
      </w:r>
    </w:p>
    <w:p>
      <w:pPr>
        <w:spacing w:after="0" w:line="208" w:lineRule="exact"/>
        <w:rPr>
          <w:rFonts w:ascii="Courier New" w:cs="Courier New" w:eastAsia="Courier New" w:hAnsi="Courier New"/>
          <w:sz w:val="18"/>
          <w:szCs w:val="18"/>
          <w:color w:val="auto"/>
        </w:rPr>
      </w:pPr>
    </w:p>
    <w:p>
      <w:pPr>
        <w:ind w:left="952" w:right="1879" w:hanging="952"/>
        <w:spacing w:after="0" w:line="237"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24 June 2002 (the "Company Search");</w:t>
      </w:r>
    </w:p>
    <w:p>
      <w:pPr>
        <w:spacing w:after="0" w:line="207" w:lineRule="exact"/>
        <w:rPr>
          <w:rFonts w:ascii="Courier New" w:cs="Courier New" w:eastAsia="Courier New" w:hAnsi="Courier New"/>
          <w:sz w:val="18"/>
          <w:szCs w:val="18"/>
          <w:color w:val="auto"/>
        </w:rPr>
      </w:pPr>
    </w:p>
    <w:p>
      <w:pPr>
        <w:ind w:left="952" w:right="1879" w:hanging="952"/>
        <w:spacing w:after="0" w:line="237"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24 June 2002 (the "Litigation Search");</w:t>
      </w:r>
    </w:p>
    <w:p>
      <w:pPr>
        <w:spacing w:after="0" w:line="207" w:lineRule="exact"/>
        <w:rPr>
          <w:rFonts w:ascii="Courier New" w:cs="Courier New" w:eastAsia="Courier New" w:hAnsi="Courier New"/>
          <w:sz w:val="18"/>
          <w:szCs w:val="18"/>
          <w:color w:val="auto"/>
        </w:rPr>
      </w:pPr>
    </w:p>
    <w:p>
      <w:pPr>
        <w:ind w:left="952"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952" w:right="1999" w:hanging="952"/>
        <w:spacing w:after="0" w:line="279" w:lineRule="auto"/>
        <w:tabs>
          <w:tab w:leader="none" w:pos="952"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Certificate of Incorporation, Memorandum of Association and Bye-laws of the Company incorporating all amendments to 21 June 2001 (collectively referred to as the "Constitutional Documents");</w:t>
      </w:r>
    </w:p>
    <w:p>
      <w:pPr>
        <w:spacing w:after="0" w:line="178" w:lineRule="exact"/>
        <w:rPr>
          <w:rFonts w:ascii="Courier New" w:cs="Courier New" w:eastAsia="Courier New" w:hAnsi="Courier New"/>
          <w:sz w:val="16"/>
          <w:szCs w:val="16"/>
          <w:color w:val="auto"/>
        </w:rPr>
      </w:pPr>
    </w:p>
    <w:p>
      <w:pPr>
        <w:ind w:left="952" w:right="2099" w:hanging="952"/>
        <w:spacing w:after="0" w:line="279" w:lineRule="auto"/>
        <w:tabs>
          <w:tab w:leader="none" w:pos="952"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copy of the permissions dated 31 May 2000 given by the Bermuda Monetary Authority under the Exchange Control Act (1972) and related regulations for the issue of shares in the capital of the Company;</w:t>
      </w:r>
    </w:p>
    <w:p>
      <w:pPr>
        <w:spacing w:after="0" w:line="178" w:lineRule="exact"/>
        <w:rPr>
          <w:rFonts w:ascii="Courier New" w:cs="Courier New" w:eastAsia="Courier New" w:hAnsi="Courier New"/>
          <w:sz w:val="16"/>
          <w:szCs w:val="16"/>
          <w:color w:val="auto"/>
        </w:rPr>
      </w:pPr>
    </w:p>
    <w:p>
      <w:pPr>
        <w:ind w:left="952" w:right="1879" w:hanging="952"/>
        <w:spacing w:after="0" w:line="235"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Certificate of Compliance dated 13 March 2002 issued by the Ministry of Finance in respect of the Company; and</w:t>
      </w:r>
    </w:p>
    <w:p>
      <w:pPr>
        <w:spacing w:after="0" w:line="208" w:lineRule="exact"/>
        <w:rPr>
          <w:rFonts w:ascii="Courier New" w:cs="Courier New" w:eastAsia="Courier New" w:hAnsi="Courier New"/>
          <w:sz w:val="18"/>
          <w:szCs w:val="18"/>
          <w:color w:val="auto"/>
        </w:rPr>
      </w:pPr>
    </w:p>
    <w:p>
      <w:pPr>
        <w:ind w:left="952" w:right="1779" w:hanging="952"/>
        <w:spacing w:after="0" w:line="237" w:lineRule="auto"/>
        <w:tabs>
          <w:tab w:leader="none" w:pos="952"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fax copy of an Officer's Certificate dated 21 June 2002 and signed by George A. Hervey as Vice President of Finance and Chief Financial Officer of the Company confirming the authorised and issued share capital of the Company as at that date.</w:t>
      </w:r>
    </w:p>
    <w:p>
      <w:pPr>
        <w:sectPr>
          <w:pgSz w:w="11900" w:h="16838" w:orient="portrait"/>
          <w:cols w:equalWidth="0" w:num="1">
            <w:col w:w="10211"/>
          </w:cols>
          <w:pgMar w:left="248" w:top="919" w:right="1440" w:bottom="1440" w:gutter="0" w:footer="0" w:header="0"/>
        </w:sectPr>
      </w:pPr>
    </w:p>
    <w:bookmarkStart w:id="15" w:name="page16"/>
    <w:bookmarkEnd w:id="15"/>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4"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February 27, 2002 relating to the consolidated financial statements of Marvell Technology Group Ltd., which appears in Marvell Technology Group Ltd.'s Annual Report on Form 10-K for the year ended February 2, 2002.</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June 24, 2002</w:t>
      </w:r>
    </w:p>
    <w:p>
      <w:pPr>
        <w:sectPr>
          <w:pgSz w:w="11900" w:h="16838" w:orient="portrait"/>
          <w:cols w:equalWidth="0" w:num="1">
            <w:col w:w="10219"/>
          </w:cols>
          <w:pgMar w:left="240" w:top="744" w:right="1440" w:bottom="1440" w:gutter="0" w:footer="0" w:header="0"/>
        </w:sectPr>
      </w:pPr>
    </w:p>
    <w:bookmarkStart w:id="16" w:name="page17"/>
    <w:bookmarkEnd w:id="16"/>
    <w:tbl>
      <w:tblPr>
        <w:tblLayout w:type="fixed"/>
        <w:tblInd w:w="0" w:type="dxa"/>
        <w:tblCellMar>
          <w:top w:w="0" w:type="dxa"/>
          <w:left w:w="0" w:type="dxa"/>
          <w:bottom w:w="0" w:type="dxa"/>
          <w:right w:w="0" w:type="dxa"/>
        </w:tblCellMar>
      </w:tblPr>
      <w:tr>
        <w:trPr>
          <w:trHeight w:val="204"/>
        </w:trPr>
        <w:tc>
          <w:tcPr>
            <w:tcW w:w="960" w:type="dxa"/>
            <w:vAlign w:val="bottom"/>
          </w:tcPr>
          <w:p>
            <w:pPr>
              <w:spacing w:after="0"/>
              <w:rPr>
                <w:sz w:val="17"/>
                <w:szCs w:val="17"/>
                <w:color w:val="auto"/>
              </w:rPr>
            </w:pPr>
          </w:p>
        </w:tc>
        <w:tc>
          <w:tcPr>
            <w:tcW w:w="326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1900" w:type="dxa"/>
            <w:vAlign w:val="bottom"/>
          </w:tcPr>
          <w:p>
            <w:pPr>
              <w:ind w:left="640"/>
              <w:spacing w:after="0"/>
              <w:rPr>
                <w:sz w:val="20"/>
                <w:szCs w:val="20"/>
                <w:color w:val="auto"/>
              </w:rPr>
            </w:pPr>
            <w:r>
              <w:rPr>
                <w:rFonts w:ascii="Courier New" w:cs="Courier New" w:eastAsia="Courier New" w:hAnsi="Courier New"/>
                <w:sz w:val="18"/>
                <w:szCs w:val="18"/>
                <w:color w:val="auto"/>
                <w:w w:val="95"/>
              </w:rPr>
              <w:t>EXHIBIT 99.1</w:t>
            </w:r>
          </w:p>
        </w:tc>
      </w:tr>
      <w:tr>
        <w:trPr>
          <w:trHeight w:val="608"/>
        </w:trPr>
        <w:tc>
          <w:tcPr>
            <w:tcW w:w="4220" w:type="dxa"/>
            <w:vAlign w:val="bottom"/>
            <w:gridSpan w:val="2"/>
          </w:tcPr>
          <w:p>
            <w:pPr>
              <w:spacing w:after="0"/>
              <w:rPr>
                <w:sz w:val="20"/>
                <w:szCs w:val="20"/>
                <w:color w:val="auto"/>
              </w:rPr>
            </w:pPr>
            <w:r>
              <w:rPr>
                <w:rFonts w:ascii="Courier New" w:cs="Courier New" w:eastAsia="Courier New" w:hAnsi="Courier New"/>
                <w:sz w:val="18"/>
                <w:szCs w:val="18"/>
                <w:color w:val="auto"/>
              </w:rPr>
              <w:t>NOTICE OF GRANT OF STOCK OPTIONS</w:t>
            </w:r>
          </w:p>
        </w:tc>
        <w:tc>
          <w:tcPr>
            <w:tcW w:w="4220" w:type="dxa"/>
            <w:vAlign w:val="bottom"/>
            <w:gridSpan w:val="2"/>
          </w:tcPr>
          <w:p>
            <w:pPr>
              <w:ind w:left="840"/>
              <w:spacing w:after="0"/>
              <w:rPr>
                <w:sz w:val="20"/>
                <w:szCs w:val="20"/>
                <w:color w:val="auto"/>
              </w:rPr>
            </w:pPr>
            <w:r>
              <w:rPr>
                <w:rFonts w:ascii="Courier New" w:cs="Courier New" w:eastAsia="Courier New" w:hAnsi="Courier New"/>
                <w:sz w:val="18"/>
                <w:szCs w:val="18"/>
                <w:color w:val="auto"/>
              </w:rPr>
              <w:t>MARVELL TECHNOLOGY GROUP, LTD.</w:t>
            </w: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PURSUANT</w:t>
            </w:r>
          </w:p>
        </w:tc>
        <w:tc>
          <w:tcPr>
            <w:tcW w:w="3260" w:type="dxa"/>
            <w:vAlign w:val="bottom"/>
          </w:tcPr>
          <w:p>
            <w:pPr>
              <w:spacing w:after="0" w:line="203" w:lineRule="exact"/>
              <w:rPr>
                <w:sz w:val="20"/>
                <w:szCs w:val="20"/>
                <w:color w:val="auto"/>
              </w:rPr>
            </w:pPr>
            <w:r>
              <w:rPr>
                <w:rFonts w:ascii="Courier New" w:cs="Courier New" w:eastAsia="Courier New" w:hAnsi="Courier New"/>
                <w:sz w:val="18"/>
                <w:szCs w:val="18"/>
                <w:color w:val="auto"/>
              </w:rPr>
              <w:t>TO MARVELL SHARE</w:t>
            </w:r>
          </w:p>
        </w:tc>
        <w:tc>
          <w:tcPr>
            <w:tcW w:w="4220" w:type="dxa"/>
            <w:vAlign w:val="bottom"/>
            <w:gridSpan w:val="2"/>
          </w:tcPr>
          <w:p>
            <w:pPr>
              <w:ind w:left="840"/>
              <w:spacing w:after="0" w:line="203" w:lineRule="exact"/>
              <w:rPr>
                <w:sz w:val="20"/>
                <w:szCs w:val="20"/>
                <w:color w:val="auto"/>
              </w:rPr>
            </w:pPr>
            <w:r>
              <w:rPr>
                <w:rFonts w:ascii="Courier New" w:cs="Courier New" w:eastAsia="Courier New" w:hAnsi="Courier New"/>
                <w:sz w:val="18"/>
                <w:szCs w:val="18"/>
                <w:color w:val="auto"/>
              </w:rPr>
              <w:t>Richmond House, 3rd</w:t>
            </w: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rPr>
              <w:t>SALE AND</w:t>
            </w:r>
          </w:p>
        </w:tc>
        <w:tc>
          <w:tcPr>
            <w:tcW w:w="3260" w:type="dxa"/>
            <w:vAlign w:val="bottom"/>
          </w:tcPr>
          <w:p>
            <w:pPr>
              <w:spacing w:after="0" w:line="203" w:lineRule="exact"/>
              <w:rPr>
                <w:sz w:val="20"/>
                <w:szCs w:val="20"/>
                <w:color w:val="auto"/>
              </w:rPr>
            </w:pPr>
            <w:r>
              <w:rPr>
                <w:rFonts w:ascii="Courier New" w:cs="Courier New" w:eastAsia="Courier New" w:hAnsi="Courier New"/>
                <w:sz w:val="18"/>
                <w:szCs w:val="18"/>
                <w:color w:val="auto"/>
              </w:rPr>
              <w:t>PURCHASE FORM AGREEMENT</w:t>
            </w:r>
          </w:p>
        </w:tc>
        <w:tc>
          <w:tcPr>
            <w:tcW w:w="4220" w:type="dxa"/>
            <w:vAlign w:val="bottom"/>
            <w:gridSpan w:val="2"/>
          </w:tcPr>
          <w:p>
            <w:pPr>
              <w:ind w:left="840"/>
              <w:spacing w:after="0" w:line="203" w:lineRule="exact"/>
              <w:rPr>
                <w:sz w:val="20"/>
                <w:szCs w:val="20"/>
                <w:color w:val="auto"/>
              </w:rPr>
            </w:pPr>
            <w:r>
              <w:rPr>
                <w:rFonts w:ascii="Courier New" w:cs="Courier New" w:eastAsia="Courier New" w:hAnsi="Courier New"/>
                <w:sz w:val="18"/>
                <w:szCs w:val="18"/>
                <w:color w:val="auto"/>
              </w:rPr>
              <w:t>12 Par la Ville Road</w:t>
            </w:r>
          </w:p>
        </w:tc>
      </w:tr>
      <w:tr>
        <w:trPr>
          <w:trHeight w:val="203"/>
        </w:trPr>
        <w:tc>
          <w:tcPr>
            <w:tcW w:w="960" w:type="dxa"/>
            <w:vAlign w:val="bottom"/>
          </w:tcPr>
          <w:p>
            <w:pPr>
              <w:spacing w:after="0"/>
              <w:rPr>
                <w:sz w:val="17"/>
                <w:szCs w:val="17"/>
                <w:color w:val="auto"/>
              </w:rPr>
            </w:pPr>
          </w:p>
        </w:tc>
        <w:tc>
          <w:tcPr>
            <w:tcW w:w="3260" w:type="dxa"/>
            <w:vAlign w:val="bottom"/>
          </w:tcPr>
          <w:p>
            <w:pPr>
              <w:spacing w:after="0"/>
              <w:rPr>
                <w:sz w:val="17"/>
                <w:szCs w:val="17"/>
                <w:color w:val="auto"/>
              </w:rPr>
            </w:pPr>
          </w:p>
        </w:tc>
        <w:tc>
          <w:tcPr>
            <w:tcW w:w="2320" w:type="dxa"/>
            <w:vAlign w:val="bottom"/>
          </w:tcPr>
          <w:p>
            <w:pPr>
              <w:ind w:left="840"/>
              <w:spacing w:after="0" w:line="203" w:lineRule="exact"/>
              <w:rPr>
                <w:sz w:val="20"/>
                <w:szCs w:val="20"/>
                <w:color w:val="auto"/>
              </w:rPr>
            </w:pPr>
            <w:r>
              <w:rPr>
                <w:rFonts w:ascii="Courier New" w:cs="Courier New" w:eastAsia="Courier New" w:hAnsi="Courier New"/>
                <w:sz w:val="18"/>
                <w:szCs w:val="18"/>
                <w:color w:val="auto"/>
              </w:rPr>
              <w:t>Hamilton, HM</w:t>
            </w:r>
          </w:p>
        </w:tc>
        <w:tc>
          <w:tcPr>
            <w:tcW w:w="1900" w:type="dxa"/>
            <w:vAlign w:val="bottom"/>
          </w:tcPr>
          <w:p>
            <w:pPr>
              <w:spacing w:after="0" w:line="203" w:lineRule="exact"/>
              <w:rPr>
                <w:sz w:val="20"/>
                <w:szCs w:val="20"/>
                <w:color w:val="auto"/>
              </w:rPr>
            </w:pPr>
            <w:r>
              <w:rPr>
                <w:rFonts w:ascii="Courier New" w:cs="Courier New" w:eastAsia="Courier New" w:hAnsi="Courier New"/>
                <w:sz w:val="18"/>
                <w:szCs w:val="18"/>
                <w:color w:val="auto"/>
              </w:rPr>
              <w:t>DX, Bermuda</w:t>
            </w:r>
          </w:p>
        </w:tc>
      </w:tr>
      <w:tr>
        <w:trPr>
          <w:trHeight w:val="405"/>
        </w:trPr>
        <w:tc>
          <w:tcPr>
            <w:tcW w:w="960" w:type="dxa"/>
            <w:vAlign w:val="bottom"/>
          </w:tcPr>
          <w:p>
            <w:pPr>
              <w:spacing w:after="0"/>
              <w:rPr>
                <w:sz w:val="20"/>
                <w:szCs w:val="20"/>
                <w:color w:val="auto"/>
              </w:rPr>
            </w:pPr>
            <w:r>
              <w:rPr>
                <w:rFonts w:ascii="Courier New" w:cs="Courier New" w:eastAsia="Courier New" w:hAnsi="Courier New"/>
                <w:sz w:val="18"/>
                <w:szCs w:val="18"/>
                <w:color w:val="auto"/>
              </w:rPr>
              <w:t>EMPLOYEE</w:t>
            </w:r>
          </w:p>
        </w:tc>
        <w:tc>
          <w:tcPr>
            <w:tcW w:w="3260" w:type="dxa"/>
            <w:vAlign w:val="bottom"/>
          </w:tcPr>
          <w:p>
            <w:pPr>
              <w:spacing w:after="0"/>
              <w:rPr>
                <w:sz w:val="20"/>
                <w:szCs w:val="20"/>
                <w:color w:val="auto"/>
              </w:rPr>
            </w:pPr>
            <w:r>
              <w:rPr>
                <w:rFonts w:ascii="Courier New" w:cs="Courier New" w:eastAsia="Courier New" w:hAnsi="Courier New"/>
                <w:sz w:val="18"/>
                <w:szCs w:val="18"/>
                <w:color w:val="auto"/>
              </w:rPr>
              <w:t>NAME</w:t>
            </w:r>
          </w:p>
        </w:tc>
        <w:tc>
          <w:tcPr>
            <w:tcW w:w="2320" w:type="dxa"/>
            <w:vAlign w:val="bottom"/>
          </w:tcPr>
          <w:p>
            <w:pPr>
              <w:ind w:left="840"/>
              <w:spacing w:after="0"/>
              <w:rPr>
                <w:sz w:val="20"/>
                <w:szCs w:val="20"/>
                <w:color w:val="auto"/>
              </w:rPr>
            </w:pPr>
            <w:r>
              <w:rPr>
                <w:rFonts w:ascii="Courier New" w:cs="Courier New" w:eastAsia="Courier New" w:hAnsi="Courier New"/>
                <w:sz w:val="18"/>
                <w:szCs w:val="18"/>
                <w:color w:val="auto"/>
                <w:w w:val="96"/>
              </w:rPr>
              <w:t>OPTION NUMBER:</w:t>
            </w:r>
          </w:p>
        </w:tc>
        <w:tc>
          <w:tcPr>
            <w:tcW w:w="1900" w:type="dxa"/>
            <w:vAlign w:val="bottom"/>
          </w:tcPr>
          <w:p>
            <w:pPr>
              <w:ind w:left="420"/>
              <w:spacing w:after="0"/>
              <w:rPr>
                <w:sz w:val="20"/>
                <w:szCs w:val="20"/>
                <w:color w:val="auto"/>
              </w:rPr>
            </w:pPr>
            <w:r>
              <w:rPr>
                <w:rFonts w:ascii="Courier New" w:cs="Courier New" w:eastAsia="Courier New" w:hAnsi="Courier New"/>
                <w:sz w:val="18"/>
                <w:szCs w:val="18"/>
                <w:color w:val="auto"/>
              </w:rPr>
              <w:t>00000XXX</w:t>
            </w:r>
          </w:p>
        </w:tc>
      </w:tr>
      <w:tr>
        <w:trPr>
          <w:trHeight w:val="203"/>
        </w:trPr>
        <w:tc>
          <w:tcPr>
            <w:tcW w:w="960" w:type="dxa"/>
            <w:vAlign w:val="bottom"/>
          </w:tcPr>
          <w:p>
            <w:pPr>
              <w:spacing w:after="0" w:line="203" w:lineRule="exact"/>
              <w:rPr>
                <w:sz w:val="20"/>
                <w:szCs w:val="20"/>
                <w:color w:val="auto"/>
              </w:rPr>
            </w:pPr>
            <w:r>
              <w:rPr>
                <w:rFonts w:ascii="Courier New" w:cs="Courier New" w:eastAsia="Courier New" w:hAnsi="Courier New"/>
                <w:sz w:val="18"/>
                <w:szCs w:val="18"/>
                <w:color w:val="auto"/>
                <w:w w:val="96"/>
              </w:rPr>
              <w:t>[ADDRESS]</w:t>
            </w:r>
          </w:p>
        </w:tc>
        <w:tc>
          <w:tcPr>
            <w:tcW w:w="326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1900" w:type="dxa"/>
            <w:vAlign w:val="bottom"/>
          </w:tcPr>
          <w:p>
            <w:pPr>
              <w:spacing w:after="0"/>
              <w:rPr>
                <w:sz w:val="17"/>
                <w:szCs w:val="17"/>
                <w:color w:val="auto"/>
              </w:rPr>
            </w:pP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Effective 06/__/2002, you have been granted a stock option to buy _____ shares</w:t>
      </w:r>
    </w:p>
    <w:p>
      <w:pPr>
        <w:spacing w:after="0" w:line="238" w:lineRule="auto"/>
        <w:rPr>
          <w:sz w:val="20"/>
          <w:szCs w:val="20"/>
          <w:color w:val="auto"/>
        </w:rPr>
      </w:pPr>
      <w:r>
        <w:rPr>
          <w:rFonts w:ascii="Courier New" w:cs="Courier New" w:eastAsia="Courier New" w:hAnsi="Courier New"/>
          <w:sz w:val="18"/>
          <w:szCs w:val="18"/>
          <w:color w:val="auto"/>
        </w:rPr>
        <w:t>of Marvell Technology Group, Ltd. (the Company) stock at $_________ per share.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total option price of the shares granted is $_______. The option price is</w:t>
      </w:r>
    </w:p>
    <w:p>
      <w:pPr>
        <w:spacing w:after="0" w:line="4" w:lineRule="exact"/>
        <w:rPr>
          <w:sz w:val="20"/>
          <w:szCs w:val="20"/>
          <w:color w:val="auto"/>
        </w:rPr>
      </w:pPr>
    </w:p>
    <w:p>
      <w:pPr>
        <w:jc w:val="both"/>
        <w:ind w:right="2099"/>
        <w:spacing w:after="0" w:line="236" w:lineRule="auto"/>
        <w:rPr>
          <w:sz w:val="20"/>
          <w:szCs w:val="20"/>
          <w:color w:val="auto"/>
        </w:rPr>
      </w:pPr>
      <w:r>
        <w:rPr>
          <w:rFonts w:ascii="Courier New" w:cs="Courier New" w:eastAsia="Courier New" w:hAnsi="Courier New"/>
          <w:sz w:val="18"/>
          <w:szCs w:val="18"/>
          <w:color w:val="auto"/>
        </w:rPr>
        <w:t>payable solely by delivery of your option for shares in SysKonnect GmbH held pursuant to a Notarial Deed Agreement, as described in the Marvell Share Sale and Purchase Form Agreement.</w:t>
      </w:r>
    </w:p>
    <w:p>
      <w:pPr>
        <w:spacing w:after="0" w:line="209"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The option will become vested and exercisable in accordance with the schedule in Section 2 of the Marvell Share Sale and Purchase Form Agreement.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term of the option expires on June __, 2012.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By your signature and the Company's signature below, you and the Company agree that these options are granted under and governed by the terms and conditions of the Marvell Share Sale and Purchase Form Agreement, which is attached and made a part of this document.</w:t>
      </w:r>
    </w:p>
    <w:p>
      <w:pPr>
        <w:spacing w:after="0" w:line="207" w:lineRule="exact"/>
        <w:rPr>
          <w:sz w:val="20"/>
          <w:szCs w:val="20"/>
          <w:color w:val="auto"/>
        </w:rPr>
      </w:pPr>
    </w:p>
    <w:p>
      <w:pPr>
        <w:ind w:right="1579"/>
        <w:spacing w:after="0" w:line="235" w:lineRule="auto"/>
        <w:rPr>
          <w:sz w:val="20"/>
          <w:szCs w:val="20"/>
          <w:color w:val="auto"/>
        </w:rPr>
      </w:pPr>
      <w:r>
        <w:rPr>
          <w:rFonts w:ascii="Courier New" w:cs="Courier New" w:eastAsia="Courier New" w:hAnsi="Courier New"/>
          <w:sz w:val="18"/>
          <w:szCs w:val="18"/>
          <w:color w:val="auto"/>
        </w:rPr>
        <w:t>- -------------------------------------------------------------------------------- Marvell Technology Group, Ltd. Date</w:t>
      </w:r>
    </w:p>
    <w:p>
      <w:pPr>
        <w:spacing w:after="0" w:line="200" w:lineRule="exact"/>
        <w:rPr>
          <w:sz w:val="20"/>
          <w:szCs w:val="20"/>
          <w:color w:val="auto"/>
        </w:rPr>
      </w:pPr>
    </w:p>
    <w:p>
      <w:pPr>
        <w:spacing w:after="0" w:line="211" w:lineRule="exact"/>
        <w:rPr>
          <w:sz w:val="20"/>
          <w:szCs w:val="20"/>
          <w:color w:val="auto"/>
        </w:rPr>
      </w:pPr>
    </w:p>
    <w:p>
      <w:pPr>
        <w:ind w:right="1579"/>
        <w:spacing w:after="0" w:line="235" w:lineRule="auto"/>
        <w:rPr>
          <w:sz w:val="20"/>
          <w:szCs w:val="20"/>
          <w:color w:val="auto"/>
        </w:rPr>
      </w:pPr>
      <w:r>
        <w:rPr>
          <w:rFonts w:ascii="Courier New" w:cs="Courier New" w:eastAsia="Courier New" w:hAnsi="Courier New"/>
          <w:sz w:val="18"/>
          <w:szCs w:val="18"/>
          <w:color w:val="auto"/>
        </w:rPr>
        <w:t>- -------------------------------------------------------------------------------- Employee Name Date</w:t>
      </w:r>
    </w:p>
    <w:p>
      <w:pPr>
        <w:sectPr>
          <w:pgSz w:w="11900" w:h="16838" w:orient="portrait"/>
          <w:cols w:equalWidth="0" w:num="1">
            <w:col w:w="10219"/>
          </w:cols>
          <w:pgMar w:left="240" w:top="339" w:right="1440" w:bottom="1440" w:gutter="0" w:footer="0" w:header="0"/>
        </w:sectPr>
      </w:pPr>
    </w:p>
    <w:bookmarkStart w:id="17" w:name="page18"/>
    <w:bookmarkEnd w:id="17"/>
    <w:p>
      <w:pPr>
        <w:ind w:left="1800"/>
        <w:spacing w:after="0"/>
        <w:rPr>
          <w:sz w:val="20"/>
          <w:szCs w:val="20"/>
          <w:color w:val="auto"/>
        </w:rPr>
      </w:pPr>
      <w:r>
        <w:rPr>
          <w:rFonts w:ascii="Courier New" w:cs="Courier New" w:eastAsia="Courier New" w:hAnsi="Courier New"/>
          <w:sz w:val="18"/>
          <w:szCs w:val="18"/>
          <w:color w:val="auto"/>
        </w:rPr>
        <w:t>MARVELL SHARE SALE AND PURCHASE FORM AGREEMENT</w:t>
      </w:r>
    </w:p>
    <w:p>
      <w:pPr>
        <w:spacing w:after="0" w:line="207" w:lineRule="exact"/>
        <w:rPr>
          <w:sz w:val="20"/>
          <w:szCs w:val="20"/>
          <w:color w:val="auto"/>
        </w:rPr>
      </w:pPr>
    </w:p>
    <w:p>
      <w:pPr>
        <w:ind w:right="1779" w:firstLine="851"/>
        <w:spacing w:after="0" w:line="238" w:lineRule="auto"/>
        <w:tabs>
          <w:tab w:leader="none" w:pos="1159"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 of Option. Marvel Technology Group Ltd. (the "COMPANY") hereby grants to the optionee named in the attached Notice of Grant (the "OPTIONEE"), an Option to purchase the shares of Common Stock of the Company ("SHARES") set forth in the Notice of Grant, subject to the terms, definitions and provisions of this Agreement. The exercise price per Share (the "EXERCISE PRICE") shall be as set forth in the Notice of Grant, which shall be payable solely by delivery by the Optionee of the option for shares in SysKonnect GmbH held by the Optionee pursuant to a Notarial Deed Agreement dated June __, 2002 (the "SYSKONNECT OPTION"), which option shall be deemed to have a fixed value equal to the Exercise Price. The Optionee acknowledges that the SysKonnect Option may not be exercised but may only be tendered in payment of the Exercise Price for shares pursuant to this Agreement.</w:t>
      </w:r>
    </w:p>
    <w:p>
      <w:pPr>
        <w:spacing w:after="0" w:line="207" w:lineRule="exact"/>
        <w:rPr>
          <w:sz w:val="20"/>
          <w:szCs w:val="20"/>
          <w:color w:val="auto"/>
        </w:rPr>
      </w:pPr>
    </w:p>
    <w:p>
      <w:pPr>
        <w:ind w:right="1779" w:firstLine="1159"/>
        <w:spacing w:after="0" w:line="237" w:lineRule="auto"/>
        <w:rPr>
          <w:sz w:val="20"/>
          <w:szCs w:val="20"/>
          <w:color w:val="auto"/>
        </w:rPr>
      </w:pPr>
      <w:r>
        <w:rPr>
          <w:rFonts w:ascii="Courier New" w:cs="Courier New" w:eastAsia="Courier New" w:hAnsi="Courier New"/>
          <w:sz w:val="18"/>
          <w:szCs w:val="18"/>
          <w:color w:val="auto"/>
        </w:rPr>
        <w:t>This Option is granted in consideration of services to be provided by the Optionee as an employee or consultant to the Company or its direct or indirect subsidiary ("Service"). The Option is not intended to qualify as an Incentive Stock Option as defined in Section 422 of the U.S. Internal Revenue Code of 1986, as amended.</w:t>
      </w:r>
    </w:p>
    <w:p>
      <w:pPr>
        <w:spacing w:after="0" w:line="209" w:lineRule="exact"/>
        <w:rPr>
          <w:sz w:val="20"/>
          <w:szCs w:val="20"/>
          <w:color w:val="auto"/>
        </w:rPr>
      </w:pPr>
    </w:p>
    <w:p>
      <w:pPr>
        <w:ind w:right="1779" w:firstLine="851"/>
        <w:spacing w:after="0" w:line="237" w:lineRule="auto"/>
        <w:tabs>
          <w:tab w:leader="none" w:pos="1159"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Exercise of Option. This Option cannot be exercised until the Option and the corresponding Shares vest. The Option and Shares vest with respect to twenty-five percent of the Option on the date of grant, and with respect to 1/48 of the Option on the last day of each month beginning after the one-year anniversary of the date of grant for 36 months.</w:t>
      </w:r>
    </w:p>
    <w:p>
      <w:pPr>
        <w:spacing w:after="0" w:line="203" w:lineRule="exact"/>
        <w:rPr>
          <w:sz w:val="20"/>
          <w:szCs w:val="20"/>
          <w:color w:val="auto"/>
        </w:rPr>
      </w:pPr>
    </w:p>
    <w:p>
      <w:pPr>
        <w:ind w:left="1380" w:hanging="529"/>
        <w:spacing w:after="0"/>
        <w:tabs>
          <w:tab w:leader="none" w:pos="138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Right to Exercise.</w:t>
      </w:r>
    </w:p>
    <w:p>
      <w:pPr>
        <w:spacing w:after="0" w:line="201" w:lineRule="exact"/>
        <w:rPr>
          <w:rFonts w:ascii="Courier New" w:cs="Courier New" w:eastAsia="Courier New" w:hAnsi="Courier New"/>
          <w:sz w:val="18"/>
          <w:szCs w:val="18"/>
          <w:color w:val="auto"/>
        </w:rPr>
      </w:pPr>
    </w:p>
    <w:p>
      <w:pPr>
        <w:ind w:left="1800" w:hanging="423"/>
        <w:spacing w:after="0"/>
        <w:tabs>
          <w:tab w:leader="none" w:pos="1800"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Option may not be exercised for a fraction of a Share.</w:t>
      </w:r>
    </w:p>
    <w:p>
      <w:pPr>
        <w:spacing w:after="0" w:line="206" w:lineRule="exact"/>
        <w:rPr>
          <w:rFonts w:ascii="Courier New" w:cs="Courier New" w:eastAsia="Courier New" w:hAnsi="Courier New"/>
          <w:sz w:val="18"/>
          <w:szCs w:val="18"/>
          <w:color w:val="auto"/>
        </w:rPr>
      </w:pPr>
    </w:p>
    <w:p>
      <w:pPr>
        <w:ind w:right="1879" w:firstLine="1377"/>
        <w:spacing w:after="0" w:line="236" w:lineRule="auto"/>
        <w:tabs>
          <w:tab w:leader="none" w:pos="1791"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event of Optionee's death, disability or other termination of Optionee's continuous service, the exercisability of this Option shall be governed by Sections 5, 6 and 7 below.</w:t>
      </w:r>
    </w:p>
    <w:p>
      <w:pPr>
        <w:spacing w:after="0" w:line="208" w:lineRule="exact"/>
        <w:rPr>
          <w:rFonts w:ascii="Courier New" w:cs="Courier New" w:eastAsia="Courier New" w:hAnsi="Courier New"/>
          <w:sz w:val="18"/>
          <w:szCs w:val="18"/>
          <w:color w:val="auto"/>
        </w:rPr>
      </w:pPr>
    </w:p>
    <w:p>
      <w:pPr>
        <w:ind w:right="2319" w:firstLine="1377"/>
        <w:spacing w:after="0" w:line="236" w:lineRule="auto"/>
        <w:tabs>
          <w:tab w:leader="none" w:pos="1791" w:val="left"/>
        </w:tabs>
        <w:numPr>
          <w:ilvl w:val="1"/>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no event may this Option be exercised after the date of expiration of the term of this Option as set forth in the Notice of Grant ("EXPIRATION DATE").</w:t>
      </w:r>
    </w:p>
    <w:p>
      <w:pPr>
        <w:spacing w:after="0" w:line="203" w:lineRule="exact"/>
        <w:rPr>
          <w:sz w:val="20"/>
          <w:szCs w:val="20"/>
          <w:color w:val="auto"/>
        </w:rPr>
      </w:pPr>
    </w:p>
    <w:p>
      <w:pPr>
        <w:ind w:left="1380" w:hanging="529"/>
        <w:spacing w:after="0"/>
        <w:tabs>
          <w:tab w:leader="none" w:pos="138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Method of Exercise.</w:t>
      </w:r>
    </w:p>
    <w:p>
      <w:pPr>
        <w:spacing w:after="0" w:line="206" w:lineRule="exact"/>
        <w:rPr>
          <w:rFonts w:ascii="Courier New" w:cs="Courier New" w:eastAsia="Courier New" w:hAnsi="Courier New"/>
          <w:sz w:val="18"/>
          <w:szCs w:val="18"/>
          <w:color w:val="auto"/>
        </w:rPr>
      </w:pPr>
    </w:p>
    <w:p>
      <w:pPr>
        <w:ind w:right="1779" w:firstLine="1377"/>
        <w:spacing w:after="0" w:line="237" w:lineRule="auto"/>
        <w:tabs>
          <w:tab w:leader="none" w:pos="1791"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Option shall be exercisable by written notice (in the form attached as Exhibit A) which shall state the election to exercise this Option, the number of Shares in respect of which this Option is being exercised, and such other representations and agreements as may reasonably be required by the Company. Such written notice shall be signed by Optionee and shall be delivered in person or by certified mail to the Secretary of the Company. The written notice shall be accompanied by payment of the aggregate Exercise Price for the number of Shares in respect of which the Option is being exercised. This Option shall be deemed to be exercised upon receipt by the Company of such written notice accompanied by the aggregate Exercise Price for the number of Shares in respect of which the Option is being exercised.</w:t>
      </w:r>
    </w:p>
    <w:p>
      <w:pPr>
        <w:spacing w:after="0" w:line="215" w:lineRule="exact"/>
        <w:rPr>
          <w:rFonts w:ascii="Courier New" w:cs="Courier New" w:eastAsia="Courier New" w:hAnsi="Courier New"/>
          <w:sz w:val="18"/>
          <w:szCs w:val="18"/>
          <w:color w:val="auto"/>
        </w:rPr>
      </w:pPr>
    </w:p>
    <w:p>
      <w:pPr>
        <w:ind w:right="1779" w:firstLine="1377"/>
        <w:spacing w:after="0" w:line="236" w:lineRule="auto"/>
        <w:tabs>
          <w:tab w:leader="none" w:pos="1791" w:val="left"/>
        </w:tabs>
        <w:numPr>
          <w:ilvl w:val="1"/>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 Shares will be issued pursuant to the exercise of an Option unless such issuance and such exercise shall comply with all relevant provisions of law and the requirements of</w:t>
      </w:r>
    </w:p>
    <w:p>
      <w:pPr>
        <w:sectPr>
          <w:pgSz w:w="11900" w:h="16838" w:orient="portrait"/>
          <w:cols w:equalWidth="0" w:num="1">
            <w:col w:w="10219"/>
          </w:cols>
          <w:pgMar w:left="240" w:top="717" w:right="1440" w:bottom="1440" w:gutter="0" w:footer="0" w:header="0"/>
        </w:sectPr>
      </w:pPr>
    </w:p>
    <w:bookmarkStart w:id="18" w:name="page19"/>
    <w:bookmarkEnd w:id="18"/>
    <w:p>
      <w:pPr>
        <w:ind w:right="2199"/>
        <w:spacing w:after="0" w:line="235" w:lineRule="auto"/>
        <w:rPr>
          <w:sz w:val="20"/>
          <w:szCs w:val="20"/>
          <w:color w:val="auto"/>
        </w:rPr>
      </w:pPr>
      <w:r>
        <w:rPr>
          <w:rFonts w:ascii="Courier New" w:cs="Courier New" w:eastAsia="Courier New" w:hAnsi="Courier New"/>
          <w:sz w:val="18"/>
          <w:szCs w:val="18"/>
          <w:color w:val="auto"/>
        </w:rPr>
        <w:t>any stock exchange or interdealer quotation system upon which the Shares may then be listed or traded.</w:t>
      </w:r>
    </w:p>
    <w:p>
      <w:pPr>
        <w:spacing w:after="0" w:line="208" w:lineRule="exact"/>
        <w:rPr>
          <w:sz w:val="20"/>
          <w:szCs w:val="20"/>
          <w:color w:val="auto"/>
        </w:rPr>
      </w:pPr>
    </w:p>
    <w:p>
      <w:pPr>
        <w:ind w:right="1779" w:firstLine="1167"/>
        <w:spacing w:after="0" w:line="236" w:lineRule="auto"/>
        <w:tabs>
          <w:tab w:leader="none" w:pos="158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If this Option is being exercised by the representative of the Optionee, the exercise notice shall be accompanied by proof (satisfactory to the Company) of the representative's right to exercise this Option.</w:t>
      </w:r>
    </w:p>
    <w:p>
      <w:pPr>
        <w:spacing w:after="0" w:line="203" w:lineRule="exact"/>
        <w:rPr>
          <w:rFonts w:ascii="Courier New" w:cs="Courier New" w:eastAsia="Courier New" w:hAnsi="Courier New"/>
          <w:sz w:val="18"/>
          <w:szCs w:val="18"/>
          <w:color w:val="auto"/>
        </w:rPr>
      </w:pPr>
    </w:p>
    <w:p>
      <w:pPr>
        <w:ind w:left="1160" w:hanging="309"/>
        <w:spacing w:after="0"/>
        <w:tabs>
          <w:tab w:leader="none" w:pos="116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Payment.</w:t>
      </w:r>
    </w:p>
    <w:p>
      <w:pPr>
        <w:spacing w:after="0" w:line="206" w:lineRule="exact"/>
        <w:rPr>
          <w:rFonts w:ascii="Courier New" w:cs="Courier New" w:eastAsia="Courier New" w:hAnsi="Courier New"/>
          <w:sz w:val="18"/>
          <w:szCs w:val="18"/>
          <w:color w:val="auto"/>
        </w:rPr>
      </w:pPr>
    </w:p>
    <w:p>
      <w:pPr>
        <w:ind w:right="1879" w:firstLine="1167"/>
        <w:spacing w:after="0" w:line="237" w:lineRule="auto"/>
        <w:tabs>
          <w:tab w:leader="none" w:pos="1580" w:val="left"/>
        </w:tabs>
        <w:numPr>
          <w:ilvl w:val="1"/>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Payment of the Exercise Price for the Shares as to which this Option is exercised, shall be by delivery of all or a portion of the SysKonnect Option, which shall be deemed to have an aggregate value equal to the aggregate Exercise Price of the Shares.</w:t>
      </w:r>
    </w:p>
    <w:p>
      <w:pPr>
        <w:spacing w:after="0" w:line="207" w:lineRule="exact"/>
        <w:rPr>
          <w:rFonts w:ascii="Courier New" w:cs="Courier New" w:eastAsia="Courier New" w:hAnsi="Courier New"/>
          <w:sz w:val="18"/>
          <w:szCs w:val="18"/>
          <w:color w:val="auto"/>
        </w:rPr>
      </w:pPr>
    </w:p>
    <w:p>
      <w:pPr>
        <w:ind w:right="1779" w:firstLine="1167"/>
        <w:spacing w:after="0" w:line="237" w:lineRule="auto"/>
        <w:tabs>
          <w:tab w:leader="none" w:pos="1580" w:val="left"/>
        </w:tabs>
        <w:numPr>
          <w:ilvl w:val="1"/>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Neither the Optionee nor the Optionee's representative shall have any rights as a shareholder with respect to any Shares subject to this Option until the Optionee or the Optionee's representative becomes entitled to receive such Shares by filing a notice of exercise and paying the aggregate Exercise Price pursuant to Section 2(ii) and Section 3(a).</w:t>
      </w:r>
    </w:p>
    <w:p>
      <w:pPr>
        <w:spacing w:after="0" w:line="208" w:lineRule="exact"/>
        <w:rPr>
          <w:rFonts w:ascii="Courier New" w:cs="Courier New" w:eastAsia="Courier New" w:hAnsi="Courier New"/>
          <w:sz w:val="18"/>
          <w:szCs w:val="18"/>
          <w:color w:val="auto"/>
        </w:rPr>
      </w:pPr>
    </w:p>
    <w:p>
      <w:pPr>
        <w:ind w:right="1779" w:firstLine="851"/>
        <w:spacing w:after="0" w:line="237" w:lineRule="auto"/>
        <w:tabs>
          <w:tab w:leader="none" w:pos="1159"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Restrictions on Exercise. This Option may not be exercised if the issuance of such Shares upon such exercise or the method of payment of consideration for such shares would constitute a violation of any applicable federal or state securities or other law or regulation, including any rule under Part 207 of Title 12 of the Code of Federal Regulations ("Regulation G") as promulgated by the Federal Reserve Board. As a condition to the exercise of this Option, the Company may require Optionee to make any representation and warranty to the Company as may be required by any applicable law or regulation. This Option may not be exercised prior to the effective date of a registration statement on Form S-8 filed by the Company with respect to the Shares subject to the Option.</w:t>
      </w:r>
    </w:p>
    <w:p>
      <w:pPr>
        <w:spacing w:after="0" w:line="215" w:lineRule="exact"/>
        <w:rPr>
          <w:rFonts w:ascii="Courier New" w:cs="Courier New" w:eastAsia="Courier New" w:hAnsi="Courier New"/>
          <w:sz w:val="18"/>
          <w:szCs w:val="18"/>
          <w:color w:val="auto"/>
        </w:rPr>
      </w:pPr>
    </w:p>
    <w:p>
      <w:pPr>
        <w:ind w:right="1779" w:firstLine="851"/>
        <w:spacing w:after="0" w:line="237" w:lineRule="auto"/>
        <w:tabs>
          <w:tab w:leader="none" w:pos="1159"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Termination of Relationship. In the event an Optionee's Service terminates, Optionee may, to the extent this Option was vested at the date of such termination (the "Termination Date"), exercise this Option at any time during the 30 day period immediately following the Termination Date. To the extent that Optionee was not vested in this Option at the date of such termination, or if Optionee does not exercise this Option within the time specified herein, this Option shall terminate. Notwithstanding the foregoing, in no event shall any Option be exercisable later than the Expiration Date.</w:t>
      </w:r>
    </w:p>
    <w:p>
      <w:pPr>
        <w:spacing w:after="0" w:line="212" w:lineRule="exact"/>
        <w:rPr>
          <w:rFonts w:ascii="Courier New" w:cs="Courier New" w:eastAsia="Courier New" w:hAnsi="Courier New"/>
          <w:sz w:val="18"/>
          <w:szCs w:val="18"/>
          <w:color w:val="auto"/>
        </w:rPr>
      </w:pPr>
    </w:p>
    <w:p>
      <w:pPr>
        <w:ind w:right="1779" w:firstLine="851"/>
        <w:spacing w:after="0" w:line="270" w:lineRule="auto"/>
        <w:tabs>
          <w:tab w:leader="none" w:pos="1159"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Disability of Optionee. Notwithstanding the provisions of Section 5 above, in the event of termination of an Optionee's Service as a result of his or her disability, Optionee may, but only within the 180 day period (or such other period of time in excess of 180 days as is determined by the Administrator in its absolute discretion) immediately following the date of such termination, exercise this Option to the extent this Option was vested at the date of such termination. To the extent that Optionee was not vested in this Option at the date of termination, or if Optionee does not exercise this Option within the time specified herein, this Option shall terminate, and the Shares covered by this Option shall revert to the Plan. Notwithstanding the foregoing, in no event shall any Option be exercisable later than the Expiration Date.</w:t>
      </w:r>
    </w:p>
    <w:p>
      <w:pPr>
        <w:spacing w:after="0" w:line="200" w:lineRule="exact"/>
        <w:rPr>
          <w:sz w:val="20"/>
          <w:szCs w:val="20"/>
          <w:color w:val="auto"/>
        </w:rPr>
      </w:pPr>
    </w:p>
    <w:p>
      <w:pPr>
        <w:spacing w:after="0" w:line="389"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723" w:right="1440" w:bottom="1440" w:gutter="0" w:footer="0" w:header="0"/>
        </w:sectPr>
      </w:pPr>
    </w:p>
    <w:bookmarkStart w:id="19" w:name="page20"/>
    <w:bookmarkEnd w:id="19"/>
    <w:p>
      <w:pPr>
        <w:ind w:left="-851" w:right="1779" w:firstLine="851"/>
        <w:spacing w:after="0" w:line="237" w:lineRule="auto"/>
        <w:tabs>
          <w:tab w:leader="none" w:pos="308"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Death of Optionee. Notwithstanding the provisions of Section 5 above, in the event of termination of Optionee's Service as a result of the death of Optionee, this Option may be exercised at any time within the 360 day period immediately following the date of death, by Optionee's estate or by a person who acquired the right to exercise this Option by bequest or inheritance, but only to the extent Optionee could exercise this Option at the date of death. Notwithstanding the foregoing, in no event shall any Option be exercisable later than the Expiration Date. To the extent that Optionee is not vested in this Option at the date of death, or if this Option is not exercised within the time specified herein, this Option shall terminate, and the Shares covered by such Option shall revert to the Plan.</w:t>
      </w:r>
    </w:p>
    <w:p>
      <w:pPr>
        <w:spacing w:after="0" w:line="215" w:lineRule="exact"/>
        <w:rPr>
          <w:rFonts w:ascii="Courier New" w:cs="Courier New" w:eastAsia="Courier New" w:hAnsi="Courier New"/>
          <w:sz w:val="18"/>
          <w:szCs w:val="18"/>
          <w:color w:val="auto"/>
        </w:rPr>
      </w:pPr>
    </w:p>
    <w:p>
      <w:pPr>
        <w:ind w:left="-851" w:right="1879" w:firstLine="851"/>
        <w:spacing w:after="0" w:line="237" w:lineRule="auto"/>
        <w:tabs>
          <w:tab w:leader="none" w:pos="308"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Non-Transferability of Option. This Option may not be transferred in any manner otherwise than by will or by the laws of descent or distribution and may be exercised during the lifetime of Optionee only by Optionee. The terms of this Option shall be binding upon the executors, administrators, heirs, successors and assigns of Optionee.</w:t>
      </w:r>
    </w:p>
    <w:p>
      <w:pPr>
        <w:spacing w:after="0" w:line="208" w:lineRule="exact"/>
        <w:rPr>
          <w:rFonts w:ascii="Courier New" w:cs="Courier New" w:eastAsia="Courier New" w:hAnsi="Courier New"/>
          <w:sz w:val="18"/>
          <w:szCs w:val="18"/>
          <w:color w:val="auto"/>
        </w:rPr>
      </w:pPr>
    </w:p>
    <w:p>
      <w:pPr>
        <w:ind w:left="-851" w:right="1779" w:firstLine="851"/>
        <w:spacing w:after="0" w:line="237" w:lineRule="auto"/>
        <w:tabs>
          <w:tab w:leader="none" w:pos="308"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Term of Option; Termination of SysKonnect Option. This Option may be exercised only within the term set out in the Notice of Grant, and may be exercised during such term only in accordance with the terms of this Option Agreement. All expiration periods set forth in this Agreement shall terminate at 5:00 p.m. California time on the date provided in this Agreement. Upon exercise or termination of this Option, the SysKonnect Option shall terminate and thereafter shall have no value.</w:t>
      </w:r>
    </w:p>
    <w:p>
      <w:pPr>
        <w:spacing w:after="0" w:line="211" w:lineRule="exact"/>
        <w:rPr>
          <w:rFonts w:ascii="Courier New" w:cs="Courier New" w:eastAsia="Courier New" w:hAnsi="Courier New"/>
          <w:sz w:val="18"/>
          <w:szCs w:val="18"/>
          <w:color w:val="auto"/>
        </w:rPr>
      </w:pPr>
    </w:p>
    <w:p>
      <w:pPr>
        <w:ind w:left="-851" w:right="1779" w:firstLine="851"/>
        <w:spacing w:after="0" w:line="270" w:lineRule="auto"/>
        <w:tabs>
          <w:tab w:leader="none" w:pos="413"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Tax Consequences. Optionee acknowledges that he or she has read the description of tax consequences in the 10(a) Prospectus and has consulted his or her personal tax advisor regarding the same to the extent he or she has determined advisable. Optionee is not relying on the Company, or any of its officers, directors, employees or advisors, for any tax advice or planning information whatsoever. Set forth below is a brief summary as of the date of this Option of some of the German and U.S. Federal tax consequences of exercise of this Option and disposition of the Shares. THIS SUMMARY IS NECESSARILY INCOMPLETE (FOR EXAMPLE, IT DOES NOT INCLUDE STATE INCOME TAXES), AND THE TAX LAWS AND REGULATIONS ARE SUBJECT TO CHANGE. OPTIONEE SHOULD CONSULT A TAX ADVISER BEFORE EXERCISING THIS OPTION OR DISPOSING OF THE SHARES.</w:t>
      </w:r>
    </w:p>
    <w:p>
      <w:pPr>
        <w:spacing w:after="0" w:line="386" w:lineRule="exact"/>
        <w:rPr>
          <w:sz w:val="20"/>
          <w:szCs w:val="20"/>
          <w:color w:val="auto"/>
        </w:rPr>
      </w:pPr>
    </w:p>
    <w:p>
      <w:pPr>
        <w:ind w:left="9"/>
        <w:spacing w:after="0"/>
        <w:rPr>
          <w:sz w:val="20"/>
          <w:szCs w:val="20"/>
          <w:color w:val="auto"/>
        </w:rPr>
      </w:pPr>
      <w:r>
        <w:rPr>
          <w:rFonts w:ascii="Courier New" w:cs="Courier New" w:eastAsia="Courier New" w:hAnsi="Courier New"/>
          <w:sz w:val="18"/>
          <w:szCs w:val="18"/>
          <w:color w:val="auto"/>
        </w:rPr>
        <w:t>For U.S. taxpayers:</w:t>
      </w:r>
    </w:p>
    <w:p>
      <w:pPr>
        <w:spacing w:after="0" w:line="207" w:lineRule="exact"/>
        <w:rPr>
          <w:sz w:val="20"/>
          <w:szCs w:val="20"/>
          <w:color w:val="auto"/>
        </w:rPr>
      </w:pPr>
    </w:p>
    <w:p>
      <w:pPr>
        <w:ind w:left="-851" w:right="1779" w:firstLine="1167"/>
        <w:spacing w:after="0" w:line="237" w:lineRule="auto"/>
        <w:tabs>
          <w:tab w:leader="none" w:pos="729"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 of Option. The U.S. Internal Revenue Service may treat the grant of the Option as a grant of the underlying Shares as a result of the discounted exercise price. Accordingly, the Optionee will likely be subject to U.S. Federal income tax when the Option and Shares vest, whether or not the Optionee exercises the Option. The Optionee will be treated as having received compensation income (taxable at ordinary income tax rates) equal to the Fair Market Value of the Shares (minus the Exercise Price) on the respective vesting dates. If Optionee is an employee or a former employee, the Company will be required to withhold from Optionee's compensation or collect from Optionee and pay to the applicable taxing authorities an amount in cash equal to a percentage of this compensation income at the time of vesting.</w:t>
      </w:r>
    </w:p>
    <w:p>
      <w:pPr>
        <w:spacing w:after="0" w:line="200" w:lineRule="exact"/>
        <w:rPr>
          <w:sz w:val="20"/>
          <w:szCs w:val="20"/>
          <w:color w:val="auto"/>
        </w:rPr>
      </w:pPr>
    </w:p>
    <w:p>
      <w:pPr>
        <w:spacing w:after="0" w:line="213" w:lineRule="exact"/>
        <w:rPr>
          <w:sz w:val="20"/>
          <w:szCs w:val="20"/>
          <w:color w:val="auto"/>
        </w:rPr>
      </w:pPr>
    </w:p>
    <w:p>
      <w:pPr>
        <w:ind w:left="3169"/>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9368"/>
          </w:cols>
          <w:pgMar w:left="1091" w:top="723" w:right="1440" w:bottom="1440" w:gutter="0" w:footer="0" w:header="0"/>
        </w:sectPr>
      </w:pPr>
    </w:p>
    <w:bookmarkStart w:id="20" w:name="page21"/>
    <w:bookmarkEnd w:id="20"/>
    <w:p>
      <w:pPr>
        <w:ind w:right="1879" w:firstLine="1159"/>
        <w:spacing w:after="0" w:line="237" w:lineRule="auto"/>
        <w:rPr>
          <w:sz w:val="20"/>
          <w:szCs w:val="20"/>
          <w:color w:val="auto"/>
        </w:rPr>
      </w:pPr>
      <w:r>
        <w:rPr>
          <w:rFonts w:ascii="Courier New" w:cs="Courier New" w:eastAsia="Courier New" w:hAnsi="Courier New"/>
          <w:sz w:val="18"/>
          <w:szCs w:val="18"/>
          <w:color w:val="auto"/>
        </w:rPr>
        <w:t>If the Optionee files an election under Section 83(b) of the Code within 30 days following the date of grant of the Option, the Optionee will be treated as having received compensation income on the date of Option grant, in an amount equal to the Fair Market Value of the Shares (minus the Exercise Price) on the date of grant. However, if the Optionee forfeits the Option upon termination of service, the Optionee would not be entitled to an offsetting deduction for the income recognized pursuant to the Section 83(b) election. The Optionee should consult with a tax advisor before making a Section 83(b) election.</w:t>
      </w:r>
    </w:p>
    <w:p>
      <w:pPr>
        <w:spacing w:after="0" w:line="214" w:lineRule="exact"/>
        <w:rPr>
          <w:sz w:val="20"/>
          <w:szCs w:val="20"/>
          <w:color w:val="auto"/>
        </w:rPr>
      </w:pPr>
    </w:p>
    <w:p>
      <w:pPr>
        <w:ind w:right="1879" w:firstLine="1167"/>
        <w:spacing w:after="0" w:line="237" w:lineRule="auto"/>
        <w:tabs>
          <w:tab w:leader="none" w:pos="1685"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Disposition of Shares. If Shares are held for at least one year from the date on which they were included in the Optionee's income for Federal income tax purposes (that is, the date of vesting or, if a Section 83(b) election was made, the date of Option grant), any gain realized on disposition of the Shares will be treated as long-term capital gain for Federal income tax purposes.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For German taxpayers:</w:t>
      </w:r>
    </w:p>
    <w:p>
      <w:pPr>
        <w:spacing w:after="0" w:line="207"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The following information is of a general nature only. It is not designed to provide individual tax advice and should not be relied upon by individuals for purposes of their own tax planning or compliance. It is recommended that individuals seek their own tax advice from tax consultants or other specialists on the tax consequences of this stock option plan.</w:t>
      </w:r>
    </w:p>
    <w:p>
      <w:pPr>
        <w:spacing w:after="0" w:line="209" w:lineRule="exact"/>
        <w:rPr>
          <w:sz w:val="20"/>
          <w:szCs w:val="20"/>
          <w:color w:val="auto"/>
        </w:rPr>
      </w:pPr>
    </w:p>
    <w:p>
      <w:pPr>
        <w:jc w:val="both"/>
        <w:ind w:right="1779" w:firstLine="1167"/>
        <w:spacing w:after="0" w:line="237" w:lineRule="auto"/>
        <w:tabs>
          <w:tab w:leader="none" w:pos="158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Grant of Option. The grant of an option under the Agreement does not give rise to tax consequences for the employee as long as the option is not marketable. Generally, an option will be considered non-marketable if it may not be transferred or sold by the employee.</w:t>
      </w:r>
    </w:p>
    <w:p>
      <w:pPr>
        <w:spacing w:after="0" w:line="207" w:lineRule="exact"/>
        <w:rPr>
          <w:rFonts w:ascii="Courier New" w:cs="Courier New" w:eastAsia="Courier New" w:hAnsi="Courier New"/>
          <w:sz w:val="18"/>
          <w:szCs w:val="18"/>
          <w:color w:val="auto"/>
        </w:rPr>
      </w:pPr>
    </w:p>
    <w:p>
      <w:pPr>
        <w:ind w:right="1879" w:firstLine="1167"/>
        <w:spacing w:after="0" w:line="237" w:lineRule="auto"/>
        <w:tabs>
          <w:tab w:leader="none" w:pos="1685"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Exercise of Option. The exercise of an option under the Agreement gives rise to taxable income equal to the difference between the fair market value of the shares on the date the option is exercised and the exercise price paid by the employee (the "spread"). The spread is included as ordinary income and taxable at the employee's marginal tax rate.</w:t>
      </w:r>
    </w:p>
    <w:p>
      <w:pPr>
        <w:spacing w:after="0" w:line="209" w:lineRule="exact"/>
        <w:rPr>
          <w:sz w:val="20"/>
          <w:szCs w:val="20"/>
          <w:color w:val="auto"/>
        </w:rPr>
      </w:pPr>
    </w:p>
    <w:p>
      <w:pPr>
        <w:ind w:right="1779" w:firstLine="1159"/>
        <w:spacing w:after="0" w:line="270" w:lineRule="auto"/>
        <w:rPr>
          <w:sz w:val="20"/>
          <w:szCs w:val="20"/>
          <w:color w:val="auto"/>
        </w:rPr>
      </w:pPr>
      <w:r>
        <w:rPr>
          <w:rFonts w:ascii="Courier New" w:cs="Courier New" w:eastAsia="Courier New" w:hAnsi="Courier New"/>
          <w:sz w:val="16"/>
          <w:szCs w:val="16"/>
          <w:color w:val="auto"/>
        </w:rPr>
        <w:t>The applicable tax rates in Germany vary depending on a number of factors, making it difficult to give a general rule. As an example, however, the maximum income tax rate for 2002 is 48.5% (for 2003, the maximum rate will be 47%). In addition, there will be a church tax for members of the Catholic church and certain Protestant churches levied at a rate of 8% or 9% on the employee's tax liability of up to 48.5% income tax (e.g., if the employee is subject to tax at a rate of 40% on E1,000, he or she will be subject to church tax on his or her income tax liability of E400). Also, there is a solidarity surcharge, which is levied at a rate of 5.5% on the employee's tax liability of up to 48.5% income tax. As a result, there is a 48.5% maximum income tax rate, plus a maximum 4.37% church tax, plus a maximum 2.67% solidarity surcharge resulting in a maximum overall tax on income of 55.54%. Under current law, the individual income tax rate will be reduced to a maximum rate of 42% by 2005.</w:t>
      </w:r>
    </w:p>
    <w:p>
      <w:pPr>
        <w:spacing w:after="0" w:line="389" w:lineRule="exact"/>
        <w:rPr>
          <w:sz w:val="20"/>
          <w:szCs w:val="20"/>
          <w:color w:val="auto"/>
        </w:rPr>
      </w:pPr>
    </w:p>
    <w:p>
      <w:pPr>
        <w:ind w:right="1999" w:firstLine="1159"/>
        <w:spacing w:after="0" w:line="237" w:lineRule="auto"/>
        <w:rPr>
          <w:sz w:val="20"/>
          <w:szCs w:val="20"/>
          <w:color w:val="auto"/>
        </w:rPr>
      </w:pPr>
      <w:r>
        <w:rPr>
          <w:rFonts w:ascii="Courier New" w:cs="Courier New" w:eastAsia="Courier New" w:hAnsi="Courier New"/>
          <w:sz w:val="18"/>
          <w:szCs w:val="18"/>
          <w:color w:val="auto"/>
        </w:rPr>
        <w:t>Under German law, there are no tax benefits if an employee uses shares owned for twelve months or longer to pay the exercise price for an option. Specifically, the gain on shares used to satisfy the exercise price is subject to capital gains tax as described in Section (iii) below.</w:t>
      </w:r>
    </w:p>
    <w:p>
      <w:pPr>
        <w:spacing w:after="0" w:line="200" w:lineRule="exact"/>
        <w:rPr>
          <w:sz w:val="20"/>
          <w:szCs w:val="20"/>
          <w:color w:val="auto"/>
        </w:rPr>
      </w:pPr>
    </w:p>
    <w:p>
      <w:pPr>
        <w:spacing w:after="0" w:line="204"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723" w:right="1440" w:bottom="1440" w:gutter="0" w:footer="0" w:header="0"/>
        </w:sectPr>
      </w:pPr>
    </w:p>
    <w:bookmarkStart w:id="21" w:name="page22"/>
    <w:bookmarkEnd w:id="21"/>
    <w:p>
      <w:pPr>
        <w:ind w:right="2099" w:firstLine="113"/>
        <w:spacing w:after="0" w:line="268" w:lineRule="auto"/>
        <w:tabs>
          <w:tab w:leader="none" w:pos="737" w:val="left"/>
        </w:tabs>
        <w:numPr>
          <w:ilvl w:val="1"/>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 of Shares. The disposal of shares does not give rise to taxable gains provided: (i) the employee has held the shares for more than 12 months;</w:t>
      </w:r>
    </w:p>
    <w:p>
      <w:pPr>
        <w:ind w:right="1879" w:firstLine="8"/>
        <w:spacing w:after="0" w:line="271" w:lineRule="auto"/>
        <w:tabs>
          <w:tab w:leader="none" w:pos="527"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employee has not, at any time during the last five years, held 1% or more of the stated capital of a company and (iii) the shares are not held as a business asset. Consequently, the employee normally will be subject to tax only on the spread at the time of exercise. If the employee is subject to capital gains tax (because he or she sells the shares within 12 months of their acquisition), the employee will pay taxes only on 50% of any gain realized upon the sale. Furthermore, the employee will be subject to tax only if his or her total capital gains exceed E512 (US$450 as of 04/02) in the relevant tax year. The employee will be taxed on the gain at his or her marginal income tax rate.</w:t>
      </w:r>
    </w:p>
    <w:p>
      <w:pPr>
        <w:spacing w:after="0" w:line="183" w:lineRule="exact"/>
        <w:rPr>
          <w:rFonts w:ascii="Courier New" w:cs="Courier New" w:eastAsia="Courier New" w:hAnsi="Courier New"/>
          <w:sz w:val="16"/>
          <w:szCs w:val="16"/>
          <w:color w:val="auto"/>
        </w:rPr>
      </w:pPr>
    </w:p>
    <w:p>
      <w:pPr>
        <w:jc w:val="both"/>
        <w:ind w:right="1879" w:firstLine="1167"/>
        <w:spacing w:after="0" w:line="237" w:lineRule="auto"/>
        <w:tabs>
          <w:tab w:leader="none" w:pos="1685" w:val="left"/>
        </w:tabs>
        <w:numPr>
          <w:ilvl w:val="2"/>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Dividends. Dividends are subject to income tax in Germany and must be declared by the employee on his or her annual tax return. Only 50% of the value of the dividend distributed is subject to tax. Consequently, only 50% of the U.S. federal income tax withheld at the source is deductible.</w:t>
      </w:r>
    </w:p>
    <w:p>
      <w:pPr>
        <w:spacing w:after="0" w:line="207" w:lineRule="exact"/>
        <w:rPr>
          <w:rFonts w:ascii="Courier New" w:cs="Courier New" w:eastAsia="Courier New" w:hAnsi="Courier New"/>
          <w:sz w:val="18"/>
          <w:szCs w:val="18"/>
          <w:color w:val="auto"/>
        </w:rPr>
      </w:pPr>
    </w:p>
    <w:p>
      <w:pPr>
        <w:ind w:right="1999" w:firstLine="1167"/>
        <w:spacing w:after="0" w:line="235" w:lineRule="auto"/>
        <w:tabs>
          <w:tab w:leader="none" w:pos="1580" w:val="left"/>
        </w:tabs>
        <w:numPr>
          <w:ilvl w:val="2"/>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Dividend Reinvestment. Automatic reinvestment of dividends paid on the shares will not raise any additional legal issues.</w:t>
      </w:r>
    </w:p>
    <w:p>
      <w:pPr>
        <w:spacing w:after="0" w:line="208" w:lineRule="exact"/>
        <w:rPr>
          <w:rFonts w:ascii="Courier New" w:cs="Courier New" w:eastAsia="Courier New" w:hAnsi="Courier New"/>
          <w:sz w:val="18"/>
          <w:szCs w:val="18"/>
          <w:color w:val="auto"/>
        </w:rPr>
      </w:pPr>
    </w:p>
    <w:p>
      <w:pPr>
        <w:ind w:right="2199" w:firstLine="1167"/>
        <w:spacing w:after="0" w:line="235" w:lineRule="auto"/>
        <w:tabs>
          <w:tab w:leader="none" w:pos="1685" w:val="left"/>
        </w:tabs>
        <w:numPr>
          <w:ilvl w:val="2"/>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Tax Favored Regime. There are no special tax regimes whereby employees obtain more favorable tax treatment.</w:t>
      </w:r>
    </w:p>
    <w:p>
      <w:pPr>
        <w:spacing w:after="0" w:line="208" w:lineRule="exact"/>
        <w:rPr>
          <w:rFonts w:ascii="Courier New" w:cs="Courier New" w:eastAsia="Courier New" w:hAnsi="Courier New"/>
          <w:sz w:val="18"/>
          <w:szCs w:val="18"/>
          <w:color w:val="auto"/>
        </w:rPr>
      </w:pPr>
    </w:p>
    <w:p>
      <w:pPr>
        <w:ind w:right="1779" w:firstLine="1167"/>
        <w:spacing w:after="0" w:line="237" w:lineRule="auto"/>
        <w:tabs>
          <w:tab w:leader="none" w:pos="1791" w:val="left"/>
        </w:tabs>
        <w:numPr>
          <w:ilvl w:val="2"/>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Foreign Nationals. The tax treatment described above applies to all employees who are German tax residents. Citizenship is not a distinguishing factor. Generally, an individual becomes a German tax resident if he or she resides in or has a habitual abode in Germany.</w:t>
      </w:r>
    </w:p>
    <w:p>
      <w:pPr>
        <w:spacing w:after="0" w:line="207" w:lineRule="exact"/>
        <w:rPr>
          <w:rFonts w:ascii="Courier New" w:cs="Courier New" w:eastAsia="Courier New" w:hAnsi="Courier New"/>
          <w:sz w:val="18"/>
          <w:szCs w:val="18"/>
          <w:color w:val="auto"/>
        </w:rPr>
      </w:pPr>
    </w:p>
    <w:p>
      <w:pPr>
        <w:ind w:right="1879" w:firstLine="1167"/>
        <w:spacing w:after="0" w:line="236" w:lineRule="auto"/>
        <w:tabs>
          <w:tab w:leader="none" w:pos="1896" w:val="left"/>
        </w:tabs>
        <w:numPr>
          <w:ilvl w:val="2"/>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Employee Transfer. The discussion below is general in nature. The tax treatment of an employee transferring into or out of Germany depends upon the particular employee's circumstances.</w:t>
      </w:r>
    </w:p>
    <w:p>
      <w:pPr>
        <w:spacing w:after="0" w:line="209" w:lineRule="exact"/>
        <w:rPr>
          <w:sz w:val="20"/>
          <w:szCs w:val="20"/>
          <w:color w:val="auto"/>
        </w:rPr>
      </w:pPr>
    </w:p>
    <w:p>
      <w:pPr>
        <w:ind w:right="1779" w:firstLine="1159"/>
        <w:spacing w:after="0" w:line="237" w:lineRule="auto"/>
        <w:rPr>
          <w:sz w:val="20"/>
          <w:szCs w:val="20"/>
          <w:color w:val="auto"/>
        </w:rPr>
      </w:pPr>
      <w:r>
        <w:rPr>
          <w:rFonts w:ascii="Courier New" w:cs="Courier New" w:eastAsia="Courier New" w:hAnsi="Courier New"/>
          <w:sz w:val="18"/>
          <w:szCs w:val="18"/>
          <w:color w:val="auto"/>
        </w:rPr>
        <w:t>Employees transferring out of or into Germany are taxed in Germany if they are German tax residents at the time of the taxable event (i.e., when the option is exercised). If that is the case, a prorated amount of the benefit is subject to withholding tax in Germany even if the employee becomes a nonresident. The prorated amount reflects the time the employee has spent in Germany after the option has been granted to him or her.</w:t>
      </w:r>
    </w:p>
    <w:p>
      <w:pPr>
        <w:spacing w:after="0" w:line="210" w:lineRule="exact"/>
        <w:rPr>
          <w:sz w:val="20"/>
          <w:szCs w:val="20"/>
          <w:color w:val="auto"/>
        </w:rPr>
      </w:pPr>
    </w:p>
    <w:p>
      <w:pPr>
        <w:ind w:right="1779" w:firstLine="851"/>
        <w:spacing w:after="0" w:line="238" w:lineRule="auto"/>
        <w:tabs>
          <w:tab w:leader="none" w:pos="1264"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Tax Withholding; Company Loan. If the Company determines that it is required to withhold any tax as a result of the exercise of this Option, the Optionee, as a condition to the exercise of this Option, shall make arrangements satisfactory to the Company to enable it to satisfy all withholding requirements. The Optionee shall also make arrangements satisfactory to the Company to enable it to timely satisfy any withholding requirements that may arise in connection with the vesting or disposition of Shares subject to this Option. If the grant of the Option results in an income tax liability to the Optionee prior to the exercise of the Option, the Company will arrange to loan the Optionee the amount of the Optionee's incremental tax liability resulting from the recognition of such income no later than the date such amount is required to be withheld or paid. The loan will become due on the earliest of (i) the exercise, termination or expiration of the Option</w:t>
      </w:r>
    </w:p>
    <w:p>
      <w:pPr>
        <w:spacing w:after="0" w:line="200" w:lineRule="exact"/>
        <w:rPr>
          <w:sz w:val="20"/>
          <w:szCs w:val="20"/>
          <w:color w:val="auto"/>
        </w:rPr>
      </w:pPr>
    </w:p>
    <w:p>
      <w:pPr>
        <w:spacing w:after="0" w:line="204"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520" w:right="1440" w:bottom="1440" w:gutter="0" w:footer="0" w:header="0"/>
        </w:sectPr>
      </w:pPr>
    </w:p>
    <w:bookmarkStart w:id="22" w:name="page23"/>
    <w:bookmarkEnd w:id="22"/>
    <w:p>
      <w:pPr>
        <w:spacing w:after="0"/>
        <w:rPr>
          <w:sz w:val="20"/>
          <w:szCs w:val="20"/>
          <w:color w:val="auto"/>
        </w:rPr>
      </w:pPr>
      <w:r>
        <w:rPr>
          <w:rFonts w:ascii="Courier New" w:cs="Courier New" w:eastAsia="Courier New" w:hAnsi="Courier New"/>
          <w:sz w:val="16"/>
          <w:szCs w:val="16"/>
          <w:color w:val="auto"/>
        </w:rPr>
        <w:t>for which the loan was made, (ii) the termination of the Optionee's Service, and</w:t>
      </w:r>
    </w:p>
    <w:p>
      <w:pPr>
        <w:spacing w:after="0" w:line="21" w:lineRule="exact"/>
        <w:rPr>
          <w:sz w:val="20"/>
          <w:szCs w:val="20"/>
          <w:color w:val="auto"/>
        </w:rPr>
      </w:pPr>
    </w:p>
    <w:p>
      <w:pPr>
        <w:ind w:right="1879" w:firstLine="8"/>
        <w:spacing w:after="0" w:line="237" w:lineRule="auto"/>
        <w:tabs>
          <w:tab w:leader="none" w:pos="632"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sale or other disposition of the acquired Shares. The loan will be secured solely by the Option and acquired Shares, and will bear interest at the lowest rate necessary to avoid the imputation of income to the Optionee for tax purposes.</w:t>
      </w:r>
    </w:p>
    <w:p>
      <w:pPr>
        <w:spacing w:after="0" w:line="202" w:lineRule="exact"/>
        <w:rPr>
          <w:sz w:val="20"/>
          <w:szCs w:val="20"/>
          <w:color w:val="auto"/>
        </w:rPr>
      </w:pPr>
    </w:p>
    <w:p>
      <w:pPr>
        <w:ind w:left="1380" w:hanging="529"/>
        <w:spacing w:after="0"/>
        <w:tabs>
          <w:tab w:leader="none" w:pos="1380"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Administration.</w:t>
      </w:r>
    </w:p>
    <w:p>
      <w:pPr>
        <w:spacing w:after="0" w:line="207" w:lineRule="exact"/>
        <w:rPr>
          <w:sz w:val="20"/>
          <w:szCs w:val="20"/>
          <w:color w:val="auto"/>
        </w:rPr>
      </w:pPr>
    </w:p>
    <w:p>
      <w:pPr>
        <w:ind w:right="1779" w:firstLine="851"/>
        <w:spacing w:after="0" w:line="237" w:lineRule="auto"/>
        <w:tabs>
          <w:tab w:leader="none" w:pos="1264"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General. This Agreement shall be administered by the Board of Directors of the Company (the "BOARD") or a Committee appointed by the Board (the "ADMINISTRATOR").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211" w:lineRule="exact"/>
        <w:rPr>
          <w:rFonts w:ascii="Courier New" w:cs="Courier New" w:eastAsia="Courier New" w:hAnsi="Courier New"/>
          <w:sz w:val="18"/>
          <w:szCs w:val="18"/>
          <w:color w:val="auto"/>
        </w:rPr>
      </w:pPr>
    </w:p>
    <w:p>
      <w:pPr>
        <w:ind w:right="1999" w:firstLine="851"/>
        <w:spacing w:after="0" w:line="279" w:lineRule="auto"/>
        <w:tabs>
          <w:tab w:leader="none" w:pos="1369"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Powers of the Administrator. Subject to the provisions of this Option Agreement and in the case of a Committee, the specific duties delegated by the Board, the Administrator shall have the authority, in its discretion:</w:t>
      </w:r>
    </w:p>
    <w:p>
      <w:pPr>
        <w:spacing w:after="0" w:line="178" w:lineRule="exact"/>
        <w:rPr>
          <w:rFonts w:ascii="Courier New" w:cs="Courier New" w:eastAsia="Courier New" w:hAnsi="Courier New"/>
          <w:sz w:val="16"/>
          <w:szCs w:val="16"/>
          <w:color w:val="auto"/>
        </w:rPr>
      </w:pPr>
    </w:p>
    <w:p>
      <w:pPr>
        <w:ind w:left="860" w:right="1999" w:firstLine="517"/>
        <w:spacing w:after="0" w:line="235" w:lineRule="auto"/>
        <w:tabs>
          <w:tab w:leader="none" w:pos="1808"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determine the fair market value of the Common Stock ("FAIR MARKET VALUE");</w:t>
      </w:r>
    </w:p>
    <w:p>
      <w:pPr>
        <w:spacing w:after="0" w:line="208" w:lineRule="exact"/>
        <w:rPr>
          <w:rFonts w:ascii="Courier New" w:cs="Courier New" w:eastAsia="Courier New" w:hAnsi="Courier New"/>
          <w:sz w:val="18"/>
          <w:szCs w:val="18"/>
          <w:color w:val="auto"/>
        </w:rPr>
      </w:pPr>
    </w:p>
    <w:p>
      <w:pPr>
        <w:ind w:left="860" w:right="1999" w:firstLine="517"/>
        <w:spacing w:after="0" w:line="235" w:lineRule="auto"/>
        <w:tabs>
          <w:tab w:leader="none" w:pos="1808"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determine whether and under what circumstances to offer to buy out an Option for cash or Shares under Section 13;</w:t>
      </w:r>
    </w:p>
    <w:p>
      <w:pPr>
        <w:spacing w:after="0" w:line="208" w:lineRule="exact"/>
        <w:rPr>
          <w:rFonts w:ascii="Courier New" w:cs="Courier New" w:eastAsia="Courier New" w:hAnsi="Courier New"/>
          <w:sz w:val="18"/>
          <w:szCs w:val="18"/>
          <w:color w:val="auto"/>
        </w:rPr>
      </w:pPr>
    </w:p>
    <w:p>
      <w:pPr>
        <w:ind w:left="1800" w:hanging="423"/>
        <w:spacing w:after="0"/>
        <w:tabs>
          <w:tab w:leader="none" w:pos="1800" w:val="left"/>
        </w:tabs>
        <w:numPr>
          <w:ilvl w:val="1"/>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approve forms of exercise for use under this Agreement; and</w:t>
      </w:r>
    </w:p>
    <w:p>
      <w:pPr>
        <w:spacing w:after="0" w:line="218" w:lineRule="exact"/>
        <w:rPr>
          <w:rFonts w:ascii="Courier New" w:cs="Courier New" w:eastAsia="Courier New" w:hAnsi="Courier New"/>
          <w:sz w:val="16"/>
          <w:szCs w:val="16"/>
          <w:color w:val="auto"/>
        </w:rPr>
      </w:pPr>
    </w:p>
    <w:p>
      <w:pPr>
        <w:ind w:left="1800" w:hanging="423"/>
        <w:spacing w:after="0"/>
        <w:tabs>
          <w:tab w:leader="none" w:pos="1800" w:val="left"/>
        </w:tabs>
        <w:numPr>
          <w:ilvl w:val="1"/>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construe and interpret the terms of this Agreement.</w:t>
      </w:r>
    </w:p>
    <w:p>
      <w:pPr>
        <w:spacing w:after="0" w:line="206" w:lineRule="exact"/>
        <w:rPr>
          <w:rFonts w:ascii="Courier New" w:cs="Courier New" w:eastAsia="Courier New" w:hAnsi="Courier New"/>
          <w:sz w:val="18"/>
          <w:szCs w:val="18"/>
          <w:color w:val="auto"/>
        </w:rPr>
      </w:pPr>
    </w:p>
    <w:p>
      <w:pPr>
        <w:ind w:right="1879" w:firstLine="851"/>
        <w:spacing w:after="0" w:line="237" w:lineRule="auto"/>
        <w:tabs>
          <w:tab w:leader="none" w:pos="1475"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Administrator's Decisions Binding. All decisions, determinations, and interpretations of the Administrator shall be final and binding on all Optionees and any other holders of any Options, and no member of the Administrator shall be liable for any such determination, decision, or interpretation made in good faith.</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13. Changes in Capitalization or Control; Buy Out Offers.</w:t>
      </w:r>
    </w:p>
    <w:p>
      <w:pPr>
        <w:spacing w:after="0" w:line="207" w:lineRule="exact"/>
        <w:rPr>
          <w:sz w:val="20"/>
          <w:szCs w:val="20"/>
          <w:color w:val="auto"/>
        </w:rPr>
      </w:pPr>
    </w:p>
    <w:p>
      <w:pPr>
        <w:ind w:right="1779" w:firstLine="851"/>
        <w:spacing w:after="0" w:line="270" w:lineRule="auto"/>
        <w:tabs>
          <w:tab w:leader="none" w:pos="1264"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Capitalization. Subject to any required action by the shareholders of the Company, the number of Shares and the Exercise Price may be proportionately adjusted for any change in the number of issued shares of Common Stock of the Company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of Shares or the Exercise Price of Shares under this Agreement.</w:t>
      </w:r>
    </w:p>
    <w:p>
      <w:pPr>
        <w:spacing w:after="0" w:line="382"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722" w:right="1440" w:bottom="1440" w:gutter="0" w:footer="0" w:header="0"/>
        </w:sectPr>
      </w:pPr>
    </w:p>
    <w:bookmarkStart w:id="23" w:name="page24"/>
    <w:bookmarkEnd w:id="23"/>
    <w:p>
      <w:pPr>
        <w:ind w:right="1779" w:firstLine="851"/>
        <w:spacing w:after="0" w:line="237" w:lineRule="auto"/>
        <w:tabs>
          <w:tab w:leader="none" w:pos="1369"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Change in Control. The Administrator may, in its discretion, determine at any time the effect that a Change in Control (as defined below) shall have upon the Option; provided however, that a Change in Control shall not have the effect of impairing the rights of any Optionee under this Agreement without his or her prior written consent. Without limiting the foregoing sentence, the Administrator may determine that upon a Change in Control, the Option:</w:t>
      </w:r>
    </w:p>
    <w:p>
      <w:pPr>
        <w:spacing w:after="0" w:line="211" w:lineRule="exact"/>
        <w:rPr>
          <w:rFonts w:ascii="Courier New" w:cs="Courier New" w:eastAsia="Courier New" w:hAnsi="Courier New"/>
          <w:sz w:val="18"/>
          <w:szCs w:val="18"/>
          <w:color w:val="auto"/>
        </w:rPr>
      </w:pPr>
    </w:p>
    <w:p>
      <w:pPr>
        <w:ind w:left="860" w:right="1879" w:firstLine="517"/>
        <w:spacing w:after="0" w:line="236" w:lineRule="auto"/>
        <w:tabs>
          <w:tab w:leader="none" w:pos="1808" w:val="left"/>
        </w:tabs>
        <w:numPr>
          <w:ilvl w:val="1"/>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shall become fully vested and exercisable either for a limited period following the Change in Control or for the remainder of the Option's term;</w:t>
      </w:r>
    </w:p>
    <w:p>
      <w:pPr>
        <w:spacing w:after="0" w:line="208" w:lineRule="exact"/>
        <w:rPr>
          <w:rFonts w:ascii="Courier New" w:cs="Courier New" w:eastAsia="Courier New" w:hAnsi="Courier New"/>
          <w:sz w:val="18"/>
          <w:szCs w:val="18"/>
          <w:color w:val="auto"/>
        </w:rPr>
      </w:pPr>
    </w:p>
    <w:p>
      <w:pPr>
        <w:ind w:left="860" w:right="1879" w:firstLine="517"/>
        <w:spacing w:after="0" w:line="235" w:lineRule="auto"/>
        <w:tabs>
          <w:tab w:leader="none" w:pos="1808" w:val="left"/>
        </w:tabs>
        <w:numPr>
          <w:ilvl w:val="1"/>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shall terminate upon or after a specified period following the Change in Control;</w:t>
      </w:r>
    </w:p>
    <w:p>
      <w:pPr>
        <w:spacing w:after="0" w:line="208" w:lineRule="exact"/>
        <w:rPr>
          <w:rFonts w:ascii="Courier New" w:cs="Courier New" w:eastAsia="Courier New" w:hAnsi="Courier New"/>
          <w:sz w:val="18"/>
          <w:szCs w:val="18"/>
          <w:color w:val="auto"/>
        </w:rPr>
      </w:pPr>
    </w:p>
    <w:p>
      <w:pPr>
        <w:jc w:val="both"/>
        <w:ind w:left="860" w:right="2099" w:firstLine="517"/>
        <w:spacing w:after="0" w:line="236" w:lineRule="auto"/>
        <w:tabs>
          <w:tab w:leader="none" w:pos="1808" w:val="left"/>
        </w:tabs>
        <w:numPr>
          <w:ilvl w:val="1"/>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shall be cancelled in exchange for cash in the amount of the excess of the Fair Market Value of the Shares over the Exercise Price upon termination; or</w:t>
      </w:r>
    </w:p>
    <w:p>
      <w:pPr>
        <w:spacing w:after="0" w:line="208" w:lineRule="exact"/>
        <w:rPr>
          <w:rFonts w:ascii="Courier New" w:cs="Courier New" w:eastAsia="Courier New" w:hAnsi="Courier New"/>
          <w:sz w:val="18"/>
          <w:szCs w:val="18"/>
          <w:color w:val="auto"/>
        </w:rPr>
      </w:pPr>
    </w:p>
    <w:p>
      <w:pPr>
        <w:ind w:left="860" w:right="1779" w:firstLine="517"/>
        <w:spacing w:after="0" w:line="237" w:lineRule="auto"/>
        <w:tabs>
          <w:tab w:leader="none" w:pos="1808" w:val="left"/>
        </w:tabs>
        <w:numPr>
          <w:ilvl w:val="1"/>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shall be treated as provided under a combination of clauses (a) through (c), or shall be so treated only if not adequately assumed (or substituted for) by a surviving or successor person or entity in the transactions or events that give rise to the Change in Control.</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For purposes of this Section 13(ii), (x) the occurrence of any of the foregoing clauses (a), (b), (c) or (d) shall not constitute an impairment of the rights of any Optionee and (y) the "Administrator" shall be the Administrator as constituted before the Change in Control occurs.</w:t>
      </w:r>
    </w:p>
    <w:p>
      <w:pPr>
        <w:spacing w:after="0" w:line="207" w:lineRule="exact"/>
        <w:rPr>
          <w:sz w:val="20"/>
          <w:szCs w:val="20"/>
          <w:color w:val="auto"/>
        </w:rPr>
      </w:pPr>
    </w:p>
    <w:p>
      <w:pPr>
        <w:ind w:right="1779" w:firstLine="851"/>
        <w:spacing w:after="0" w:line="235" w:lineRule="auto"/>
        <w:tabs>
          <w:tab w:leader="none" w:pos="1580"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"Change in Control" means a change in ownership or control of the Company by any of:</w:t>
      </w:r>
    </w:p>
    <w:p>
      <w:pPr>
        <w:spacing w:after="0" w:line="208" w:lineRule="exact"/>
        <w:rPr>
          <w:rFonts w:ascii="Courier New" w:cs="Courier New" w:eastAsia="Courier New" w:hAnsi="Courier New"/>
          <w:sz w:val="18"/>
          <w:szCs w:val="18"/>
          <w:color w:val="auto"/>
        </w:rPr>
      </w:pPr>
    </w:p>
    <w:p>
      <w:pPr>
        <w:ind w:left="860" w:right="1879" w:firstLine="517"/>
        <w:spacing w:after="0" w:line="237" w:lineRule="auto"/>
        <w:tabs>
          <w:tab w:leader="none" w:pos="1808"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merger or consolidation in which the holders of stock possessing a majority of the voting power in the surviving entity (or a parent of the surviving entity) did not own a majority of the Common Stock of the Company immediately before the transaction;</w:t>
      </w:r>
    </w:p>
    <w:p>
      <w:pPr>
        <w:spacing w:after="0" w:line="207" w:lineRule="exact"/>
        <w:rPr>
          <w:rFonts w:ascii="Courier New" w:cs="Courier New" w:eastAsia="Courier New" w:hAnsi="Courier New"/>
          <w:sz w:val="18"/>
          <w:szCs w:val="18"/>
          <w:color w:val="auto"/>
        </w:rPr>
      </w:pPr>
    </w:p>
    <w:p>
      <w:pPr>
        <w:ind w:left="860" w:right="1779" w:firstLine="517"/>
        <w:spacing w:after="0" w:line="290" w:lineRule="auto"/>
        <w:tabs>
          <w:tab w:leader="none" w:pos="1808" w:val="left"/>
        </w:tabs>
        <w:numPr>
          <w:ilvl w:val="1"/>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sale of all or substantially all of the Company's assets to any other person or entity (other than a subsidiary of the Company);</w:t>
      </w:r>
    </w:p>
    <w:p>
      <w:pPr>
        <w:spacing w:after="0" w:line="164" w:lineRule="exact"/>
        <w:rPr>
          <w:rFonts w:ascii="Courier New" w:cs="Courier New" w:eastAsia="Courier New" w:hAnsi="Courier New"/>
          <w:sz w:val="16"/>
          <w:szCs w:val="16"/>
          <w:color w:val="auto"/>
        </w:rPr>
      </w:pPr>
    </w:p>
    <w:p>
      <w:pPr>
        <w:ind w:left="1800" w:hanging="423"/>
        <w:spacing w:after="0"/>
        <w:tabs>
          <w:tab w:leader="none" w:pos="1800"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liquidation or dissolution of the Company;</w:t>
      </w:r>
    </w:p>
    <w:p>
      <w:pPr>
        <w:spacing w:after="0" w:line="206" w:lineRule="exact"/>
        <w:rPr>
          <w:rFonts w:ascii="Courier New" w:cs="Courier New" w:eastAsia="Courier New" w:hAnsi="Courier New"/>
          <w:sz w:val="18"/>
          <w:szCs w:val="18"/>
          <w:color w:val="auto"/>
        </w:rPr>
      </w:pPr>
    </w:p>
    <w:p>
      <w:pPr>
        <w:jc w:val="both"/>
        <w:ind w:left="860" w:right="2199" w:firstLine="517"/>
        <w:spacing w:after="0" w:line="268" w:lineRule="auto"/>
        <w:tabs>
          <w:tab w:leader="none" w:pos="1808" w:val="left"/>
        </w:tabs>
        <w:numPr>
          <w:ilvl w:val="1"/>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 or indirect acquisition by any person or related group of persons of beneficial ownership (within the meaning of Rule</w:t>
      </w:r>
    </w:p>
    <w:p>
      <w:pPr>
        <w:ind w:left="860" w:right="187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13d-3 of the Securities Exchange Act of 1934, as amended)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208" w:lineRule="exact"/>
        <w:rPr>
          <w:rFonts w:ascii="Courier New" w:cs="Courier New" w:eastAsia="Courier New" w:hAnsi="Courier New"/>
          <w:sz w:val="16"/>
          <w:szCs w:val="16"/>
          <w:color w:val="auto"/>
        </w:rPr>
      </w:pPr>
    </w:p>
    <w:p>
      <w:pPr>
        <w:ind w:left="860" w:right="1779" w:firstLine="517"/>
        <w:spacing w:after="0" w:line="237" w:lineRule="auto"/>
        <w:tabs>
          <w:tab w:leader="none" w:pos="1808" w:val="left"/>
        </w:tabs>
        <w:numPr>
          <w:ilvl w:val="1"/>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w:t>
      </w:r>
    </w:p>
    <w:p>
      <w:pPr>
        <w:spacing w:after="0" w:line="200" w:lineRule="exact"/>
        <w:rPr>
          <w:sz w:val="20"/>
          <w:szCs w:val="20"/>
          <w:color w:val="auto"/>
        </w:rPr>
      </w:pPr>
    </w:p>
    <w:p>
      <w:pPr>
        <w:spacing w:after="0" w:line="20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723" w:right="1440" w:bottom="1440" w:gutter="0" w:footer="0" w:header="0"/>
        </w:sectPr>
      </w:pPr>
    </w:p>
    <w:bookmarkStart w:id="24" w:name="page25"/>
    <w:bookmarkEnd w:id="24"/>
    <w:p>
      <w:pPr>
        <w:ind w:left="860" w:right="1779"/>
        <w:spacing w:after="0" w:line="236" w:lineRule="auto"/>
        <w:rPr>
          <w:sz w:val="20"/>
          <w:szCs w:val="20"/>
          <w:color w:val="auto"/>
        </w:rPr>
      </w:pPr>
      <w:r>
        <w:rPr>
          <w:rFonts w:ascii="Courier New" w:cs="Courier New" w:eastAsia="Courier New" w:hAnsi="Courier New"/>
          <w:sz w:val="18"/>
          <w:szCs w:val="18"/>
          <w:color w:val="auto"/>
        </w:rPr>
        <w:t>elected or nominated for election as Board members during that period by at least a majority of the Board members described in clause (A) who were in office when the Board approved the election or nomination.</w:t>
      </w:r>
    </w:p>
    <w:p>
      <w:pPr>
        <w:spacing w:after="0" w:line="209" w:lineRule="exact"/>
        <w:rPr>
          <w:sz w:val="20"/>
          <w:szCs w:val="20"/>
          <w:color w:val="auto"/>
        </w:rPr>
      </w:pPr>
    </w:p>
    <w:p>
      <w:pPr>
        <w:ind w:right="1879" w:firstLine="851"/>
        <w:spacing w:after="0" w:line="237" w:lineRule="auto"/>
        <w:tabs>
          <w:tab w:leader="none" w:pos="1475"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Buyout of Options. The Administrator may at any time offer to buy out the Option for a payment in cash or shares, based on such terms and conditions as the Administrator shall establish and communicate to the Optionee at the time of the offer.</w:t>
      </w:r>
    </w:p>
    <w:p>
      <w:pPr>
        <w:spacing w:after="0" w:line="207" w:lineRule="exact"/>
        <w:rPr>
          <w:sz w:val="20"/>
          <w:szCs w:val="20"/>
          <w:color w:val="auto"/>
        </w:rPr>
      </w:pPr>
    </w:p>
    <w:p>
      <w:pPr>
        <w:ind w:right="1779" w:firstLine="851"/>
        <w:spacing w:after="0" w:line="238" w:lineRule="auto"/>
        <w:tabs>
          <w:tab w:leader="none" w:pos="1264"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Entire Agreement; Governing Law. The Notice of Grant and this Agreement constitute the entire agreement of the parties with respect to the subject matter hereof and supersede in their entirety all prior undertakings and agreements and all contemporaneous oral undertakings and agreements of the Company and Optionee with respect to the subject matter hereof, including but not limited to the grant or promise of any right or option to purchase shares of capital stock of the Company to Optionee pursuant to any employment agreement or offer letter delivered by the Company to Optionee or otherwise, and the SysKonnect Option, and may not be modified to materially and adversely affect the Optionee's interest except by means of a writing signed by the Company and Optionee. This Agreement is governed by California law except for that body of law pertaining to its conflict of laws.</w:t>
      </w:r>
    </w:p>
    <w:p>
      <w:pPr>
        <w:spacing w:after="0" w:line="207" w:lineRule="exact"/>
        <w:rPr>
          <w:rFonts w:ascii="Courier New" w:cs="Courier New" w:eastAsia="Courier New" w:hAnsi="Courier New"/>
          <w:sz w:val="18"/>
          <w:szCs w:val="18"/>
          <w:color w:val="auto"/>
        </w:rPr>
      </w:pPr>
    </w:p>
    <w:p>
      <w:pPr>
        <w:ind w:right="1879" w:firstLine="851"/>
        <w:spacing w:after="0" w:line="237" w:lineRule="auto"/>
        <w:tabs>
          <w:tab w:leader="none" w:pos="1264"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Optionee Acknowledgments. OPTIONEE ACKNOWLEDGES AND AGREES THAT THE VESTING OF SHARES PURSUANT TO THIS OPTION IS EARNED ONLY BY CONTINUING CONSULTANCY OR EMPLOYMENT AT THE WILL OF THE COMPANY OR ITS SUBSIDIARIES (NOT THROUGH ANY OTHER MEANS, INCLUDING WITHOUT LIMITATION, THE ACT OF BEING HIRED, BEING GRANTED THIS OPTION OR ACQUIRING SHARES HEREUNDER). OPTIONEE FURTHER ACKNOWLEDGES AND AGREES THAT NOTHING IN THIS AGREEMENT SHALL CONFER UPON OPTIONEE ANY RIGHT WITH RESPECT TO CONTINUATION OF EMPLOYMENT OR CONSULTANCY BY THE COMPANY OR ITS SUBSIDIARIES, NOR SHALL IT INTERFERE IN ANY WAY WITH OPTIONEE'S RIGHT OR THE COMPANY'S OR SUBSIDIARY'S RIGHT TO TERMINATE OPTIONEE'S EMPLOYMENT OR CONSULTANCY AT ANY TIME, WITH OR WITHOUT CAUSE.</w:t>
      </w:r>
    </w:p>
    <w:p>
      <w:pPr>
        <w:spacing w:after="0" w:line="215" w:lineRule="exact"/>
        <w:rPr>
          <w:sz w:val="20"/>
          <w:szCs w:val="20"/>
          <w:color w:val="auto"/>
        </w:rPr>
      </w:pPr>
    </w:p>
    <w:p>
      <w:pPr>
        <w:ind w:right="1779" w:firstLine="843"/>
        <w:spacing w:after="0" w:line="238" w:lineRule="auto"/>
        <w:rPr>
          <w:sz w:val="20"/>
          <w:szCs w:val="20"/>
          <w:color w:val="auto"/>
        </w:rPr>
      </w:pPr>
      <w:r>
        <w:rPr>
          <w:rFonts w:ascii="Courier New" w:cs="Courier New" w:eastAsia="Courier New" w:hAnsi="Courier New"/>
          <w:sz w:val="18"/>
          <w:szCs w:val="18"/>
          <w:color w:val="auto"/>
        </w:rPr>
        <w:t>Optionee hereby accepts this Option subject to all of the terms and provisions of this Agreement. Optionee acknowledges that the grant of this Option constitutes a voluntary benefit offered by the Company to the Optionee, and that even if options should be offered continuously (and without any reservation that this is a voluntary benefit), no obligation shall be created to grant additional options or similar or comparable rights. Optionee has reviewed this Agreement and the Notice of Grant in their entirety, has had an opportunity to obtain the advice of counsel prior to executing this Option and fully understands all provisions of such documents. Optionee hereby agrees to accept as binding, conclusive and final all decisions or interpretations of the Administrator upon any questions arising under the Notice of Grant or this Agreement. Notwithstanding the foregoing, if any party brings any action, suit, counterclaim, cross-claim, appeal, arbitration, or mediation for any relief against the other to enforce the terms of or to declare rights under the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w:t>
      </w:r>
    </w:p>
    <w:p>
      <w:pPr>
        <w:spacing w:after="0" w:line="200" w:lineRule="exact"/>
        <w:rPr>
          <w:sz w:val="20"/>
          <w:szCs w:val="20"/>
          <w:color w:val="auto"/>
        </w:rPr>
      </w:pPr>
    </w:p>
    <w:p>
      <w:pPr>
        <w:spacing w:after="0" w:line="206"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723" w:right="1440" w:bottom="1440" w:gutter="0" w:footer="0" w:header="0"/>
        </w:sectPr>
      </w:pPr>
    </w:p>
    <w:bookmarkStart w:id="25" w:name="page26"/>
    <w:bookmarkEnd w:id="25"/>
    <w:p>
      <w:pPr>
        <w:ind w:right="1779"/>
        <w:spacing w:after="0" w:line="237" w:lineRule="auto"/>
        <w:rPr>
          <w:sz w:val="20"/>
          <w:szCs w:val="20"/>
          <w:color w:val="auto"/>
        </w:rPr>
      </w:pPr>
      <w:r>
        <w:rPr>
          <w:rFonts w:ascii="Courier New" w:cs="Courier New" w:eastAsia="Courier New" w:hAnsi="Courier New"/>
          <w:sz w:val="18"/>
          <w:szCs w:val="18"/>
          <w:color w:val="auto"/>
        </w:rPr>
        <w:t>order, ruling, or award. Optionee agrees to timely notify the Company upon any change in the residence address set forth in this Notice of Grant, and acknowledges that the Company may at in its discretion deliver share certificates representing Shares issued pursuant to the exercise of this Option to such address. If Optionee is a California resident, Optionee agrees to provide the Company within 7 days of the execution of this Agreement the Consent of Spouse attached hereto if applicable, or within 7 days of any event that would cause such consent to be applicable. Optionee acknowledges that the Company will rely on such agreement.</w:t>
      </w:r>
    </w:p>
    <w:p>
      <w:pPr>
        <w:spacing w:after="0" w:line="200" w:lineRule="exact"/>
        <w:rPr>
          <w:sz w:val="20"/>
          <w:szCs w:val="20"/>
          <w:color w:val="auto"/>
        </w:rPr>
      </w:pPr>
    </w:p>
    <w:p>
      <w:pPr>
        <w:spacing w:after="0" w:line="210" w:lineRule="exact"/>
        <w:rPr>
          <w:sz w:val="20"/>
          <w:szCs w:val="20"/>
          <w:color w:val="auto"/>
        </w:rPr>
      </w:pPr>
    </w:p>
    <w:p>
      <w:pPr>
        <w:ind w:left="40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723" w:right="1440" w:bottom="1440" w:gutter="0" w:footer="0" w:header="0"/>
        </w:sectPr>
      </w:pPr>
    </w:p>
    <w:bookmarkStart w:id="26" w:name="page27"/>
    <w:bookmarkEnd w:id="26"/>
    <w:p>
      <w:pPr>
        <w:ind w:left="3380"/>
        <w:spacing w:after="0"/>
        <w:rPr>
          <w:sz w:val="20"/>
          <w:szCs w:val="20"/>
          <w:color w:val="auto"/>
        </w:rPr>
      </w:pPr>
      <w:r>
        <w:rPr>
          <w:rFonts w:ascii="Courier New" w:cs="Courier New" w:eastAsia="Courier New" w:hAnsi="Courier New"/>
          <w:sz w:val="18"/>
          <w:szCs w:val="18"/>
          <w:color w:val="auto"/>
        </w:rPr>
        <w:t>CONSENT OF SPOUSE</w:t>
      </w:r>
    </w:p>
    <w:p>
      <w:pPr>
        <w:spacing w:after="0" w:line="207" w:lineRule="exact"/>
        <w:rPr>
          <w:sz w:val="20"/>
          <w:szCs w:val="20"/>
          <w:color w:val="auto"/>
        </w:rPr>
      </w:pPr>
    </w:p>
    <w:p>
      <w:pPr>
        <w:ind w:right="1779" w:firstLine="843"/>
        <w:spacing w:after="0" w:line="271" w:lineRule="auto"/>
        <w:rPr>
          <w:sz w:val="20"/>
          <w:szCs w:val="20"/>
          <w:color w:val="auto"/>
        </w:rPr>
      </w:pPr>
      <w:r>
        <w:rPr>
          <w:rFonts w:ascii="Courier New" w:cs="Courier New" w:eastAsia="Courier New" w:hAnsi="Courier New"/>
          <w:sz w:val="16"/>
          <w:szCs w:val="16"/>
          <w:color w:val="auto"/>
        </w:rPr>
        <w:t>The undersigned spouse of the Optionee has read and hereby approves the terms and conditions of the Notice of Grant and this Agreement. In consideration of the Company's granting his or her spouse the right to purchase Shares as set forth in this Agreement, the undersigned hereby agrees to be irrevocably bound by the terms and conditions of this Agreement and further agrees that any community property interest shall be similarly bound. The undersigned hereby appoints the undersigned's spouse as attorney-in-fact for the undersigned with respect to any amendment or exercise of rights under this Agreement.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w:t>
      </w:r>
    </w:p>
    <w:p>
      <w:pPr>
        <w:ind w:left="740"/>
        <w:spacing w:after="0" w:line="238" w:lineRule="auto"/>
        <w:tabs>
          <w:tab w:leader="none" w:pos="430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w:t>
      </w:r>
    </w:p>
    <w:p>
      <w:pPr>
        <w:ind w:left="4960"/>
        <w:spacing w:after="0"/>
        <w:rPr>
          <w:sz w:val="20"/>
          <w:szCs w:val="20"/>
          <w:color w:val="auto"/>
        </w:rPr>
      </w:pPr>
      <w:r>
        <w:rPr>
          <w:rFonts w:ascii="Courier New" w:cs="Courier New" w:eastAsia="Courier New" w:hAnsi="Courier New"/>
          <w:sz w:val="18"/>
          <w:szCs w:val="18"/>
          <w:color w:val="auto"/>
        </w:rPr>
        <w:t>Spouse of Optionee</w:t>
      </w:r>
    </w:p>
    <w:p>
      <w:pPr>
        <w:spacing w:after="0" w:line="200" w:lineRule="exact"/>
        <w:rPr>
          <w:sz w:val="20"/>
          <w:szCs w:val="20"/>
          <w:color w:val="auto"/>
        </w:rPr>
      </w:pPr>
    </w:p>
    <w:p>
      <w:pPr>
        <w:spacing w:after="0" w:line="203" w:lineRule="exact"/>
        <w:rPr>
          <w:sz w:val="20"/>
          <w:szCs w:val="20"/>
          <w:color w:val="auto"/>
        </w:rPr>
      </w:pPr>
    </w:p>
    <w:p>
      <w:pPr>
        <w:jc w:val="center"/>
        <w:ind w:left="300"/>
        <w:spacing w:after="0"/>
        <w:rPr>
          <w:sz w:val="20"/>
          <w:szCs w:val="20"/>
          <w:color w:val="auto"/>
        </w:rPr>
      </w:pPr>
      <w:r>
        <w:rPr>
          <w:rFonts w:ascii="Courier New" w:cs="Courier New" w:eastAsia="Courier New" w:hAnsi="Courier New"/>
          <w:sz w:val="18"/>
          <w:szCs w:val="18"/>
          <w:color w:val="auto"/>
        </w:rPr>
        <w:t>(Spouse Name)</w:t>
      </w:r>
    </w:p>
    <w:p>
      <w:pPr>
        <w:ind w:left="4320"/>
        <w:spacing w:after="0" w:line="238" w:lineRule="auto"/>
        <w:rPr>
          <w:sz w:val="20"/>
          <w:szCs w:val="20"/>
          <w:color w:val="auto"/>
        </w:rPr>
      </w:pPr>
      <w:r>
        <w:rPr>
          <w:rFonts w:ascii="Courier New" w:cs="Courier New" w:eastAsia="Courier New" w:hAnsi="Courier New"/>
          <w:sz w:val="18"/>
          <w:szCs w:val="18"/>
          <w:color w:val="auto"/>
        </w:rPr>
        <w:t>-----------------------------</w:t>
      </w:r>
    </w:p>
    <w:sectPr>
      <w:pgSz w:w="11900" w:h="16838" w:orient="portrait"/>
      <w:cols w:equalWidth="0" w:num="1">
        <w:col w:w="10219"/>
      </w:cols>
      <w:pgMar w:left="24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31BD7B7"/>
    <w:multiLevelType w:val="hybridMultilevel"/>
    <w:lvl w:ilvl="0">
      <w:lvlJc w:val="left"/>
      <w:lvlText w:val="(%1)"/>
      <w:numFmt w:val="decimal"/>
      <w:start w:val="408"/>
    </w:lvl>
  </w:abstractNum>
  <w:abstractNum w:abstractNumId="1">
    <w:nsid w:val="3F2DBA31"/>
    <w:multiLevelType w:val="hybridMultilevel"/>
    <w:lvl w:ilvl="0">
      <w:lvlJc w:val="left"/>
      <w:lvlText w:val="(%1)"/>
      <w:numFmt w:val="decimal"/>
      <w:start w:val="1"/>
    </w:lvl>
  </w:abstractNum>
  <w:abstractNum w:abstractNumId="2">
    <w:nsid w:val="7C83E458"/>
    <w:multiLevelType w:val="hybridMultilevel"/>
    <w:lvl w:ilvl="0">
      <w:lvlJc w:val="left"/>
      <w:lvlText w:val="*"/>
      <w:numFmt w:val="bullet"/>
      <w:start w:val="1"/>
    </w:lvl>
  </w:abstractNum>
  <w:abstractNum w:abstractNumId="3">
    <w:nsid w:val="257130A3"/>
    <w:multiLevelType w:val="hybridMultilevel"/>
    <w:lvl w:ilvl="0">
      <w:lvlJc w:val="left"/>
      <w:lvlText w:val="(%1)"/>
      <w:numFmt w:val="lowerLetter"/>
      <w:start w:val="1"/>
    </w:lvl>
  </w:abstractNum>
  <w:abstractNum w:abstractNumId="4">
    <w:nsid w:val="62BBD95A"/>
    <w:multiLevelType w:val="hybridMultilevel"/>
    <w:lvl w:ilvl="0">
      <w:lvlJc w:val="left"/>
      <w:lvlText w:val="(%1)"/>
      <w:numFmt w:val="decimal"/>
      <w:start w:val="1"/>
    </w:lvl>
  </w:abstractNum>
  <w:abstractNum w:abstractNumId="5">
    <w:nsid w:val="436C6125"/>
    <w:multiLevelType w:val="hybridMultilevel"/>
    <w:lvl w:ilvl="0">
      <w:lvlJc w:val="left"/>
      <w:lvlText w:val="(%1)"/>
      <w:numFmt w:val="lowerRoman"/>
      <w:start w:val="1"/>
    </w:lvl>
  </w:abstractNum>
  <w:abstractNum w:abstractNumId="6">
    <w:nsid w:val="628C895D"/>
    <w:multiLevelType w:val="hybridMultilevel"/>
    <w:lvl w:ilvl="0">
      <w:lvlJc w:val="left"/>
      <w:lvlText w:val="(%1)"/>
      <w:numFmt w:val="decimal"/>
      <w:start w:val="2"/>
    </w:lvl>
  </w:abstractNum>
  <w:abstractNum w:abstractNumId="7">
    <w:nsid w:val="333AB105"/>
    <w:multiLevelType w:val="hybridMultilevel"/>
    <w:lvl w:ilvl="0">
      <w:lvlJc w:val="left"/>
      <w:lvlText w:val="(%1)"/>
      <w:numFmt w:val="lowerLetter"/>
      <w:start w:val="2"/>
    </w:lvl>
  </w:abstractNum>
  <w:abstractNum w:abstractNumId="8">
    <w:nsid w:val="721DA317"/>
    <w:multiLevelType w:val="hybridMultilevel"/>
    <w:lvl w:ilvl="0">
      <w:lvlJc w:val="left"/>
      <w:lvlText w:val="%1)"/>
      <w:numFmt w:val="lowerLetter"/>
      <w:start w:val="1"/>
    </w:lvl>
  </w:abstractNum>
  <w:abstractNum w:abstractNumId="9">
    <w:nsid w:val="2443A858"/>
    <w:multiLevelType w:val="hybridMultilevel"/>
    <w:lvl w:ilvl="0">
      <w:lvlJc w:val="left"/>
      <w:lvlText w:val="%1)"/>
      <w:numFmt w:val="lowerLetter"/>
      <w:start w:val="4"/>
    </w:lvl>
  </w:abstractNum>
  <w:abstractNum w:abstractNumId="10">
    <w:nsid w:val="2D1D5AE9"/>
    <w:multiLevelType w:val="hybridMultilevel"/>
    <w:lvl w:ilvl="0">
      <w:lvlJc w:val="left"/>
      <w:lvlText w:val="%1)"/>
      <w:numFmt w:val="lowerLetter"/>
      <w:start w:val="13"/>
    </w:lvl>
  </w:abstractNum>
  <w:abstractNum w:abstractNumId="11">
    <w:nsid w:val="6763845E"/>
    <w:multiLevelType w:val="hybridMultilevel"/>
    <w:lvl w:ilvl="0">
      <w:lvlJc w:val="left"/>
      <w:lvlText w:val="(%1)"/>
      <w:numFmt w:val="lowerLetter"/>
      <w:start w:val="1"/>
    </w:lvl>
  </w:abstractNum>
  <w:abstractNum w:abstractNumId="12">
    <w:nsid w:val="75A2A8D4"/>
    <w:multiLevelType w:val="hybridMultilevel"/>
    <w:lvl w:ilvl="0">
      <w:lvlJc w:val="left"/>
      <w:lvlText w:val="(%1)"/>
      <w:numFmt w:val="lowerLetter"/>
      <w:start w:val="3"/>
    </w:lvl>
    <w:lvl w:ilvl="1">
      <w:lvlJc w:val="left"/>
      <w:lvlText w:val="(%2)"/>
      <w:numFmt w:val="lowerRoman"/>
      <w:start w:val="1"/>
    </w:lvl>
  </w:abstractNum>
  <w:abstractNum w:abstractNumId="13">
    <w:nsid w:val="8EDBDAB"/>
    <w:multiLevelType w:val="hybridMultilevel"/>
    <w:lvl w:ilvl="0">
      <w:lvlJc w:val="left"/>
      <w:lvlText w:val="%1."/>
      <w:numFmt w:val="decimal"/>
      <w:start w:val="1"/>
    </w:lvl>
  </w:abstractNum>
  <w:abstractNum w:abstractNumId="14">
    <w:nsid w:val="79838CB2"/>
    <w:multiLevelType w:val="hybridMultilevel"/>
    <w:lvl w:ilvl="0">
      <w:lvlJc w:val="left"/>
      <w:lvlText w:val="%1."/>
      <w:numFmt w:val="decimal"/>
      <w:start w:val="1"/>
    </w:lvl>
  </w:abstractNum>
  <w:abstractNum w:abstractNumId="15">
    <w:nsid w:val="4353D0CD"/>
    <w:multiLevelType w:val="hybridMultilevel"/>
    <w:lvl w:ilvl="0">
      <w:lvlJc w:val="left"/>
      <w:lvlText w:val="%1."/>
      <w:numFmt w:val="decimal"/>
      <w:start w:val="2"/>
    </w:lvl>
  </w:abstractNum>
  <w:abstractNum w:abstractNumId="16">
    <w:nsid w:val="B03E0C6"/>
    <w:multiLevelType w:val="hybridMultilevel"/>
    <w:lvl w:ilvl="0">
      <w:lvlJc w:val="left"/>
      <w:lvlText w:val="(%1)"/>
      <w:numFmt w:val="lowerLetter"/>
      <w:start w:val="9"/>
    </w:lvl>
    <w:lvl w:ilvl="1">
      <w:lvlJc w:val="left"/>
      <w:lvlText w:val="(%2)"/>
      <w:numFmt w:val="lowerLetter"/>
      <w:start w:val="1"/>
    </w:lvl>
  </w:abstractNum>
  <w:abstractNum w:abstractNumId="17">
    <w:nsid w:val="189A769B"/>
    <w:multiLevelType w:val="hybridMultilevel"/>
    <w:lvl w:ilvl="0">
      <w:lvlJc w:val="left"/>
      <w:lvlText w:val="(%1)"/>
      <w:numFmt w:val="lowerLetter"/>
      <w:start w:val="35"/>
    </w:lvl>
    <w:lvl w:ilvl="1">
      <w:lvlJc w:val="left"/>
      <w:lvlText w:val="(%2)"/>
      <w:numFmt w:val="lowerLetter"/>
      <w:start w:val="1"/>
    </w:lvl>
  </w:abstractNum>
  <w:abstractNum w:abstractNumId="18">
    <w:nsid w:val="54E49EB4"/>
    <w:multiLevelType w:val="hybridMultilevel"/>
    <w:lvl w:ilvl="0">
      <w:lvlJc w:val="left"/>
      <w:lvlText w:val="%1"/>
      <w:numFmt w:val="decimal"/>
      <w:start w:val="1"/>
    </w:lvl>
    <w:lvl w:ilvl="1">
      <w:lvlJc w:val="left"/>
      <w:lvlText w:val="(%2)"/>
      <w:numFmt w:val="lowerLetter"/>
      <w:start w:val="3"/>
    </w:lvl>
  </w:abstractNum>
  <w:abstractNum w:abstractNumId="19">
    <w:nsid w:val="71F32454"/>
    <w:multiLevelType w:val="hybridMultilevel"/>
    <w:lvl w:ilvl="0">
      <w:lvlJc w:val="left"/>
      <w:lvlText w:val="%1."/>
      <w:numFmt w:val="decimal"/>
      <w:start w:val="3"/>
    </w:lvl>
    <w:lvl w:ilvl="1">
      <w:lvlJc w:val="left"/>
      <w:lvlText w:val="(%2)"/>
      <w:numFmt w:val="lowerLetter"/>
      <w:start w:val="1"/>
    </w:lvl>
  </w:abstractNum>
  <w:abstractNum w:abstractNumId="20">
    <w:nsid w:val="2CA88611"/>
    <w:multiLevelType w:val="hybridMultilevel"/>
    <w:lvl w:ilvl="0">
      <w:lvlJc w:val="left"/>
      <w:lvlText w:val="%1."/>
      <w:numFmt w:val="decimal"/>
      <w:start w:val="7"/>
    </w:lvl>
  </w:abstractNum>
  <w:abstractNum w:abstractNumId="21">
    <w:nsid w:val="836C40E"/>
    <w:multiLevelType w:val="hybridMultilevel"/>
    <w:lvl w:ilvl="0">
      <w:lvlJc w:val="left"/>
      <w:lvlText w:val="(%1)"/>
      <w:numFmt w:val="lowerRoman"/>
      <w:start w:val="1"/>
    </w:lvl>
  </w:abstractNum>
  <w:abstractNum w:abstractNumId="22">
    <w:nsid w:val="2901D82"/>
    <w:multiLevelType w:val="hybridMultilevel"/>
    <w:lvl w:ilvl="0">
      <w:lvlJc w:val="left"/>
      <w:lvlText w:val="(%1)"/>
      <w:numFmt w:val="lowerRoman"/>
      <w:start w:val="4"/>
    </w:lvl>
  </w:abstractNum>
  <w:abstractNum w:abstractNumId="23">
    <w:nsid w:val="3A95F874"/>
    <w:multiLevelType w:val="hybridMultilevel"/>
    <w:lvl w:ilvl="0">
      <w:lvlJc w:val="left"/>
      <w:lvlText w:val="(%1)"/>
      <w:numFmt w:val="lowerRoman"/>
      <w:start w:val="1"/>
    </w:lvl>
  </w:abstractNum>
  <w:abstractNum w:abstractNumId="24">
    <w:nsid w:val="8138641"/>
    <w:multiLevelType w:val="hybridMultilevel"/>
    <w:lvl w:ilvl="0">
      <w:lvlJc w:val="left"/>
      <w:lvlText w:val="%1"/>
      <w:numFmt w:val="lowerRoman"/>
      <w:start w:val="1"/>
    </w:lvl>
    <w:lvl w:ilvl="1">
      <w:lvlJc w:val="left"/>
      <w:lvlText w:val="(%2)"/>
      <w:numFmt w:val="lowerRoman"/>
      <w:start w:val="3"/>
    </w:lvl>
    <w:lvl w:ilvl="2">
      <w:lvlJc w:val="left"/>
      <w:lvlText w:val="%3"/>
      <w:numFmt w:val="lowerRoman"/>
      <w:start w:val="1"/>
    </w:lvl>
  </w:abstractNum>
  <w:abstractNum w:abstractNumId="25">
    <w:nsid w:val="1E7FF521"/>
    <w:multiLevelType w:val="hybridMultilevel"/>
    <w:lvl w:ilvl="0">
      <w:lvlJc w:val="left"/>
      <w:lvlText w:val="(%1)"/>
      <w:numFmt w:val="lowerRoman"/>
      <w:start w:val="2"/>
    </w:lvl>
    <w:lvl w:ilvl="1">
      <w:lvlJc w:val="left"/>
      <w:lvlText w:val="%2"/>
      <w:numFmt w:val="lowerRoman"/>
      <w:start w:val="1"/>
    </w:lvl>
    <w:lvl w:ilvl="2">
      <w:lvlJc w:val="left"/>
      <w:lvlText w:val="(%3)"/>
      <w:numFmt w:val="lowerRoman"/>
      <w:start w:val="4"/>
    </w:lvl>
  </w:abstractNum>
  <w:abstractNum w:abstractNumId="26">
    <w:nsid w:val="7C3DBD3D"/>
    <w:multiLevelType w:val="hybridMultilevel"/>
    <w:lvl w:ilvl="0">
      <w:lvlJc w:val="left"/>
      <w:lvlText w:val="%1."/>
      <w:numFmt w:val="decimal"/>
      <w:start w:val="11"/>
    </w:lvl>
  </w:abstractNum>
  <w:abstractNum w:abstractNumId="27">
    <w:nsid w:val="737B8DDC"/>
    <w:multiLevelType w:val="hybridMultilevel"/>
    <w:lvl w:ilvl="0">
      <w:lvlJc w:val="left"/>
      <w:lvlText w:val="(%1)"/>
      <w:numFmt w:val="lowerRoman"/>
      <w:start w:val="3"/>
    </w:lvl>
  </w:abstractNum>
  <w:abstractNum w:abstractNumId="28">
    <w:nsid w:val="6CEAF087"/>
    <w:multiLevelType w:val="hybridMultilevel"/>
    <w:lvl w:ilvl="0">
      <w:lvlJc w:val="left"/>
      <w:lvlText w:val="%1."/>
      <w:numFmt w:val="decimal"/>
      <w:start w:val="12"/>
    </w:lvl>
  </w:abstractNum>
  <w:abstractNum w:abstractNumId="29">
    <w:nsid w:val="22221A70"/>
    <w:multiLevelType w:val="hybridMultilevel"/>
    <w:lvl w:ilvl="0">
      <w:lvlJc w:val="left"/>
      <w:lvlText w:val="(%1)"/>
      <w:numFmt w:val="lowerRoman"/>
      <w:start w:val="1"/>
    </w:lvl>
    <w:lvl w:ilvl="1">
      <w:lvlJc w:val="left"/>
      <w:lvlText w:val="(%2)"/>
      <w:numFmt w:val="lowerLetter"/>
      <w:start w:val="1"/>
    </w:lvl>
  </w:abstractNum>
  <w:abstractNum w:abstractNumId="30">
    <w:nsid w:val="4516DDE9"/>
    <w:multiLevelType w:val="hybridMultilevel"/>
    <w:lvl w:ilvl="0">
      <w:lvlJc w:val="left"/>
      <w:lvlText w:val="(%1)"/>
      <w:numFmt w:val="lowerRoman"/>
      <w:start w:val="1"/>
    </w:lvl>
  </w:abstractNum>
  <w:abstractNum w:abstractNumId="31">
    <w:nsid w:val="3006C83E"/>
    <w:multiLevelType w:val="hybridMultilevel"/>
    <w:lvl w:ilvl="0">
      <w:lvlJc w:val="left"/>
      <w:lvlText w:val="(%1)"/>
      <w:numFmt w:val="lowerLetter"/>
      <w:start w:val="35"/>
    </w:lvl>
    <w:lvl w:ilvl="1">
      <w:lvlJc w:val="left"/>
      <w:lvlText w:val="(%2)"/>
      <w:numFmt w:val="lowerLetter"/>
      <w:start w:val="1"/>
    </w:lvl>
  </w:abstractNum>
  <w:abstractNum w:abstractNumId="32">
    <w:nsid w:val="614FD4A1"/>
    <w:multiLevelType w:val="hybridMultilevel"/>
    <w:lvl w:ilvl="0">
      <w:lvlJc w:val="left"/>
      <w:lvlText w:val="(%1)"/>
      <w:numFmt w:val="lowerLetter"/>
      <w:start w:val="61"/>
    </w:lvl>
    <w:lvl w:ilvl="1">
      <w:lvlJc w:val="left"/>
      <w:lvlText w:val="(%2)"/>
      <w:numFmt w:val="lowerLetter"/>
      <w:start w:val="1"/>
    </w:lvl>
  </w:abstractNum>
  <w:abstractNum w:abstractNumId="33">
    <w:nsid w:val="419AC241"/>
    <w:multiLevelType w:val="hybridMultilevel"/>
    <w:lvl w:ilvl="0">
      <w:lvlJc w:val="left"/>
      <w:lvlText w:val="(%1)"/>
      <w:numFmt w:val="lowerRoman"/>
      <w:start w:val="3"/>
    </w:lvl>
  </w:abstractNum>
  <w:abstractNum w:abstractNumId="34">
    <w:nsid w:val="5577F8E1"/>
    <w:multiLevelType w:val="hybridMultilevel"/>
    <w:lvl w:ilvl="0">
      <w:lvlJc w:val="left"/>
      <w:lvlText w:val="%1."/>
      <w:numFmt w:val="decimal"/>
      <w:start w:val="1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2019-12-12T01:03:34Z</dcterms:created>
  <dcterms:modified xsi:type="dcterms:W3CDTF">2019-12-12T01:03:34Z</dcterms:modified>
</cp:coreProperties>
</file>