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UNITED STATES</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1"/>
          <w:szCs w:val="21"/>
          <w:b w:val="1"/>
          <w:bCs w:val="1"/>
          <w:color w:val="auto"/>
        </w:rPr>
        <w:t>SECURITIES AND EXCHANGE COMMISSION</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82"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FORM 10-Q</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25" w:lineRule="exact"/>
        <w:rPr>
          <w:sz w:val="20"/>
          <w:szCs w:val="20"/>
          <w:color w:val="auto"/>
        </w:rPr>
      </w:pPr>
    </w:p>
    <w:p>
      <w:pPr>
        <w:spacing w:after="0"/>
        <w:tabs>
          <w:tab w:leader="none" w:pos="500" w:val="left"/>
        </w:tabs>
        <w:rPr>
          <w:sz w:val="20"/>
          <w:szCs w:val="20"/>
          <w:color w:val="auto"/>
        </w:rPr>
      </w:pPr>
      <w:r>
        <w:rPr>
          <w:rFonts w:ascii="Arial" w:cs="Arial" w:eastAsia="Arial" w:hAnsi="Arial"/>
          <w:sz w:val="18"/>
          <w:szCs w:val="18"/>
          <w:color w:val="auto"/>
        </w:rPr>
        <w:t>[X]</w:t>
        <w:tab/>
        <w:t>Quarterly Report Pursuant to Section 13 or 15(d) of the Securities Exchange Act of 1934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 the quarterly period ended May 4, 2002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w:t>
      </w:r>
    </w:p>
    <w:p>
      <w:pPr>
        <w:sectPr>
          <w:pgSz w:w="11900" w:h="16838" w:orient="portrait"/>
          <w:cols w:equalWidth="0" w:num="1">
            <w:col w:w="11420"/>
          </w:cols>
          <w:pgMar w:left="240" w:top="122" w:right="239" w:bottom="1440" w:gutter="0" w:footer="0" w:header="0"/>
        </w:sectPr>
      </w:pP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5"/>
          <w:szCs w:val="15"/>
          <w:color w:val="auto"/>
        </w:rPr>
        <w:t>Transition Report Pursuant to Section 13 or 15(d) of the Securities Exchange Act of 1934</w:t>
      </w:r>
    </w:p>
    <w:p>
      <w:pPr>
        <w:spacing w:after="0" w:line="234" w:lineRule="exact"/>
        <w:rPr>
          <w:sz w:val="20"/>
          <w:szCs w:val="20"/>
          <w:color w:val="auto"/>
        </w:rPr>
      </w:pPr>
    </w:p>
    <w:p>
      <w:pPr>
        <w:sectPr>
          <w:pgSz w:w="11900" w:h="16838" w:orient="portrait"/>
          <w:cols w:equalWidth="0" w:num="2">
            <w:col w:w="260" w:space="260"/>
            <w:col w:w="10900"/>
          </w:cols>
          <w:pgMar w:left="240" w:top="122" w:right="239" w:bottom="1440" w:gutter="0" w:footer="0" w:header="0"/>
          <w:type w:val="continuous"/>
        </w:sectPr>
      </w:pPr>
    </w:p>
    <w:p>
      <w:pPr>
        <w:spacing w:after="0" w:line="25" w:lineRule="exact"/>
        <w:rPr>
          <w:sz w:val="20"/>
          <w:szCs w:val="20"/>
          <w:color w:val="auto"/>
        </w:rPr>
      </w:pPr>
    </w:p>
    <w:p>
      <w:pPr>
        <w:ind w:left="3740"/>
        <w:spacing w:after="0"/>
        <w:rPr>
          <w:sz w:val="20"/>
          <w:szCs w:val="20"/>
          <w:color w:val="auto"/>
        </w:rPr>
      </w:pPr>
      <w:r>
        <w:rPr>
          <w:rFonts w:ascii="Arial" w:cs="Arial" w:eastAsia="Arial" w:hAnsi="Arial"/>
          <w:sz w:val="16"/>
          <w:szCs w:val="16"/>
          <w:color w:val="auto"/>
        </w:rPr>
        <w:t>For the transition period from _________ to _________</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Commission file number: 0-30877</w:t>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Marvell Technology Group Ltd.</w:t>
      </w:r>
    </w:p>
    <w:p>
      <w:pPr>
        <w:spacing w:after="0" w:line="24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(Exact name of registrant as specified in its charter)</w:t>
      </w:r>
    </w:p>
    <w:p>
      <w:pPr>
        <w:sectPr>
          <w:pgSz w:w="11900" w:h="16838" w:orient="portrait"/>
          <w:cols w:equalWidth="0" w:num="1">
            <w:col w:w="11420"/>
          </w:cols>
          <w:pgMar w:left="240" w:top="122" w:right="239" w:bottom="1440" w:gutter="0" w:footer="0" w:header="0"/>
          <w:type w:val="continuous"/>
        </w:sectPr>
      </w:pPr>
    </w:p>
    <w:p>
      <w:pPr>
        <w:spacing w:after="0" w:line="275" w:lineRule="exact"/>
        <w:rPr>
          <w:sz w:val="20"/>
          <w:szCs w:val="20"/>
          <w:color w:val="auto"/>
        </w:rPr>
      </w:pPr>
    </w:p>
    <w:p>
      <w:pPr>
        <w:ind w:left="2260"/>
        <w:spacing w:after="0"/>
        <w:rPr>
          <w:sz w:val="20"/>
          <w:szCs w:val="20"/>
          <w:color w:val="auto"/>
        </w:rPr>
      </w:pPr>
      <w:r>
        <w:rPr>
          <w:rFonts w:ascii="Arial" w:cs="Arial" w:eastAsia="Arial" w:hAnsi="Arial"/>
          <w:sz w:val="18"/>
          <w:szCs w:val="18"/>
          <w:color w:val="auto"/>
        </w:rPr>
        <w:t>Bermuda</w:t>
      </w:r>
    </w:p>
    <w:p>
      <w:pPr>
        <w:spacing w:after="0" w:line="15" w:lineRule="exact"/>
        <w:rPr>
          <w:sz w:val="20"/>
          <w:szCs w:val="20"/>
          <w:color w:val="auto"/>
        </w:rPr>
      </w:pPr>
    </w:p>
    <w:p>
      <w:pPr>
        <w:ind w:left="15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0"/>
          <w:szCs w:val="20"/>
          <w:color w:val="auto"/>
        </w:rPr>
      </w:pPr>
    </w:p>
    <w:p>
      <w:pPr>
        <w:ind w:left="1520"/>
        <w:spacing w:after="0"/>
        <w:rPr>
          <w:sz w:val="20"/>
          <w:szCs w:val="20"/>
          <w:color w:val="auto"/>
        </w:rPr>
      </w:pPr>
      <w:r>
        <w:rPr>
          <w:rFonts w:ascii="Arial" w:cs="Arial" w:eastAsia="Arial" w:hAnsi="Arial"/>
          <w:sz w:val="16"/>
          <w:szCs w:val="16"/>
          <w:color w:val="auto"/>
        </w:rPr>
        <w:t>incorporation or organization)</w:t>
      </w:r>
    </w:p>
    <w:p>
      <w:pPr>
        <w:spacing w:after="0" w:line="20" w:lineRule="exact"/>
        <w:rPr>
          <w:sz w:val="20"/>
          <w:szCs w:val="20"/>
          <w:color w:val="auto"/>
        </w:rPr>
      </w:pPr>
      <w:r>
        <w:rPr>
          <w:sz w:val="20"/>
          <w:szCs w:val="20"/>
          <w:color w:val="auto"/>
        </w:rPr>
        <w:br w:type="column"/>
      </w:r>
    </w:p>
    <w:p>
      <w:pPr>
        <w:spacing w:after="0" w:line="255" w:lineRule="exact"/>
        <w:rPr>
          <w:sz w:val="20"/>
          <w:szCs w:val="20"/>
          <w:color w:val="auto"/>
        </w:rPr>
      </w:pPr>
    </w:p>
    <w:p>
      <w:pPr>
        <w:jc w:val="center"/>
        <w:ind w:right="1920"/>
        <w:spacing w:after="0"/>
        <w:rPr>
          <w:sz w:val="20"/>
          <w:szCs w:val="20"/>
          <w:color w:val="auto"/>
        </w:rPr>
      </w:pPr>
      <w:r>
        <w:rPr>
          <w:rFonts w:ascii="Arial" w:cs="Arial" w:eastAsia="Arial" w:hAnsi="Arial"/>
          <w:sz w:val="18"/>
          <w:szCs w:val="18"/>
          <w:color w:val="auto"/>
        </w:rPr>
        <w:t>77-0481679</w:t>
      </w:r>
    </w:p>
    <w:p>
      <w:pPr>
        <w:spacing w:after="0" w:line="15" w:lineRule="exact"/>
        <w:rPr>
          <w:sz w:val="20"/>
          <w:szCs w:val="20"/>
          <w:color w:val="auto"/>
        </w:rPr>
      </w:pPr>
    </w:p>
    <w:p>
      <w:pPr>
        <w:jc w:val="center"/>
        <w:ind w:right="1920"/>
        <w:spacing w:after="0"/>
        <w:rPr>
          <w:sz w:val="20"/>
          <w:szCs w:val="20"/>
          <w:color w:val="auto"/>
        </w:rPr>
      </w:pPr>
      <w:r>
        <w:rPr>
          <w:rFonts w:ascii="Arial" w:cs="Arial" w:eastAsia="Arial" w:hAnsi="Arial"/>
          <w:sz w:val="16"/>
          <w:szCs w:val="16"/>
          <w:color w:val="auto"/>
        </w:rPr>
        <w:t>(I.R.S. Employer</w:t>
      </w:r>
    </w:p>
    <w:p>
      <w:pPr>
        <w:spacing w:after="0" w:line="32" w:lineRule="exact"/>
        <w:rPr>
          <w:sz w:val="20"/>
          <w:szCs w:val="20"/>
          <w:color w:val="auto"/>
        </w:rPr>
      </w:pPr>
    </w:p>
    <w:p>
      <w:pPr>
        <w:jc w:val="center"/>
        <w:ind w:right="1920"/>
        <w:spacing w:after="0"/>
        <w:rPr>
          <w:sz w:val="20"/>
          <w:szCs w:val="20"/>
          <w:color w:val="auto"/>
        </w:rPr>
      </w:pPr>
      <w:r>
        <w:rPr>
          <w:rFonts w:ascii="Arial" w:cs="Arial" w:eastAsia="Arial" w:hAnsi="Arial"/>
          <w:sz w:val="16"/>
          <w:szCs w:val="16"/>
          <w:color w:val="auto"/>
        </w:rPr>
        <w:t>Identification No.)</w:t>
      </w:r>
    </w:p>
    <w:p>
      <w:pPr>
        <w:spacing w:after="0" w:line="200" w:lineRule="exact"/>
        <w:rPr>
          <w:sz w:val="20"/>
          <w:szCs w:val="20"/>
          <w:color w:val="auto"/>
        </w:rPr>
      </w:pPr>
    </w:p>
    <w:p>
      <w:pPr>
        <w:sectPr>
          <w:pgSz w:w="11900" w:h="16838" w:orient="portrait"/>
          <w:cols w:equalWidth="0" w:num="2">
            <w:col w:w="7480" w:space="720"/>
            <w:col w:w="3220"/>
          </w:cols>
          <w:pgMar w:left="240" w:top="122" w:right="239" w:bottom="1440" w:gutter="0" w:footer="0" w:header="0"/>
          <w:type w:val="continuous"/>
        </w:sectPr>
      </w:pPr>
    </w:p>
    <w:p>
      <w:pPr>
        <w:spacing w:after="0" w:line="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4th Floor, Windsor Place, 22 Queen Street, P.O. Box HM 1179, Hamilton, HM EX, Bermuda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(441) 296-6395</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219" w:lineRule="exact"/>
        <w:rPr>
          <w:sz w:val="20"/>
          <w:szCs w:val="20"/>
          <w:color w:val="auto"/>
        </w:rPr>
      </w:pPr>
    </w:p>
    <w:p>
      <w:pPr>
        <w:ind w:right="460" w:firstLine="220"/>
        <w:spacing w:after="0" w:line="286" w:lineRule="auto"/>
        <w:rPr>
          <w:sz w:val="20"/>
          <w:szCs w:val="20"/>
          <w:color w:val="auto"/>
        </w:rPr>
      </w:pPr>
      <w:r>
        <w:rPr>
          <w:rFonts w:ascii="Arial" w:cs="Arial" w:eastAsia="Arial" w:hAnsi="Arial"/>
          <w:sz w:val="16"/>
          <w:szCs w:val="16"/>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w:t>
      </w:r>
    </w:p>
    <w:tbl>
      <w:tblPr>
        <w:tblLayout w:type="fixed"/>
        <w:tblInd w:w="0" w:type="dxa"/>
        <w:tblCellMar>
          <w:top w:w="0" w:type="dxa"/>
          <w:left w:w="0" w:type="dxa"/>
          <w:bottom w:w="0" w:type="dxa"/>
          <w:right w:w="0" w:type="dxa"/>
        </w:tblCellMar>
      </w:tblPr>
      <w:tr>
        <w:trPr>
          <w:trHeight w:val="222"/>
        </w:trPr>
        <w:tc>
          <w:tcPr>
            <w:tcW w:w="3140" w:type="dxa"/>
            <w:vAlign w:val="bottom"/>
          </w:tcPr>
          <w:p>
            <w:pPr>
              <w:spacing w:after="0"/>
              <w:rPr>
                <w:sz w:val="20"/>
                <w:szCs w:val="20"/>
                <w:color w:val="auto"/>
              </w:rPr>
            </w:pPr>
            <w:r>
              <w:rPr>
                <w:rFonts w:ascii="Arial" w:cs="Arial" w:eastAsia="Arial" w:hAnsi="Arial"/>
                <w:sz w:val="18"/>
                <w:szCs w:val="18"/>
                <w:color w:val="auto"/>
                <w:w w:val="90"/>
              </w:rPr>
              <w:t>requirements for the past 90 days. [X] Yes [</w:t>
            </w:r>
          </w:p>
        </w:tc>
        <w:tc>
          <w:tcPr>
            <w:tcW w:w="8280" w:type="dxa"/>
            <w:vAlign w:val="bottom"/>
            <w:gridSpan w:val="3"/>
          </w:tcPr>
          <w:p>
            <w:pPr>
              <w:jc w:val="right"/>
              <w:ind w:right="7832"/>
              <w:spacing w:after="0"/>
              <w:rPr>
                <w:sz w:val="20"/>
                <w:szCs w:val="20"/>
                <w:color w:val="auto"/>
              </w:rPr>
            </w:pPr>
            <w:r>
              <w:rPr>
                <w:rFonts w:ascii="Arial" w:cs="Arial" w:eastAsia="Arial" w:hAnsi="Arial"/>
                <w:sz w:val="18"/>
                <w:szCs w:val="18"/>
                <w:color w:val="auto"/>
              </w:rPr>
              <w:t>] No</w:t>
            </w:r>
          </w:p>
        </w:tc>
      </w:tr>
      <w:tr>
        <w:trPr>
          <w:trHeight w:val="426"/>
        </w:trPr>
        <w:tc>
          <w:tcPr>
            <w:tcW w:w="3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7700" w:type="dxa"/>
            <w:vAlign w:val="bottom"/>
            <w:gridSpan w:val="2"/>
          </w:tcPr>
          <w:p>
            <w:pPr>
              <w:jc w:val="right"/>
              <w:ind w:right="3712"/>
              <w:spacing w:after="0"/>
              <w:rPr>
                <w:sz w:val="20"/>
                <w:szCs w:val="20"/>
                <w:color w:val="auto"/>
              </w:rPr>
            </w:pPr>
            <w:r>
              <w:rPr>
                <w:rFonts w:ascii="Arial" w:cs="Arial" w:eastAsia="Arial" w:hAnsi="Arial"/>
                <w:sz w:val="18"/>
                <w:szCs w:val="18"/>
                <w:color w:val="auto"/>
                <w:w w:val="89"/>
              </w:rPr>
              <w:t>Shares Outstanding of the Registrant’s Common Stock</w:t>
            </w:r>
          </w:p>
        </w:tc>
      </w:tr>
      <w:tr>
        <w:trPr>
          <w:trHeight w:val="407"/>
        </w:trPr>
        <w:tc>
          <w:tcPr>
            <w:tcW w:w="3140" w:type="dxa"/>
            <w:vAlign w:val="bottom"/>
          </w:tcPr>
          <w:p>
            <w:pPr>
              <w:spacing w:after="0"/>
              <w:rPr>
                <w:sz w:val="20"/>
                <w:szCs w:val="20"/>
                <w:color w:val="auto"/>
              </w:rPr>
            </w:pPr>
            <w:r>
              <w:rPr>
                <w:rFonts w:ascii="Arial" w:cs="Arial" w:eastAsia="Arial" w:hAnsi="Arial"/>
                <w:sz w:val="14"/>
                <w:szCs w:val="14"/>
                <w:color w:val="auto"/>
              </w:rPr>
              <w:t>Class</w:t>
            </w:r>
          </w:p>
        </w:tc>
        <w:tc>
          <w:tcPr>
            <w:tcW w:w="580" w:type="dxa"/>
            <w:vAlign w:val="bottom"/>
          </w:tcPr>
          <w:p>
            <w:pPr>
              <w:spacing w:after="0"/>
              <w:rPr>
                <w:sz w:val="24"/>
                <w:szCs w:val="24"/>
                <w:color w:val="auto"/>
              </w:rPr>
            </w:pPr>
          </w:p>
        </w:tc>
        <w:tc>
          <w:tcPr>
            <w:tcW w:w="5360" w:type="dxa"/>
            <w:vAlign w:val="bottom"/>
          </w:tcPr>
          <w:p>
            <w:pPr>
              <w:spacing w:after="0"/>
              <w:rPr>
                <w:sz w:val="24"/>
                <w:szCs w:val="24"/>
                <w:color w:val="auto"/>
              </w:rPr>
            </w:pPr>
          </w:p>
        </w:tc>
        <w:tc>
          <w:tcPr>
            <w:tcW w:w="2340" w:type="dxa"/>
            <w:vAlign w:val="bottom"/>
          </w:tcPr>
          <w:p>
            <w:pPr>
              <w:jc w:val="right"/>
              <w:ind w:right="352"/>
              <w:spacing w:after="0"/>
              <w:rPr>
                <w:sz w:val="20"/>
                <w:szCs w:val="20"/>
                <w:color w:val="auto"/>
              </w:rPr>
            </w:pPr>
            <w:r>
              <w:rPr>
                <w:rFonts w:ascii="Arial" w:cs="Arial" w:eastAsia="Arial" w:hAnsi="Arial"/>
                <w:sz w:val="14"/>
                <w:szCs w:val="14"/>
                <w:color w:val="auto"/>
              </w:rPr>
              <w:t>Outstanding at May 4, 2002</w:t>
            </w:r>
          </w:p>
        </w:tc>
      </w:tr>
      <w:tr>
        <w:trPr>
          <w:trHeight w:val="95"/>
        </w:trPr>
        <w:tc>
          <w:tcPr>
            <w:tcW w:w="31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5360" w:type="dxa"/>
            <w:vAlign w:val="bottom"/>
          </w:tcPr>
          <w:p>
            <w:pPr>
              <w:spacing w:after="0"/>
              <w:rPr>
                <w:sz w:val="8"/>
                <w:szCs w:val="8"/>
                <w:color w:val="auto"/>
              </w:rPr>
            </w:pPr>
          </w:p>
        </w:tc>
        <w:tc>
          <w:tcPr>
            <w:tcW w:w="2340" w:type="dxa"/>
            <w:vAlign w:val="bottom"/>
            <w:tcBorders>
              <w:bottom w:val="single" w:sz="8" w:color="808080"/>
            </w:tcBorders>
          </w:tcPr>
          <w:p>
            <w:pPr>
              <w:spacing w:after="0"/>
              <w:rPr>
                <w:sz w:val="8"/>
                <w:szCs w:val="8"/>
                <w:color w:val="auto"/>
              </w:rPr>
            </w:pPr>
          </w:p>
        </w:tc>
      </w:tr>
      <w:tr>
        <w:trPr>
          <w:trHeight w:val="316"/>
        </w:trPr>
        <w:tc>
          <w:tcPr>
            <w:tcW w:w="3140" w:type="dxa"/>
            <w:vAlign w:val="bottom"/>
          </w:tcPr>
          <w:p>
            <w:pPr>
              <w:spacing w:after="0"/>
              <w:rPr>
                <w:sz w:val="20"/>
                <w:szCs w:val="20"/>
                <w:color w:val="auto"/>
              </w:rPr>
            </w:pPr>
            <w:r>
              <w:rPr>
                <w:rFonts w:ascii="Arial" w:cs="Arial" w:eastAsia="Arial" w:hAnsi="Arial"/>
                <w:sz w:val="18"/>
                <w:szCs w:val="18"/>
                <w:color w:val="auto"/>
              </w:rPr>
              <w:t>Common stock, $0.002 par value</w:t>
            </w:r>
          </w:p>
        </w:tc>
        <w:tc>
          <w:tcPr>
            <w:tcW w:w="8280" w:type="dxa"/>
            <w:vAlign w:val="bottom"/>
            <w:gridSpan w:val="3"/>
          </w:tcPr>
          <w:p>
            <w:pPr>
              <w:jc w:val="right"/>
              <w:ind w:right="732"/>
              <w:spacing w:after="0"/>
              <w:rPr>
                <w:sz w:val="20"/>
                <w:szCs w:val="20"/>
                <w:color w:val="auto"/>
              </w:rPr>
            </w:pPr>
            <w:r>
              <w:rPr>
                <w:rFonts w:ascii="Arial" w:cs="Arial" w:eastAsia="Arial" w:hAnsi="Arial"/>
                <w:sz w:val="18"/>
                <w:szCs w:val="18"/>
                <w:color w:val="auto"/>
              </w:rPr>
              <w:t>119,401,013</w:t>
            </w:r>
          </w:p>
        </w:tc>
      </w:tr>
      <w:tr>
        <w:trPr>
          <w:trHeight w:val="661"/>
        </w:trPr>
        <w:tc>
          <w:tcPr>
            <w:tcW w:w="3140" w:type="dxa"/>
            <w:vAlign w:val="bottom"/>
            <w:tcBorders>
              <w:bottom w:val="single" w:sz="8" w:color="808080"/>
            </w:tcBorders>
          </w:tcPr>
          <w:p>
            <w:pPr>
              <w:spacing w:after="0"/>
              <w:rPr>
                <w:sz w:val="24"/>
                <w:szCs w:val="24"/>
                <w:color w:val="auto"/>
              </w:rPr>
            </w:pPr>
          </w:p>
        </w:tc>
        <w:tc>
          <w:tcPr>
            <w:tcW w:w="580" w:type="dxa"/>
            <w:vAlign w:val="bottom"/>
            <w:tcBorders>
              <w:bottom w:val="single" w:sz="8" w:color="808080"/>
            </w:tcBorders>
          </w:tcPr>
          <w:p>
            <w:pPr>
              <w:spacing w:after="0"/>
              <w:rPr>
                <w:sz w:val="24"/>
                <w:szCs w:val="24"/>
                <w:color w:val="auto"/>
              </w:rPr>
            </w:pPr>
          </w:p>
        </w:tc>
        <w:tc>
          <w:tcPr>
            <w:tcW w:w="5360" w:type="dxa"/>
            <w:vAlign w:val="bottom"/>
            <w:tcBorders>
              <w:bottom w:val="single" w:sz="8" w:color="808080"/>
            </w:tcBorders>
          </w:tcPr>
          <w:p>
            <w:pPr>
              <w:spacing w:after="0"/>
              <w:rPr>
                <w:sz w:val="24"/>
                <w:szCs w:val="24"/>
                <w:color w:val="auto"/>
              </w:rPr>
            </w:pPr>
          </w:p>
        </w:tc>
        <w:tc>
          <w:tcPr>
            <w:tcW w:w="234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type w:val="continuous"/>
        </w:sectPr>
      </w:pPr>
    </w:p>
    <w:bookmarkStart w:id="2" w:name="page3"/>
    <w:bookmarkEnd w:id="2"/>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 FINANCIAL INFORMATION</w:t>
        </w:r>
      </w:hyperlink>
    </w:p>
    <w:p>
      <w:pPr>
        <w:ind w:left="320"/>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1. Financial Statements</w:t>
        </w:r>
      </w:hyperlink>
    </w:p>
    <w:p>
      <w:pPr>
        <w:ind w:left="620" w:right="2279"/>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CONDENSED CONSOLIDATED BALANCE SHEETS</w:t>
        </w:r>
      </w:hyperlink>
      <w:r>
        <w:rPr>
          <w:rFonts w:ascii="Arial" w:cs="Arial" w:eastAsia="Arial" w:hAnsi="Arial"/>
          <w:sz w:val="22"/>
          <w:szCs w:val="22"/>
          <w:u w:val="single" w:color="auto"/>
          <w:color w:val="0000EE"/>
        </w:rPr>
        <w:t xml:space="preserve"> </w:t>
      </w:r>
      <w:hyperlink w:anchor="page6">
        <w:r>
          <w:rPr>
            <w:rFonts w:ascii="Arial" w:cs="Arial" w:eastAsia="Arial" w:hAnsi="Arial"/>
            <w:sz w:val="22"/>
            <w:szCs w:val="22"/>
            <w:u w:val="single" w:color="auto"/>
            <w:color w:val="0000EE"/>
          </w:rPr>
          <w:t>CONDENSED CONSOLIDATED STATEMENTS OF OPERATIONS</w:t>
        </w:r>
      </w:hyperlink>
      <w:r>
        <w:rPr>
          <w:rFonts w:ascii="Arial" w:cs="Arial" w:eastAsia="Arial" w:hAnsi="Arial"/>
          <w:sz w:val="22"/>
          <w:szCs w:val="22"/>
          <w:u w:val="single" w:color="auto"/>
          <w:color w:val="0000EE"/>
        </w:rPr>
        <w:t xml:space="preserve"> </w:t>
      </w:r>
      <w:hyperlink w:anchor="page7">
        <w:r>
          <w:rPr>
            <w:rFonts w:ascii="Arial" w:cs="Arial" w:eastAsia="Arial" w:hAnsi="Arial"/>
            <w:sz w:val="22"/>
            <w:szCs w:val="22"/>
            <w:u w:val="single" w:color="auto"/>
            <w:color w:val="0000EE"/>
          </w:rPr>
          <w:t>CONDENSED CONSOLIDATED STATEMENTS OF CASH FLOWS</w:t>
        </w:r>
      </w:hyperlink>
      <w:r>
        <w:rPr>
          <w:rFonts w:ascii="Arial" w:cs="Arial" w:eastAsia="Arial" w:hAnsi="Arial"/>
          <w:sz w:val="22"/>
          <w:szCs w:val="22"/>
          <w:u w:val="single" w:color="auto"/>
          <w:color w:val="0000EE"/>
        </w:rPr>
        <w:t xml:space="preserve"> </w:t>
      </w:r>
      <w:hyperlink w:anchor="page8">
        <w:r>
          <w:rPr>
            <w:rFonts w:ascii="Arial" w:cs="Arial" w:eastAsia="Arial" w:hAnsi="Arial"/>
            <w:sz w:val="22"/>
            <w:szCs w:val="22"/>
            <w:u w:val="single" w:color="auto"/>
            <w:color w:val="0000EE"/>
          </w:rPr>
          <w:t>NOTES TO CONDENSED CONSOLIDATED FINANCIAL STATEMENTS</w:t>
        </w:r>
      </w:hyperlink>
    </w:p>
    <w:p>
      <w:pPr>
        <w:spacing w:after="0" w:line="3" w:lineRule="exact"/>
        <w:rPr>
          <w:rFonts w:ascii="Arial" w:cs="Arial" w:eastAsia="Arial" w:hAnsi="Arial"/>
          <w:sz w:val="22"/>
          <w:szCs w:val="22"/>
          <w:u w:val="single" w:color="auto"/>
          <w:color w:val="0000EE"/>
        </w:rPr>
      </w:pPr>
    </w:p>
    <w:p>
      <w:pPr>
        <w:ind w:left="320" w:right="899"/>
        <w:spacing w:after="0" w:line="230" w:lineRule="auto"/>
        <w:rPr>
          <w:rFonts w:ascii="Arial" w:cs="Arial" w:eastAsia="Arial" w:hAnsi="Arial"/>
          <w:sz w:val="22"/>
          <w:szCs w:val="22"/>
          <w:u w:val="single" w:color="auto"/>
          <w:color w:val="0000EE"/>
        </w:rPr>
      </w:pPr>
      <w:hyperlink w:anchor="page15">
        <w:r>
          <w:rPr>
            <w:rFonts w:ascii="Arial" w:cs="Arial" w:eastAsia="Arial" w:hAnsi="Arial"/>
            <w:sz w:val="22"/>
            <w:szCs w:val="22"/>
            <w:u w:val="single" w:color="auto"/>
            <w:color w:val="0000EE"/>
          </w:rPr>
          <w:t>Item 2. Management’s Discussion and Analysis of Financial Condition and Results of Operations</w:t>
        </w:r>
      </w:hyperlink>
      <w:r>
        <w:rPr>
          <w:rFonts w:ascii="Arial" w:cs="Arial" w:eastAsia="Arial" w:hAnsi="Arial"/>
          <w:sz w:val="22"/>
          <w:szCs w:val="22"/>
          <w:u w:val="single" w:color="auto"/>
          <w:color w:val="0000EE"/>
        </w:rPr>
        <w:t xml:space="preserve"> </w:t>
      </w:r>
      <w:hyperlink w:anchor="page35">
        <w:r>
          <w:rPr>
            <w:rFonts w:ascii="Arial" w:cs="Arial" w:eastAsia="Arial" w:hAnsi="Arial"/>
            <w:sz w:val="22"/>
            <w:szCs w:val="22"/>
            <w:u w:val="single" w:color="auto"/>
            <w:color w:val="0000EE"/>
          </w:rPr>
          <w:t>Item 3. Quantitative and Qualitative Disclosures about Market Risk</w:t>
        </w:r>
      </w:hyperlink>
    </w:p>
    <w:p>
      <w:pPr>
        <w:spacing w:after="0" w:line="231"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PART II. OTHER INFORMATION</w:t>
        </w:r>
      </w:hyperlink>
    </w:p>
    <w:p>
      <w:pPr>
        <w:ind w:left="320"/>
        <w:spacing w:after="0" w:line="231"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Item 1. Legal Proceedings</w:t>
        </w:r>
      </w:hyperlink>
    </w:p>
    <w:p>
      <w:pPr>
        <w:ind w:left="320"/>
        <w:spacing w:after="0" w:line="231"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Item 2. Changes in Securities and Use of Proceeds</w:t>
        </w:r>
      </w:hyperlink>
    </w:p>
    <w:p>
      <w:pPr>
        <w:ind w:left="320"/>
        <w:spacing w:after="0" w:line="230"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Item 3. Defaults Upon Senior Securities</w:t>
        </w:r>
      </w:hyperlink>
    </w:p>
    <w:p>
      <w:pPr>
        <w:spacing w:after="0" w:line="1" w:lineRule="exact"/>
        <w:rPr>
          <w:sz w:val="20"/>
          <w:szCs w:val="20"/>
          <w:color w:val="auto"/>
        </w:rPr>
      </w:pPr>
    </w:p>
    <w:p>
      <w:pPr>
        <w:ind w:left="320" w:right="4139"/>
        <w:spacing w:after="0" w:line="230"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Item 4. Submission of Matters to a Vote of Security Holders</w:t>
        </w:r>
      </w:hyperlink>
      <w:r>
        <w:rPr>
          <w:rFonts w:ascii="Arial" w:cs="Arial" w:eastAsia="Arial" w:hAnsi="Arial"/>
          <w:sz w:val="22"/>
          <w:szCs w:val="22"/>
          <w:u w:val="single" w:color="auto"/>
          <w:color w:val="0000EE"/>
        </w:rPr>
        <w:t xml:space="preserve"> </w:t>
      </w:r>
      <w:hyperlink w:anchor="page36">
        <w:r>
          <w:rPr>
            <w:rFonts w:ascii="Arial" w:cs="Arial" w:eastAsia="Arial" w:hAnsi="Arial"/>
            <w:sz w:val="22"/>
            <w:szCs w:val="22"/>
            <w:u w:val="single" w:color="auto"/>
            <w:color w:val="0000EE"/>
          </w:rPr>
          <w:t>Item 5. Other Information</w:t>
        </w:r>
      </w:hyperlink>
    </w:p>
    <w:p>
      <w:pPr>
        <w:ind w:left="320"/>
        <w:spacing w:after="0" w:line="231" w:lineRule="auto"/>
        <w:rPr>
          <w:rFonts w:ascii="Arial" w:cs="Arial" w:eastAsia="Arial" w:hAnsi="Arial"/>
          <w:sz w:val="22"/>
          <w:szCs w:val="22"/>
          <w:u w:val="single" w:color="auto"/>
          <w:color w:val="0000EE"/>
        </w:rPr>
      </w:pPr>
      <w:hyperlink w:anchor="page37">
        <w:r>
          <w:rPr>
            <w:rFonts w:ascii="Arial" w:cs="Arial" w:eastAsia="Arial" w:hAnsi="Arial"/>
            <w:sz w:val="22"/>
            <w:szCs w:val="22"/>
            <w:u w:val="single" w:color="auto"/>
            <w:color w:val="0000EE"/>
          </w:rPr>
          <w:t>Item 6. Exhibits and Reports on Form 8-K</w:t>
        </w:r>
      </w:hyperlink>
    </w:p>
    <w:p>
      <w:pPr>
        <w:spacing w:after="0" w:line="1" w:lineRule="exact"/>
        <w:rPr>
          <w:sz w:val="20"/>
          <w:szCs w:val="20"/>
          <w:color w:val="auto"/>
        </w:rPr>
      </w:pPr>
    </w:p>
    <w:p>
      <w:pPr>
        <w:spacing w:after="0"/>
        <w:rPr>
          <w:rFonts w:ascii="Arial" w:cs="Arial" w:eastAsia="Arial" w:hAnsi="Arial"/>
          <w:sz w:val="22"/>
          <w:szCs w:val="22"/>
          <w:u w:val="single" w:color="auto"/>
          <w:color w:val="0000EE"/>
        </w:rPr>
      </w:pPr>
      <w:hyperlink w:anchor="page38">
        <w:r>
          <w:rPr>
            <w:rFonts w:ascii="Arial" w:cs="Arial" w:eastAsia="Arial" w:hAnsi="Arial"/>
            <w:sz w:val="22"/>
            <w:szCs w:val="22"/>
            <w:u w:val="single" w:color="auto"/>
            <w:color w:val="0000EE"/>
          </w:rPr>
          <w:t>SIGNATURES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5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980" w:type="dxa"/>
            <w:vAlign w:val="bottom"/>
          </w:tcPr>
          <w:p>
            <w:pPr>
              <w:spacing w:after="0"/>
              <w:rPr>
                <w:sz w:val="15"/>
                <w:szCs w:val="15"/>
                <w:color w:val="auto"/>
              </w:rPr>
            </w:pPr>
          </w:p>
        </w:tc>
        <w:tc>
          <w:tcPr>
            <w:tcW w:w="1004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w w:val="95"/>
              </w:rPr>
              <w:t>Page</w:t>
            </w:r>
          </w:p>
        </w:tc>
      </w:tr>
      <w:tr>
        <w:trPr>
          <w:trHeight w:val="95"/>
        </w:trPr>
        <w:tc>
          <w:tcPr>
            <w:tcW w:w="980" w:type="dxa"/>
            <w:vAlign w:val="bottom"/>
          </w:tcPr>
          <w:p>
            <w:pPr>
              <w:spacing w:after="0"/>
              <w:rPr>
                <w:sz w:val="8"/>
                <w:szCs w:val="8"/>
                <w:color w:val="auto"/>
              </w:rPr>
            </w:pPr>
          </w:p>
        </w:tc>
        <w:tc>
          <w:tcPr>
            <w:tcW w:w="100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r>
      <w:tr>
        <w:trPr>
          <w:trHeight w:val="102"/>
        </w:trPr>
        <w:tc>
          <w:tcPr>
            <w:tcW w:w="980" w:type="dxa"/>
            <w:vAlign w:val="bottom"/>
          </w:tcPr>
          <w:p>
            <w:pPr>
              <w:spacing w:after="0"/>
              <w:rPr>
                <w:sz w:val="8"/>
                <w:szCs w:val="8"/>
                <w:color w:val="auto"/>
              </w:rPr>
            </w:pPr>
          </w:p>
        </w:tc>
        <w:tc>
          <w:tcPr>
            <w:tcW w:w="10040" w:type="dxa"/>
            <w:vAlign w:val="bottom"/>
          </w:tcPr>
          <w:p>
            <w:pPr>
              <w:spacing w:after="0"/>
              <w:rPr>
                <w:sz w:val="8"/>
                <w:szCs w:val="8"/>
                <w:color w:val="auto"/>
              </w:rPr>
            </w:pPr>
          </w:p>
        </w:tc>
        <w:tc>
          <w:tcPr>
            <w:tcW w:w="400" w:type="dxa"/>
            <w:vAlign w:val="bottom"/>
          </w:tcPr>
          <w:p>
            <w:pPr>
              <w:spacing w:after="0"/>
              <w:rPr>
                <w:sz w:val="8"/>
                <w:szCs w:val="8"/>
                <w:color w:val="auto"/>
              </w:rPr>
            </w:pPr>
          </w:p>
        </w:tc>
      </w:tr>
      <w:tr>
        <w:trPr>
          <w:trHeight w:val="216"/>
        </w:trPr>
        <w:tc>
          <w:tcPr>
            <w:tcW w:w="980" w:type="dxa"/>
            <w:vAlign w:val="bottom"/>
            <w:shd w:val="clear" w:color="auto" w:fill="EEEEEE"/>
          </w:tcPr>
          <w:p>
            <w:pPr>
              <w:spacing w:after="0"/>
              <w:rPr>
                <w:sz w:val="18"/>
                <w:szCs w:val="18"/>
                <w:color w:val="auto"/>
              </w:rPr>
            </w:pPr>
          </w:p>
        </w:tc>
        <w:tc>
          <w:tcPr>
            <w:tcW w:w="10040" w:type="dxa"/>
            <w:vAlign w:val="bottom"/>
            <w:shd w:val="clear" w:color="auto" w:fill="EEEEEE"/>
          </w:tcPr>
          <w:p>
            <w:pPr>
              <w:jc w:val="center"/>
              <w:ind w:right="472"/>
              <w:spacing w:after="0"/>
              <w:rPr>
                <w:sz w:val="20"/>
                <w:szCs w:val="20"/>
                <w:color w:val="auto"/>
              </w:rPr>
            </w:pPr>
            <w:r>
              <w:rPr>
                <w:rFonts w:ascii="Arial" w:cs="Arial" w:eastAsia="Arial" w:hAnsi="Arial"/>
                <w:sz w:val="18"/>
                <w:szCs w:val="18"/>
                <w:b w:val="1"/>
                <w:bCs w:val="1"/>
                <w:color w:val="auto"/>
              </w:rPr>
              <w:t>PART I.  FINANCIAL INFORMATION</w:t>
            </w:r>
          </w:p>
        </w:tc>
        <w:tc>
          <w:tcPr>
            <w:tcW w:w="400" w:type="dxa"/>
            <w:vAlign w:val="bottom"/>
            <w:shd w:val="clear" w:color="auto" w:fill="EEEEEE"/>
          </w:tcPr>
          <w:p>
            <w:pPr>
              <w:spacing w:after="0"/>
              <w:rPr>
                <w:sz w:val="18"/>
                <w:szCs w:val="18"/>
                <w:color w:val="auto"/>
              </w:rPr>
            </w:pPr>
          </w:p>
        </w:tc>
      </w:tr>
      <w:tr>
        <w:trPr>
          <w:trHeight w:val="216"/>
        </w:trPr>
        <w:tc>
          <w:tcPr>
            <w:tcW w:w="980" w:type="dxa"/>
            <w:vAlign w:val="bottom"/>
          </w:tcPr>
          <w:p>
            <w:pPr>
              <w:spacing w:after="0"/>
              <w:rPr>
                <w:sz w:val="20"/>
                <w:szCs w:val="20"/>
                <w:color w:val="auto"/>
              </w:rPr>
            </w:pPr>
            <w:r>
              <w:rPr>
                <w:rFonts w:ascii="Arial" w:cs="Arial" w:eastAsia="Arial" w:hAnsi="Arial"/>
                <w:sz w:val="18"/>
                <w:szCs w:val="18"/>
                <w:color w:val="auto"/>
              </w:rPr>
              <w:t>Item 1</w:t>
            </w:r>
          </w:p>
        </w:tc>
        <w:tc>
          <w:tcPr>
            <w:tcW w:w="10040" w:type="dxa"/>
            <w:vAlign w:val="bottom"/>
          </w:tcPr>
          <w:p>
            <w:pPr>
              <w:ind w:left="240"/>
              <w:spacing w:after="0"/>
              <w:rPr>
                <w:sz w:val="20"/>
                <w:szCs w:val="20"/>
                <w:color w:val="auto"/>
              </w:rPr>
            </w:pPr>
            <w:r>
              <w:rPr>
                <w:rFonts w:ascii="Arial" w:cs="Arial" w:eastAsia="Arial" w:hAnsi="Arial"/>
                <w:sz w:val="18"/>
                <w:szCs w:val="18"/>
                <w:color w:val="auto"/>
              </w:rPr>
              <w:t>Financial Statements:</w:t>
            </w:r>
          </w:p>
        </w:tc>
        <w:tc>
          <w:tcPr>
            <w:tcW w:w="400" w:type="dxa"/>
            <w:vAlign w:val="bottom"/>
          </w:tcPr>
          <w:p>
            <w:pPr>
              <w:spacing w:after="0"/>
              <w:rPr>
                <w:sz w:val="18"/>
                <w:szCs w:val="18"/>
                <w:color w:val="auto"/>
              </w:rPr>
            </w:pPr>
          </w:p>
        </w:tc>
      </w:tr>
      <w:tr>
        <w:trPr>
          <w:trHeight w:val="216"/>
        </w:trPr>
        <w:tc>
          <w:tcPr>
            <w:tcW w:w="980" w:type="dxa"/>
            <w:vAlign w:val="bottom"/>
            <w:shd w:val="clear" w:color="auto" w:fill="EEEEEE"/>
          </w:tcPr>
          <w:p>
            <w:pPr>
              <w:spacing w:after="0"/>
              <w:rPr>
                <w:sz w:val="18"/>
                <w:szCs w:val="18"/>
                <w:color w:val="auto"/>
              </w:rPr>
            </w:pPr>
          </w:p>
        </w:tc>
        <w:tc>
          <w:tcPr>
            <w:tcW w:w="100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Condensed Consolidated Balance Sheets at April 30, 2002 and January 31, 2002</w:t>
            </w:r>
          </w:p>
        </w:tc>
        <w:tc>
          <w:tcPr>
            <w:tcW w:w="400" w:type="dxa"/>
            <w:vAlign w:val="bottom"/>
            <w:shd w:val="clear" w:color="auto" w:fill="EEEEEE"/>
          </w:tcPr>
          <w:p>
            <w:pPr>
              <w:jc w:val="right"/>
              <w:ind w:right="14"/>
              <w:spacing w:after="0"/>
              <w:rPr>
                <w:sz w:val="20"/>
                <w:szCs w:val="20"/>
                <w:color w:val="auto"/>
              </w:rPr>
            </w:pPr>
            <w:r>
              <w:rPr>
                <w:rFonts w:ascii="Arial" w:cs="Arial" w:eastAsia="Arial" w:hAnsi="Arial"/>
                <w:sz w:val="18"/>
                <w:szCs w:val="18"/>
                <w:color w:val="auto"/>
              </w:rPr>
              <w:t>3</w:t>
            </w:r>
          </w:p>
        </w:tc>
      </w:tr>
      <w:tr>
        <w:trPr>
          <w:trHeight w:val="216"/>
        </w:trPr>
        <w:tc>
          <w:tcPr>
            <w:tcW w:w="980" w:type="dxa"/>
            <w:vAlign w:val="bottom"/>
          </w:tcPr>
          <w:p>
            <w:pPr>
              <w:spacing w:after="0"/>
              <w:rPr>
                <w:sz w:val="18"/>
                <w:szCs w:val="18"/>
                <w:color w:val="auto"/>
              </w:rPr>
            </w:pPr>
          </w:p>
        </w:tc>
        <w:tc>
          <w:tcPr>
            <w:tcW w:w="10040" w:type="dxa"/>
            <w:vAlign w:val="bottom"/>
          </w:tcPr>
          <w:p>
            <w:pPr>
              <w:ind w:left="240"/>
              <w:spacing w:after="0"/>
              <w:rPr>
                <w:sz w:val="20"/>
                <w:szCs w:val="20"/>
                <w:color w:val="auto"/>
              </w:rPr>
            </w:pPr>
            <w:r>
              <w:rPr>
                <w:rFonts w:ascii="Arial" w:cs="Arial" w:eastAsia="Arial" w:hAnsi="Arial"/>
                <w:sz w:val="18"/>
                <w:szCs w:val="18"/>
                <w:color w:val="auto"/>
              </w:rPr>
              <w:t>Condensed Consolidated Statements of Operations for the three months ended April 30, 2002 and 2001</w:t>
            </w:r>
          </w:p>
        </w:tc>
        <w:tc>
          <w:tcPr>
            <w:tcW w:w="400" w:type="dxa"/>
            <w:vAlign w:val="bottom"/>
          </w:tcPr>
          <w:p>
            <w:pPr>
              <w:jc w:val="right"/>
              <w:ind w:right="14"/>
              <w:spacing w:after="0"/>
              <w:rPr>
                <w:sz w:val="20"/>
                <w:szCs w:val="20"/>
                <w:color w:val="auto"/>
              </w:rPr>
            </w:pPr>
            <w:r>
              <w:rPr>
                <w:rFonts w:ascii="Arial" w:cs="Arial" w:eastAsia="Arial" w:hAnsi="Arial"/>
                <w:sz w:val="18"/>
                <w:szCs w:val="18"/>
                <w:color w:val="auto"/>
              </w:rPr>
              <w:t>4</w:t>
            </w:r>
          </w:p>
        </w:tc>
      </w:tr>
      <w:tr>
        <w:trPr>
          <w:trHeight w:val="216"/>
        </w:trPr>
        <w:tc>
          <w:tcPr>
            <w:tcW w:w="980" w:type="dxa"/>
            <w:vAlign w:val="bottom"/>
            <w:shd w:val="clear" w:color="auto" w:fill="EEEEEE"/>
          </w:tcPr>
          <w:p>
            <w:pPr>
              <w:spacing w:after="0"/>
              <w:rPr>
                <w:sz w:val="18"/>
                <w:szCs w:val="18"/>
                <w:color w:val="auto"/>
              </w:rPr>
            </w:pPr>
          </w:p>
        </w:tc>
        <w:tc>
          <w:tcPr>
            <w:tcW w:w="100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Condensed Consolidated Statements of Cash Flows for the three months ended April 30, 2002 and 2001</w:t>
            </w:r>
          </w:p>
        </w:tc>
        <w:tc>
          <w:tcPr>
            <w:tcW w:w="400" w:type="dxa"/>
            <w:vAlign w:val="bottom"/>
            <w:shd w:val="clear" w:color="auto" w:fill="EEEEEE"/>
          </w:tcPr>
          <w:p>
            <w:pPr>
              <w:jc w:val="right"/>
              <w:ind w:right="14"/>
              <w:spacing w:after="0"/>
              <w:rPr>
                <w:sz w:val="20"/>
                <w:szCs w:val="20"/>
                <w:color w:val="auto"/>
              </w:rPr>
            </w:pPr>
            <w:r>
              <w:rPr>
                <w:rFonts w:ascii="Arial" w:cs="Arial" w:eastAsia="Arial" w:hAnsi="Arial"/>
                <w:sz w:val="18"/>
                <w:szCs w:val="18"/>
                <w:color w:val="auto"/>
              </w:rPr>
              <w:t>5</w:t>
            </w:r>
          </w:p>
        </w:tc>
      </w:tr>
      <w:tr>
        <w:trPr>
          <w:trHeight w:val="216"/>
        </w:trPr>
        <w:tc>
          <w:tcPr>
            <w:tcW w:w="980" w:type="dxa"/>
            <w:vAlign w:val="bottom"/>
          </w:tcPr>
          <w:p>
            <w:pPr>
              <w:spacing w:after="0"/>
              <w:rPr>
                <w:sz w:val="18"/>
                <w:szCs w:val="18"/>
                <w:color w:val="auto"/>
              </w:rPr>
            </w:pPr>
          </w:p>
        </w:tc>
        <w:tc>
          <w:tcPr>
            <w:tcW w:w="10040" w:type="dxa"/>
            <w:vAlign w:val="bottom"/>
          </w:tcPr>
          <w:p>
            <w:pPr>
              <w:ind w:left="240"/>
              <w:spacing w:after="0"/>
              <w:rPr>
                <w:sz w:val="20"/>
                <w:szCs w:val="20"/>
                <w:color w:val="auto"/>
              </w:rPr>
            </w:pPr>
            <w:r>
              <w:rPr>
                <w:rFonts w:ascii="Arial" w:cs="Arial" w:eastAsia="Arial" w:hAnsi="Arial"/>
                <w:sz w:val="18"/>
                <w:szCs w:val="18"/>
                <w:color w:val="auto"/>
              </w:rPr>
              <w:t>Notes to Condensed Consolidated Financial Statements</w:t>
            </w:r>
          </w:p>
        </w:tc>
        <w:tc>
          <w:tcPr>
            <w:tcW w:w="400" w:type="dxa"/>
            <w:vAlign w:val="bottom"/>
          </w:tcPr>
          <w:p>
            <w:pPr>
              <w:jc w:val="right"/>
              <w:ind w:right="14"/>
              <w:spacing w:after="0"/>
              <w:rPr>
                <w:sz w:val="20"/>
                <w:szCs w:val="20"/>
                <w:color w:val="auto"/>
              </w:rPr>
            </w:pPr>
            <w:r>
              <w:rPr>
                <w:rFonts w:ascii="Arial" w:cs="Arial" w:eastAsia="Arial" w:hAnsi="Arial"/>
                <w:sz w:val="18"/>
                <w:szCs w:val="18"/>
                <w:color w:val="auto"/>
              </w:rPr>
              <w:t>6</w:t>
            </w:r>
          </w:p>
        </w:tc>
      </w:tr>
      <w:tr>
        <w:trPr>
          <w:trHeight w:val="216"/>
        </w:trPr>
        <w:tc>
          <w:tcPr>
            <w:tcW w:w="980" w:type="dxa"/>
            <w:vAlign w:val="bottom"/>
            <w:shd w:val="clear" w:color="auto" w:fill="EEEEEE"/>
          </w:tcPr>
          <w:p>
            <w:pPr>
              <w:spacing w:after="0"/>
              <w:rPr>
                <w:sz w:val="20"/>
                <w:szCs w:val="20"/>
                <w:color w:val="auto"/>
              </w:rPr>
            </w:pPr>
            <w:r>
              <w:rPr>
                <w:rFonts w:ascii="Arial" w:cs="Arial" w:eastAsia="Arial" w:hAnsi="Arial"/>
                <w:sz w:val="18"/>
                <w:szCs w:val="18"/>
                <w:color w:val="auto"/>
              </w:rPr>
              <w:t>Item 2</w:t>
            </w:r>
          </w:p>
        </w:tc>
        <w:tc>
          <w:tcPr>
            <w:tcW w:w="100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Management’s Discussion and Analysis of Financial Condition and Results of Operations</w:t>
            </w:r>
          </w:p>
        </w:tc>
        <w:tc>
          <w:tcPr>
            <w:tcW w:w="400" w:type="dxa"/>
            <w:vAlign w:val="bottom"/>
            <w:shd w:val="clear" w:color="auto" w:fill="EEEEEE"/>
          </w:tcPr>
          <w:p>
            <w:pPr>
              <w:jc w:val="right"/>
              <w:ind w:right="14"/>
              <w:spacing w:after="0"/>
              <w:rPr>
                <w:sz w:val="20"/>
                <w:szCs w:val="20"/>
                <w:color w:val="auto"/>
              </w:rPr>
            </w:pPr>
            <w:r>
              <w:rPr>
                <w:rFonts w:ascii="Arial" w:cs="Arial" w:eastAsia="Arial" w:hAnsi="Arial"/>
                <w:sz w:val="18"/>
                <w:szCs w:val="18"/>
                <w:color w:val="auto"/>
              </w:rPr>
              <w:t>13</w:t>
            </w:r>
          </w:p>
        </w:tc>
      </w:tr>
      <w:tr>
        <w:trPr>
          <w:trHeight w:val="216"/>
        </w:trPr>
        <w:tc>
          <w:tcPr>
            <w:tcW w:w="980" w:type="dxa"/>
            <w:vAlign w:val="bottom"/>
          </w:tcPr>
          <w:p>
            <w:pPr>
              <w:spacing w:after="0"/>
              <w:rPr>
                <w:sz w:val="20"/>
                <w:szCs w:val="20"/>
                <w:color w:val="auto"/>
              </w:rPr>
            </w:pPr>
            <w:r>
              <w:rPr>
                <w:rFonts w:ascii="Arial" w:cs="Arial" w:eastAsia="Arial" w:hAnsi="Arial"/>
                <w:sz w:val="18"/>
                <w:szCs w:val="18"/>
                <w:color w:val="auto"/>
              </w:rPr>
              <w:t>Item 3</w:t>
            </w:r>
          </w:p>
        </w:tc>
        <w:tc>
          <w:tcPr>
            <w:tcW w:w="10040" w:type="dxa"/>
            <w:vAlign w:val="bottom"/>
          </w:tcPr>
          <w:p>
            <w:pPr>
              <w:ind w:left="240"/>
              <w:spacing w:after="0"/>
              <w:rPr>
                <w:sz w:val="20"/>
                <w:szCs w:val="20"/>
                <w:color w:val="auto"/>
              </w:rPr>
            </w:pPr>
            <w:r>
              <w:rPr>
                <w:rFonts w:ascii="Arial" w:cs="Arial" w:eastAsia="Arial" w:hAnsi="Arial"/>
                <w:sz w:val="18"/>
                <w:szCs w:val="18"/>
                <w:color w:val="auto"/>
              </w:rPr>
              <w:t>Quantitative and Qualitative Disclosures about Market Risk</w:t>
            </w:r>
          </w:p>
        </w:tc>
        <w:tc>
          <w:tcPr>
            <w:tcW w:w="400" w:type="dxa"/>
            <w:vAlign w:val="bottom"/>
          </w:tcPr>
          <w:p>
            <w:pPr>
              <w:jc w:val="right"/>
              <w:ind w:right="14"/>
              <w:spacing w:after="0"/>
              <w:rPr>
                <w:sz w:val="20"/>
                <w:szCs w:val="20"/>
                <w:color w:val="auto"/>
              </w:rPr>
            </w:pPr>
            <w:r>
              <w:rPr>
                <w:rFonts w:ascii="Arial" w:cs="Arial" w:eastAsia="Arial" w:hAnsi="Arial"/>
                <w:sz w:val="18"/>
                <w:szCs w:val="18"/>
                <w:color w:val="auto"/>
              </w:rPr>
              <w:t>33</w:t>
            </w:r>
          </w:p>
        </w:tc>
      </w:tr>
      <w:tr>
        <w:trPr>
          <w:trHeight w:val="216"/>
        </w:trPr>
        <w:tc>
          <w:tcPr>
            <w:tcW w:w="980" w:type="dxa"/>
            <w:vAlign w:val="bottom"/>
            <w:shd w:val="clear" w:color="auto" w:fill="EEEEEE"/>
          </w:tcPr>
          <w:p>
            <w:pPr>
              <w:spacing w:after="0"/>
              <w:rPr>
                <w:sz w:val="18"/>
                <w:szCs w:val="18"/>
                <w:color w:val="auto"/>
              </w:rPr>
            </w:pPr>
          </w:p>
        </w:tc>
        <w:tc>
          <w:tcPr>
            <w:tcW w:w="10040" w:type="dxa"/>
            <w:vAlign w:val="bottom"/>
            <w:shd w:val="clear" w:color="auto" w:fill="EEEEEE"/>
          </w:tcPr>
          <w:p>
            <w:pPr>
              <w:jc w:val="center"/>
              <w:ind w:right="492"/>
              <w:spacing w:after="0"/>
              <w:rPr>
                <w:sz w:val="20"/>
                <w:szCs w:val="20"/>
                <w:color w:val="auto"/>
              </w:rPr>
            </w:pPr>
            <w:r>
              <w:rPr>
                <w:rFonts w:ascii="Arial" w:cs="Arial" w:eastAsia="Arial" w:hAnsi="Arial"/>
                <w:sz w:val="18"/>
                <w:szCs w:val="18"/>
                <w:b w:val="1"/>
                <w:bCs w:val="1"/>
                <w:color w:val="auto"/>
              </w:rPr>
              <w:t>PART II.  OTHER INFORMATION</w:t>
            </w:r>
          </w:p>
        </w:tc>
        <w:tc>
          <w:tcPr>
            <w:tcW w:w="400" w:type="dxa"/>
            <w:vAlign w:val="bottom"/>
            <w:shd w:val="clear" w:color="auto" w:fill="EEEEEE"/>
          </w:tcPr>
          <w:p>
            <w:pPr>
              <w:spacing w:after="0"/>
              <w:rPr>
                <w:sz w:val="18"/>
                <w:szCs w:val="18"/>
                <w:color w:val="auto"/>
              </w:rPr>
            </w:pPr>
          </w:p>
        </w:tc>
      </w:tr>
      <w:tr>
        <w:trPr>
          <w:trHeight w:val="216"/>
        </w:trPr>
        <w:tc>
          <w:tcPr>
            <w:tcW w:w="980" w:type="dxa"/>
            <w:vAlign w:val="bottom"/>
          </w:tcPr>
          <w:p>
            <w:pPr>
              <w:spacing w:after="0"/>
              <w:rPr>
                <w:sz w:val="20"/>
                <w:szCs w:val="20"/>
                <w:color w:val="auto"/>
              </w:rPr>
            </w:pPr>
            <w:r>
              <w:rPr>
                <w:rFonts w:ascii="Arial" w:cs="Arial" w:eastAsia="Arial" w:hAnsi="Arial"/>
                <w:sz w:val="18"/>
                <w:szCs w:val="18"/>
                <w:color w:val="auto"/>
              </w:rPr>
              <w:t>Item 1</w:t>
            </w:r>
          </w:p>
        </w:tc>
        <w:tc>
          <w:tcPr>
            <w:tcW w:w="10040" w:type="dxa"/>
            <w:vAlign w:val="bottom"/>
          </w:tcPr>
          <w:p>
            <w:pPr>
              <w:ind w:left="240"/>
              <w:spacing w:after="0"/>
              <w:rPr>
                <w:sz w:val="20"/>
                <w:szCs w:val="20"/>
                <w:color w:val="auto"/>
              </w:rPr>
            </w:pPr>
            <w:r>
              <w:rPr>
                <w:rFonts w:ascii="Arial" w:cs="Arial" w:eastAsia="Arial" w:hAnsi="Arial"/>
                <w:sz w:val="18"/>
                <w:szCs w:val="18"/>
                <w:color w:val="auto"/>
              </w:rPr>
              <w:t>Legal Proceedings</w:t>
            </w:r>
          </w:p>
        </w:tc>
        <w:tc>
          <w:tcPr>
            <w:tcW w:w="400" w:type="dxa"/>
            <w:vAlign w:val="bottom"/>
          </w:tcPr>
          <w:p>
            <w:pPr>
              <w:jc w:val="right"/>
              <w:ind w:right="14"/>
              <w:spacing w:after="0"/>
              <w:rPr>
                <w:sz w:val="20"/>
                <w:szCs w:val="20"/>
                <w:color w:val="auto"/>
              </w:rPr>
            </w:pPr>
            <w:r>
              <w:rPr>
                <w:rFonts w:ascii="Arial" w:cs="Arial" w:eastAsia="Arial" w:hAnsi="Arial"/>
                <w:sz w:val="18"/>
                <w:szCs w:val="18"/>
                <w:color w:val="auto"/>
              </w:rPr>
              <w:t>34</w:t>
            </w:r>
          </w:p>
        </w:tc>
      </w:tr>
      <w:tr>
        <w:trPr>
          <w:trHeight w:val="216"/>
        </w:trPr>
        <w:tc>
          <w:tcPr>
            <w:tcW w:w="980" w:type="dxa"/>
            <w:vAlign w:val="bottom"/>
            <w:shd w:val="clear" w:color="auto" w:fill="EEEEEE"/>
          </w:tcPr>
          <w:p>
            <w:pPr>
              <w:spacing w:after="0"/>
              <w:rPr>
                <w:sz w:val="20"/>
                <w:szCs w:val="20"/>
                <w:color w:val="auto"/>
              </w:rPr>
            </w:pPr>
            <w:r>
              <w:rPr>
                <w:rFonts w:ascii="Arial" w:cs="Arial" w:eastAsia="Arial" w:hAnsi="Arial"/>
                <w:sz w:val="18"/>
                <w:szCs w:val="18"/>
                <w:color w:val="auto"/>
              </w:rPr>
              <w:t>Item 2</w:t>
            </w:r>
          </w:p>
        </w:tc>
        <w:tc>
          <w:tcPr>
            <w:tcW w:w="100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Changes in Securities and Use of Proceeds</w:t>
            </w:r>
          </w:p>
        </w:tc>
        <w:tc>
          <w:tcPr>
            <w:tcW w:w="400" w:type="dxa"/>
            <w:vAlign w:val="bottom"/>
            <w:shd w:val="clear" w:color="auto" w:fill="EEEEEE"/>
          </w:tcPr>
          <w:p>
            <w:pPr>
              <w:jc w:val="right"/>
              <w:ind w:right="14"/>
              <w:spacing w:after="0"/>
              <w:rPr>
                <w:sz w:val="20"/>
                <w:szCs w:val="20"/>
                <w:color w:val="auto"/>
              </w:rPr>
            </w:pPr>
            <w:r>
              <w:rPr>
                <w:rFonts w:ascii="Arial" w:cs="Arial" w:eastAsia="Arial" w:hAnsi="Arial"/>
                <w:sz w:val="18"/>
                <w:szCs w:val="18"/>
                <w:color w:val="auto"/>
              </w:rPr>
              <w:t>34</w:t>
            </w:r>
          </w:p>
        </w:tc>
      </w:tr>
      <w:tr>
        <w:trPr>
          <w:trHeight w:val="216"/>
        </w:trPr>
        <w:tc>
          <w:tcPr>
            <w:tcW w:w="980" w:type="dxa"/>
            <w:vAlign w:val="bottom"/>
          </w:tcPr>
          <w:p>
            <w:pPr>
              <w:spacing w:after="0"/>
              <w:rPr>
                <w:sz w:val="20"/>
                <w:szCs w:val="20"/>
                <w:color w:val="auto"/>
              </w:rPr>
            </w:pPr>
            <w:r>
              <w:rPr>
                <w:rFonts w:ascii="Arial" w:cs="Arial" w:eastAsia="Arial" w:hAnsi="Arial"/>
                <w:sz w:val="18"/>
                <w:szCs w:val="18"/>
                <w:color w:val="auto"/>
              </w:rPr>
              <w:t>Item 3</w:t>
            </w:r>
          </w:p>
        </w:tc>
        <w:tc>
          <w:tcPr>
            <w:tcW w:w="10040" w:type="dxa"/>
            <w:vAlign w:val="bottom"/>
          </w:tcPr>
          <w:p>
            <w:pPr>
              <w:ind w:left="240"/>
              <w:spacing w:after="0"/>
              <w:rPr>
                <w:sz w:val="20"/>
                <w:szCs w:val="20"/>
                <w:color w:val="auto"/>
              </w:rPr>
            </w:pPr>
            <w:r>
              <w:rPr>
                <w:rFonts w:ascii="Arial" w:cs="Arial" w:eastAsia="Arial" w:hAnsi="Arial"/>
                <w:sz w:val="18"/>
                <w:szCs w:val="18"/>
                <w:color w:val="auto"/>
              </w:rPr>
              <w:t>Defaults Upon Senior Securities</w:t>
            </w:r>
          </w:p>
        </w:tc>
        <w:tc>
          <w:tcPr>
            <w:tcW w:w="400" w:type="dxa"/>
            <w:vAlign w:val="bottom"/>
          </w:tcPr>
          <w:p>
            <w:pPr>
              <w:jc w:val="right"/>
              <w:ind w:right="14"/>
              <w:spacing w:after="0"/>
              <w:rPr>
                <w:sz w:val="20"/>
                <w:szCs w:val="20"/>
                <w:color w:val="auto"/>
              </w:rPr>
            </w:pPr>
            <w:r>
              <w:rPr>
                <w:rFonts w:ascii="Arial" w:cs="Arial" w:eastAsia="Arial" w:hAnsi="Arial"/>
                <w:sz w:val="18"/>
                <w:szCs w:val="18"/>
                <w:color w:val="auto"/>
              </w:rPr>
              <w:t>34</w:t>
            </w:r>
          </w:p>
        </w:tc>
      </w:tr>
      <w:tr>
        <w:trPr>
          <w:trHeight w:val="216"/>
        </w:trPr>
        <w:tc>
          <w:tcPr>
            <w:tcW w:w="980" w:type="dxa"/>
            <w:vAlign w:val="bottom"/>
            <w:shd w:val="clear" w:color="auto" w:fill="EEEEEE"/>
          </w:tcPr>
          <w:p>
            <w:pPr>
              <w:spacing w:after="0"/>
              <w:rPr>
                <w:sz w:val="20"/>
                <w:szCs w:val="20"/>
                <w:color w:val="auto"/>
              </w:rPr>
            </w:pPr>
            <w:r>
              <w:rPr>
                <w:rFonts w:ascii="Arial" w:cs="Arial" w:eastAsia="Arial" w:hAnsi="Arial"/>
                <w:sz w:val="18"/>
                <w:szCs w:val="18"/>
                <w:color w:val="auto"/>
              </w:rPr>
              <w:t>Item 4</w:t>
            </w:r>
          </w:p>
        </w:tc>
        <w:tc>
          <w:tcPr>
            <w:tcW w:w="100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Submission of Matters to a Vote of Securities Holders</w:t>
            </w:r>
          </w:p>
        </w:tc>
        <w:tc>
          <w:tcPr>
            <w:tcW w:w="400" w:type="dxa"/>
            <w:vAlign w:val="bottom"/>
            <w:shd w:val="clear" w:color="auto" w:fill="EEEEEE"/>
          </w:tcPr>
          <w:p>
            <w:pPr>
              <w:jc w:val="right"/>
              <w:ind w:right="14"/>
              <w:spacing w:after="0"/>
              <w:rPr>
                <w:sz w:val="20"/>
                <w:szCs w:val="20"/>
                <w:color w:val="auto"/>
              </w:rPr>
            </w:pPr>
            <w:r>
              <w:rPr>
                <w:rFonts w:ascii="Arial" w:cs="Arial" w:eastAsia="Arial" w:hAnsi="Arial"/>
                <w:sz w:val="18"/>
                <w:szCs w:val="18"/>
                <w:color w:val="auto"/>
              </w:rPr>
              <w:t>34</w:t>
            </w:r>
          </w:p>
        </w:tc>
      </w:tr>
      <w:tr>
        <w:trPr>
          <w:trHeight w:val="216"/>
        </w:trPr>
        <w:tc>
          <w:tcPr>
            <w:tcW w:w="980" w:type="dxa"/>
            <w:vAlign w:val="bottom"/>
          </w:tcPr>
          <w:p>
            <w:pPr>
              <w:spacing w:after="0"/>
              <w:rPr>
                <w:sz w:val="20"/>
                <w:szCs w:val="20"/>
                <w:color w:val="auto"/>
              </w:rPr>
            </w:pPr>
            <w:r>
              <w:rPr>
                <w:rFonts w:ascii="Arial" w:cs="Arial" w:eastAsia="Arial" w:hAnsi="Arial"/>
                <w:sz w:val="18"/>
                <w:szCs w:val="18"/>
                <w:color w:val="auto"/>
              </w:rPr>
              <w:t>Item 5</w:t>
            </w:r>
          </w:p>
        </w:tc>
        <w:tc>
          <w:tcPr>
            <w:tcW w:w="10040" w:type="dxa"/>
            <w:vAlign w:val="bottom"/>
          </w:tcPr>
          <w:p>
            <w:pPr>
              <w:ind w:left="240"/>
              <w:spacing w:after="0"/>
              <w:rPr>
                <w:sz w:val="20"/>
                <w:szCs w:val="20"/>
                <w:color w:val="auto"/>
              </w:rPr>
            </w:pPr>
            <w:r>
              <w:rPr>
                <w:rFonts w:ascii="Arial" w:cs="Arial" w:eastAsia="Arial" w:hAnsi="Arial"/>
                <w:sz w:val="18"/>
                <w:szCs w:val="18"/>
                <w:color w:val="auto"/>
              </w:rPr>
              <w:t>Other Information</w:t>
            </w:r>
          </w:p>
        </w:tc>
        <w:tc>
          <w:tcPr>
            <w:tcW w:w="400" w:type="dxa"/>
            <w:vAlign w:val="bottom"/>
          </w:tcPr>
          <w:p>
            <w:pPr>
              <w:jc w:val="right"/>
              <w:ind w:right="14"/>
              <w:spacing w:after="0"/>
              <w:rPr>
                <w:sz w:val="20"/>
                <w:szCs w:val="20"/>
                <w:color w:val="auto"/>
              </w:rPr>
            </w:pPr>
            <w:r>
              <w:rPr>
                <w:rFonts w:ascii="Arial" w:cs="Arial" w:eastAsia="Arial" w:hAnsi="Arial"/>
                <w:sz w:val="18"/>
                <w:szCs w:val="18"/>
                <w:color w:val="auto"/>
              </w:rPr>
              <w:t>34</w:t>
            </w:r>
          </w:p>
        </w:tc>
      </w:tr>
      <w:tr>
        <w:trPr>
          <w:trHeight w:val="216"/>
        </w:trPr>
        <w:tc>
          <w:tcPr>
            <w:tcW w:w="980" w:type="dxa"/>
            <w:vAlign w:val="bottom"/>
            <w:shd w:val="clear" w:color="auto" w:fill="EEEEEE"/>
          </w:tcPr>
          <w:p>
            <w:pPr>
              <w:spacing w:after="0"/>
              <w:rPr>
                <w:sz w:val="20"/>
                <w:szCs w:val="20"/>
                <w:color w:val="auto"/>
              </w:rPr>
            </w:pPr>
            <w:r>
              <w:rPr>
                <w:rFonts w:ascii="Arial" w:cs="Arial" w:eastAsia="Arial" w:hAnsi="Arial"/>
                <w:sz w:val="18"/>
                <w:szCs w:val="18"/>
                <w:color w:val="auto"/>
              </w:rPr>
              <w:t>Item 6</w:t>
            </w:r>
          </w:p>
        </w:tc>
        <w:tc>
          <w:tcPr>
            <w:tcW w:w="100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Exhibits and Reports on Form 8-K</w:t>
            </w:r>
          </w:p>
        </w:tc>
        <w:tc>
          <w:tcPr>
            <w:tcW w:w="400" w:type="dxa"/>
            <w:vAlign w:val="bottom"/>
            <w:shd w:val="clear" w:color="auto" w:fill="EEEEEE"/>
          </w:tcPr>
          <w:p>
            <w:pPr>
              <w:jc w:val="right"/>
              <w:ind w:right="14"/>
              <w:spacing w:after="0"/>
              <w:rPr>
                <w:sz w:val="20"/>
                <w:szCs w:val="20"/>
                <w:color w:val="auto"/>
              </w:rPr>
            </w:pPr>
            <w:r>
              <w:rPr>
                <w:rFonts w:ascii="Arial" w:cs="Arial" w:eastAsia="Arial" w:hAnsi="Arial"/>
                <w:sz w:val="18"/>
                <w:szCs w:val="18"/>
                <w:color w:val="auto"/>
              </w:rPr>
              <w:t>35</w:t>
            </w:r>
          </w:p>
        </w:tc>
      </w:tr>
      <w:tr>
        <w:trPr>
          <w:trHeight w:val="222"/>
        </w:trPr>
        <w:tc>
          <w:tcPr>
            <w:tcW w:w="980" w:type="dxa"/>
            <w:vAlign w:val="bottom"/>
          </w:tcPr>
          <w:p>
            <w:pPr>
              <w:spacing w:after="0"/>
              <w:rPr>
                <w:sz w:val="20"/>
                <w:szCs w:val="20"/>
                <w:color w:val="auto"/>
              </w:rPr>
            </w:pPr>
            <w:r>
              <w:rPr>
                <w:rFonts w:ascii="Arial" w:cs="Arial" w:eastAsia="Arial" w:hAnsi="Arial"/>
                <w:sz w:val="18"/>
                <w:szCs w:val="18"/>
                <w:color w:val="auto"/>
              </w:rPr>
              <w:t>Signatures</w:t>
            </w:r>
          </w:p>
        </w:tc>
        <w:tc>
          <w:tcPr>
            <w:tcW w:w="10040" w:type="dxa"/>
            <w:vAlign w:val="bottom"/>
          </w:tcPr>
          <w:p>
            <w:pPr>
              <w:spacing w:after="0"/>
              <w:rPr>
                <w:sz w:val="19"/>
                <w:szCs w:val="19"/>
                <w:color w:val="auto"/>
              </w:rPr>
            </w:pPr>
          </w:p>
        </w:tc>
        <w:tc>
          <w:tcPr>
            <w:tcW w:w="400" w:type="dxa"/>
            <w:vAlign w:val="bottom"/>
          </w:tcPr>
          <w:p>
            <w:pPr>
              <w:jc w:val="right"/>
              <w:ind w:right="14"/>
              <w:spacing w:after="0"/>
              <w:rPr>
                <w:sz w:val="20"/>
                <w:szCs w:val="20"/>
                <w:color w:val="auto"/>
              </w:rPr>
            </w:pPr>
            <w:r>
              <w:rPr>
                <w:rFonts w:ascii="Arial" w:cs="Arial" w:eastAsia="Arial" w:hAnsi="Arial"/>
                <w:sz w:val="18"/>
                <w:szCs w:val="18"/>
                <w:color w:val="auto"/>
              </w:rPr>
              <w:t>36</w:t>
            </w:r>
          </w:p>
        </w:tc>
      </w:tr>
      <w:tr>
        <w:trPr>
          <w:trHeight w:val="424"/>
        </w:trPr>
        <w:tc>
          <w:tcPr>
            <w:tcW w:w="980" w:type="dxa"/>
            <w:vAlign w:val="bottom"/>
          </w:tcPr>
          <w:p>
            <w:pPr>
              <w:spacing w:after="0"/>
              <w:rPr>
                <w:sz w:val="24"/>
                <w:szCs w:val="24"/>
                <w:color w:val="auto"/>
              </w:rPr>
            </w:pPr>
          </w:p>
        </w:tc>
        <w:tc>
          <w:tcPr>
            <w:tcW w:w="10040" w:type="dxa"/>
            <w:vAlign w:val="bottom"/>
          </w:tcPr>
          <w:p>
            <w:pPr>
              <w:jc w:val="center"/>
              <w:ind w:right="472"/>
              <w:spacing w:after="0"/>
              <w:rPr>
                <w:sz w:val="20"/>
                <w:szCs w:val="20"/>
                <w:color w:val="auto"/>
              </w:rPr>
            </w:pPr>
            <w:r>
              <w:rPr>
                <w:rFonts w:ascii="Arial" w:cs="Arial" w:eastAsia="Arial" w:hAnsi="Arial"/>
                <w:sz w:val="18"/>
                <w:szCs w:val="18"/>
                <w:color w:val="auto"/>
                <w:w w:val="79"/>
              </w:rPr>
              <w:t>2</w:t>
            </w:r>
          </w:p>
        </w:tc>
        <w:tc>
          <w:tcPr>
            <w:tcW w:w="400" w:type="dxa"/>
            <w:vAlign w:val="bottom"/>
          </w:tcPr>
          <w:p>
            <w:pPr>
              <w:spacing w:after="0"/>
              <w:rPr>
                <w:sz w:val="24"/>
                <w:szCs w:val="24"/>
                <w:color w:val="auto"/>
              </w:rPr>
            </w:pPr>
          </w:p>
        </w:tc>
      </w:tr>
      <w:tr>
        <w:trPr>
          <w:trHeight w:val="228"/>
        </w:trPr>
        <w:tc>
          <w:tcPr>
            <w:tcW w:w="980" w:type="dxa"/>
            <w:vAlign w:val="bottom"/>
            <w:tcBorders>
              <w:bottom w:val="single" w:sz="8" w:color="808080"/>
            </w:tcBorders>
          </w:tcPr>
          <w:p>
            <w:pPr>
              <w:spacing w:after="0"/>
              <w:rPr>
                <w:sz w:val="19"/>
                <w:szCs w:val="19"/>
                <w:color w:val="auto"/>
              </w:rPr>
            </w:pPr>
          </w:p>
        </w:tc>
        <w:tc>
          <w:tcPr>
            <w:tcW w:w="10040" w:type="dxa"/>
            <w:vAlign w:val="bottom"/>
            <w:tcBorders>
              <w:bottom w:val="single" w:sz="8" w:color="808080"/>
            </w:tcBorders>
          </w:tcPr>
          <w:p>
            <w:pPr>
              <w:spacing w:after="0"/>
              <w:rPr>
                <w:sz w:val="19"/>
                <w:szCs w:val="19"/>
                <w:color w:val="auto"/>
              </w:rPr>
            </w:pPr>
          </w:p>
        </w:tc>
        <w:tc>
          <w:tcPr>
            <w:tcW w:w="4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ASSETS</w:t>
      </w: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6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2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April 30,</w:t>
            </w: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6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jc w:val="right"/>
              <w:ind w:right="134"/>
              <w:spacing w:after="0"/>
              <w:rPr>
                <w:sz w:val="20"/>
                <w:szCs w:val="20"/>
                <w:color w:val="auto"/>
              </w:rPr>
            </w:pPr>
            <w:r>
              <w:rPr>
                <w:rFonts w:ascii="Arial" w:cs="Arial" w:eastAsia="Arial" w:hAnsi="Arial"/>
                <w:sz w:val="14"/>
                <w:szCs w:val="14"/>
                <w:b w:val="1"/>
                <w:bCs w:val="1"/>
                <w:color w:val="auto"/>
              </w:rPr>
              <w:t>2002</w:t>
            </w:r>
          </w:p>
        </w:tc>
        <w:tc>
          <w:tcPr>
            <w:tcW w:w="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jc w:val="right"/>
              <w:ind w:right="134"/>
              <w:spacing w:after="0"/>
              <w:rPr>
                <w:sz w:val="20"/>
                <w:szCs w:val="20"/>
                <w:color w:val="auto"/>
              </w:rPr>
            </w:pPr>
            <w:r>
              <w:rPr>
                <w:rFonts w:ascii="Arial" w:cs="Arial" w:eastAsia="Arial" w:hAnsi="Arial"/>
                <w:sz w:val="14"/>
                <w:szCs w:val="14"/>
                <w:b w:val="1"/>
                <w:bCs w:val="1"/>
                <w:color w:val="auto"/>
              </w:rPr>
              <w:t>2002</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Current assets: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Cash and cash equivalents</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114,254</w:t>
            </w:r>
          </w:p>
        </w:tc>
        <w:tc>
          <w:tcPr>
            <w:tcW w:w="50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114,483</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Short-term investments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142,767</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135,761</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Accounts receivable, net of allowances of $1,223 and $1,232</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56,387</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42,150</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Inventory</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22,117</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23,600</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Prepaid expenses and other current assets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12,636</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14,135</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Deferred income taxes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9,287</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9,287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current assets</w:t>
            </w: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357,448</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339,416</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Property and equipment, net</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59,836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52,924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Goodwill and acquired intangible assets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1,659,417</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1,680,740</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18,233</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17,975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82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assets</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2,094,934</w:t>
            </w:r>
          </w:p>
        </w:tc>
        <w:tc>
          <w:tcPr>
            <w:tcW w:w="500" w:type="dxa"/>
            <w:vAlign w:val="bottom"/>
          </w:tcPr>
          <w:p>
            <w:pPr>
              <w:spacing w:after="0"/>
              <w:rPr>
                <w:sz w:val="24"/>
                <w:szCs w:val="24"/>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2,091,055</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3780"/>
              <w:spacing w:after="0"/>
              <w:rPr>
                <w:sz w:val="20"/>
                <w:szCs w:val="20"/>
                <w:color w:val="auto"/>
              </w:rPr>
            </w:pPr>
            <w:r>
              <w:rPr>
                <w:rFonts w:ascii="Arial" w:cs="Arial" w:eastAsia="Arial" w:hAnsi="Arial"/>
                <w:sz w:val="18"/>
                <w:szCs w:val="18"/>
                <w:b w:val="1"/>
                <w:bCs w:val="1"/>
                <w:color w:val="auto"/>
              </w:rPr>
              <w:t>LIABILITIES AND SHAREHOLDERS’ EQUITY</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Current liabilities:</w:t>
            </w: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Accounts payable</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36,885</w:t>
            </w:r>
          </w:p>
        </w:tc>
        <w:tc>
          <w:tcPr>
            <w:tcW w:w="5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30,990</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Accrued liabilities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11,692</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14,083</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Accrued employee compensation</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10,878</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11,755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Accrued facility consolidation charge</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16,623</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Income taxes payable</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19,689</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17,744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Deferred income</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11,750</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8,907</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Current portion of capital lease obligations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1,201</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1,039</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current liabilities</w:t>
            </w: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108,718</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84,518</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Capital lease obligations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9,636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10,017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7,136</w:t>
            </w: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6,793</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580"/>
              <w:spacing w:after="0"/>
              <w:rPr>
                <w:sz w:val="20"/>
                <w:szCs w:val="20"/>
                <w:color w:val="auto"/>
              </w:rPr>
            </w:pPr>
            <w:r>
              <w:rPr>
                <w:rFonts w:ascii="Arial" w:cs="Arial" w:eastAsia="Arial" w:hAnsi="Arial"/>
                <w:sz w:val="18"/>
                <w:szCs w:val="18"/>
                <w:color w:val="auto"/>
              </w:rPr>
              <w:t>Total liabilities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125,490</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101,328</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660" w:type="dxa"/>
            <w:vAlign w:val="bottom"/>
            <w:gridSpan w:val="2"/>
            <w:vMerge w:val="restart"/>
          </w:tcPr>
          <w:p>
            <w:pPr>
              <w:spacing w:after="0"/>
              <w:rPr>
                <w:sz w:val="20"/>
                <w:szCs w:val="20"/>
                <w:color w:val="auto"/>
              </w:rPr>
            </w:pPr>
            <w:r>
              <w:rPr>
                <w:rFonts w:ascii="Arial" w:cs="Arial" w:eastAsia="Arial" w:hAnsi="Arial"/>
                <w:sz w:val="18"/>
                <w:szCs w:val="18"/>
                <w:color w:val="auto"/>
              </w:rPr>
              <w:t>Shareholders’ equity:</w:t>
            </w: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7660" w:type="dxa"/>
            <w:vAlign w:val="bottom"/>
            <w:gridSpan w:val="2"/>
            <w:vMerge w:val="continue"/>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w w:val="93"/>
              </w:rPr>
              <w:t>Common stock, $0.002 par value; 242,000 shares authorized; 119,401 and 118,577 shares issued</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640" w:type="dxa"/>
            <w:vAlign w:val="bottom"/>
            <w:shd w:val="clear" w:color="auto" w:fill="EEEEEE"/>
          </w:tcPr>
          <w:p>
            <w:pPr>
              <w:ind w:left="420"/>
              <w:spacing w:after="0"/>
              <w:rPr>
                <w:sz w:val="20"/>
                <w:szCs w:val="20"/>
                <w:color w:val="auto"/>
              </w:rPr>
            </w:pPr>
            <w:r>
              <w:rPr>
                <w:rFonts w:ascii="Arial" w:cs="Arial" w:eastAsia="Arial" w:hAnsi="Arial"/>
                <w:sz w:val="18"/>
                <w:szCs w:val="18"/>
                <w:color w:val="auto"/>
              </w:rPr>
              <w:t>and outstanding</w:t>
            </w:r>
          </w:p>
        </w:tc>
        <w:tc>
          <w:tcPr>
            <w:tcW w:w="500" w:type="dxa"/>
            <w:vAlign w:val="bottom"/>
            <w:shd w:val="clear" w:color="auto" w:fill="EEEEEE"/>
          </w:tcPr>
          <w:p>
            <w:pPr>
              <w:spacing w:after="0"/>
              <w:rPr>
                <w:sz w:val="19"/>
                <w:szCs w:val="19"/>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239</w:t>
            </w:r>
          </w:p>
        </w:tc>
        <w:tc>
          <w:tcPr>
            <w:tcW w:w="500" w:type="dxa"/>
            <w:vAlign w:val="bottom"/>
            <w:shd w:val="clear" w:color="auto" w:fill="EEEEEE"/>
          </w:tcPr>
          <w:p>
            <w:pPr>
              <w:spacing w:after="0"/>
              <w:rPr>
                <w:sz w:val="19"/>
                <w:szCs w:val="19"/>
                <w:color w:val="auto"/>
              </w:rPr>
            </w:pPr>
          </w:p>
        </w:tc>
        <w:tc>
          <w:tcPr>
            <w:tcW w:w="320" w:type="dxa"/>
            <w:vAlign w:val="bottom"/>
            <w:shd w:val="clear" w:color="auto" w:fill="EEEEEE"/>
          </w:tcPr>
          <w:p>
            <w:pPr>
              <w:spacing w:after="0"/>
              <w:rPr>
                <w:sz w:val="19"/>
                <w:szCs w:val="19"/>
                <w:color w:val="auto"/>
              </w:rPr>
            </w:pPr>
          </w:p>
        </w:tc>
        <w:tc>
          <w:tcPr>
            <w:tcW w:w="500" w:type="dxa"/>
            <w:vAlign w:val="bottom"/>
            <w:shd w:val="clear" w:color="auto" w:fill="EEEEEE"/>
          </w:tcPr>
          <w:p>
            <w:pPr>
              <w:spacing w:after="0"/>
              <w:rPr>
                <w:sz w:val="19"/>
                <w:szCs w:val="19"/>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238</w:t>
            </w:r>
          </w:p>
        </w:tc>
        <w:tc>
          <w:tcPr>
            <w:tcW w:w="50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Additional paid-in capital</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2,655,683</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2,646,757</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Deferred stock-based compensation</w:t>
            </w: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rPr>
              <w:t>(7,817)</w:t>
            </w: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rPr>
              <w:t>(10,099)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Accumulated other comprehensive income</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388</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946</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Accumulated deficit</w:t>
            </w: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w w:val="95"/>
              </w:rPr>
              <w:t>(679,049)</w:t>
            </w: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w w:val="95"/>
              </w:rPr>
              <w:t>(648,115)</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shareholders’ equity</w:t>
            </w: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1,969,444</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1,989,727</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580"/>
              <w:spacing w:after="0"/>
              <w:rPr>
                <w:sz w:val="20"/>
                <w:szCs w:val="20"/>
                <w:color w:val="auto"/>
              </w:rPr>
            </w:pPr>
            <w:r>
              <w:rPr>
                <w:rFonts w:ascii="Arial" w:cs="Arial" w:eastAsia="Arial" w:hAnsi="Arial"/>
                <w:sz w:val="18"/>
                <w:szCs w:val="18"/>
                <w:color w:val="auto"/>
              </w:rPr>
              <w:t>Total liabilities and shareholders’ equity</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2,094,934</w:t>
            </w:r>
          </w:p>
        </w:tc>
        <w:tc>
          <w:tcPr>
            <w:tcW w:w="5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2,091,055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condensed consolidated financial statements.</w:t>
      </w:r>
    </w:p>
    <w:p>
      <w:pPr>
        <w:sectPr>
          <w:pgSz w:w="11900" w:h="16838" w:orient="portrait"/>
          <w:cols w:equalWidth="0" w:num="1">
            <w:col w:w="11420"/>
          </w:cols>
          <w:pgMar w:left="240" w:top="419" w:right="239" w:bottom="1440" w:gutter="0" w:footer="0" w:header="0"/>
        </w:sectPr>
      </w:pP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500" w:type="dxa"/>
            <w:vAlign w:val="bottom"/>
            <w:gridSpan w:val="5"/>
          </w:tcPr>
          <w:p>
            <w:pPr>
              <w:jc w:val="right"/>
              <w:ind w:right="1200"/>
              <w:spacing w:after="0"/>
              <w:rPr>
                <w:sz w:val="20"/>
                <w:szCs w:val="20"/>
                <w:color w:val="auto"/>
              </w:rPr>
            </w:pPr>
            <w:r>
              <w:rPr>
                <w:rFonts w:ascii="Arial" w:cs="Arial" w:eastAsia="Arial" w:hAnsi="Arial"/>
                <w:sz w:val="14"/>
                <w:szCs w:val="14"/>
                <w:b w:val="1"/>
                <w:bCs w:val="1"/>
                <w:color w:val="auto"/>
                <w:w w:val="92"/>
              </w:rPr>
              <w:t>Three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64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8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April 30,</w:t>
            </w:r>
          </w:p>
        </w:tc>
        <w:tc>
          <w:tcPr>
            <w:tcW w:w="6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1360" w:type="dxa"/>
            <w:vAlign w:val="bottom"/>
          </w:tcPr>
          <w:p>
            <w:pPr>
              <w:spacing w:after="0"/>
              <w:rPr>
                <w:sz w:val="22"/>
                <w:szCs w:val="22"/>
                <w:color w:val="auto"/>
              </w:rPr>
            </w:pPr>
          </w:p>
        </w:tc>
        <w:tc>
          <w:tcPr>
            <w:tcW w:w="642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80" w:type="dxa"/>
            <w:vAlign w:val="bottom"/>
          </w:tcPr>
          <w:p>
            <w:pPr>
              <w:jc w:val="right"/>
              <w:ind w:right="13"/>
              <w:spacing w:after="0"/>
              <w:rPr>
                <w:sz w:val="20"/>
                <w:szCs w:val="20"/>
                <w:color w:val="auto"/>
              </w:rPr>
            </w:pPr>
            <w:r>
              <w:rPr>
                <w:rFonts w:ascii="Arial" w:cs="Arial" w:eastAsia="Arial" w:hAnsi="Arial"/>
                <w:sz w:val="14"/>
                <w:szCs w:val="14"/>
                <w:b w:val="1"/>
                <w:bCs w:val="1"/>
                <w:color w:val="auto"/>
              </w:rPr>
              <w:t>2002</w:t>
            </w:r>
          </w:p>
        </w:tc>
        <w:tc>
          <w:tcPr>
            <w:tcW w:w="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640" w:type="dxa"/>
            <w:vAlign w:val="bottom"/>
          </w:tcPr>
          <w:p>
            <w:pPr>
              <w:jc w:val="right"/>
              <w:ind w:right="53"/>
              <w:spacing w:after="0"/>
              <w:rPr>
                <w:sz w:val="20"/>
                <w:szCs w:val="20"/>
                <w:color w:val="auto"/>
              </w:rPr>
            </w:pPr>
            <w:r>
              <w:rPr>
                <w:rFonts w:ascii="Arial" w:cs="Arial" w:eastAsia="Arial" w:hAnsi="Arial"/>
                <w:sz w:val="14"/>
                <w:szCs w:val="14"/>
                <w:b w:val="1"/>
                <w:bCs w:val="1"/>
                <w:color w:val="auto"/>
              </w:rPr>
              <w:t>2001</w:t>
            </w:r>
          </w:p>
        </w:tc>
        <w:tc>
          <w:tcPr>
            <w:tcW w:w="6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revenue</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98,800</w:t>
            </w:r>
          </w:p>
        </w:tc>
        <w:tc>
          <w:tcPr>
            <w:tcW w:w="1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64,230</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4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Cost of goods sold (1)</w:t>
            </w:r>
          </w:p>
        </w:tc>
        <w:tc>
          <w:tcPr>
            <w:tcW w:w="4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43,780</w:t>
            </w: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30,161</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tcPr>
          <w:p>
            <w:pPr>
              <w:ind w:left="280"/>
              <w:spacing w:after="0"/>
              <w:rPr>
                <w:sz w:val="20"/>
                <w:szCs w:val="20"/>
                <w:color w:val="auto"/>
              </w:rPr>
            </w:pPr>
            <w:r>
              <w:rPr>
                <w:rFonts w:ascii="Arial" w:cs="Arial" w:eastAsia="Arial" w:hAnsi="Arial"/>
                <w:sz w:val="18"/>
                <w:szCs w:val="18"/>
                <w:color w:val="auto"/>
              </w:rPr>
              <w:t>Research and development (1)</w:t>
            </w:r>
          </w:p>
        </w:tc>
        <w:tc>
          <w:tcPr>
            <w:tcW w:w="4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30,609</w:t>
            </w: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20,066</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Selling and marketing (1)</w:t>
            </w:r>
          </w:p>
        </w:tc>
        <w:tc>
          <w:tcPr>
            <w:tcW w:w="4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11,012</w:t>
            </w: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9,545</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tcPr>
          <w:p>
            <w:pPr>
              <w:ind w:left="280"/>
              <w:spacing w:after="0"/>
              <w:rPr>
                <w:sz w:val="20"/>
                <w:szCs w:val="20"/>
                <w:color w:val="auto"/>
              </w:rPr>
            </w:pPr>
            <w:r>
              <w:rPr>
                <w:rFonts w:ascii="Arial" w:cs="Arial" w:eastAsia="Arial" w:hAnsi="Arial"/>
                <w:sz w:val="18"/>
                <w:szCs w:val="18"/>
                <w:color w:val="auto"/>
              </w:rPr>
              <w:t>General and administrative (1)</w:t>
            </w:r>
          </w:p>
        </w:tc>
        <w:tc>
          <w:tcPr>
            <w:tcW w:w="4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3,642</w:t>
            </w: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2,985</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Amortization of stock-based compensation</w:t>
            </w:r>
          </w:p>
        </w:tc>
        <w:tc>
          <w:tcPr>
            <w:tcW w:w="4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2,282</w:t>
            </w: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4,113</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tcPr>
          <w:p>
            <w:pPr>
              <w:ind w:left="280"/>
              <w:spacing w:after="0"/>
              <w:rPr>
                <w:sz w:val="20"/>
                <w:szCs w:val="20"/>
                <w:color w:val="auto"/>
              </w:rPr>
            </w:pPr>
            <w:r>
              <w:rPr>
                <w:rFonts w:ascii="Arial" w:cs="Arial" w:eastAsia="Arial" w:hAnsi="Arial"/>
                <w:sz w:val="18"/>
                <w:szCs w:val="18"/>
                <w:color w:val="auto"/>
              </w:rPr>
              <w:t>Amortization of goodwill and acquired intangible assets</w:t>
            </w:r>
          </w:p>
        </w:tc>
        <w:tc>
          <w:tcPr>
            <w:tcW w:w="4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21,323</w:t>
            </w: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104,508</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Facilities consolidation charge</w:t>
            </w:r>
          </w:p>
        </w:tc>
        <w:tc>
          <w:tcPr>
            <w:tcW w:w="4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17,799</w:t>
            </w: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1260" w:type="dxa"/>
            <w:vAlign w:val="bottom"/>
            <w:gridSpan w:val="2"/>
            <w:shd w:val="clear" w:color="auto" w:fill="EEEEEE"/>
          </w:tcPr>
          <w:p>
            <w:pPr>
              <w:jc w:val="right"/>
              <w:ind w:right="6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360" w:type="dxa"/>
            <w:vAlign w:val="bottom"/>
          </w:tcPr>
          <w:p>
            <w:pPr>
              <w:spacing w:after="0"/>
              <w:rPr>
                <w:sz w:val="9"/>
                <w:szCs w:val="9"/>
                <w:color w:val="auto"/>
              </w:rPr>
            </w:pPr>
          </w:p>
        </w:tc>
        <w:tc>
          <w:tcPr>
            <w:tcW w:w="6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4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780" w:type="dxa"/>
            <w:vAlign w:val="bottom"/>
            <w:gridSpan w:val="2"/>
          </w:tcPr>
          <w:p>
            <w:pPr>
              <w:ind w:left="900"/>
              <w:spacing w:after="0"/>
              <w:rPr>
                <w:sz w:val="20"/>
                <w:szCs w:val="20"/>
                <w:color w:val="auto"/>
              </w:rPr>
            </w:pPr>
            <w:r>
              <w:rPr>
                <w:rFonts w:ascii="Arial" w:cs="Arial" w:eastAsia="Arial" w:hAnsi="Arial"/>
                <w:sz w:val="18"/>
                <w:szCs w:val="18"/>
                <w:color w:val="auto"/>
              </w:rPr>
              <w:t>Total operating costs and expenses</w:t>
            </w:r>
          </w:p>
        </w:tc>
        <w:tc>
          <w:tcPr>
            <w:tcW w:w="4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130,447</w:t>
            </w: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171,378</w:t>
            </w: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360" w:type="dxa"/>
            <w:vAlign w:val="bottom"/>
          </w:tcPr>
          <w:p>
            <w:pPr>
              <w:spacing w:after="0"/>
              <w:rPr>
                <w:sz w:val="9"/>
                <w:szCs w:val="9"/>
                <w:color w:val="auto"/>
              </w:rPr>
            </w:pPr>
          </w:p>
        </w:tc>
        <w:tc>
          <w:tcPr>
            <w:tcW w:w="6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4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Operating loss</w:t>
            </w:r>
          </w:p>
        </w:tc>
        <w:tc>
          <w:tcPr>
            <w:tcW w:w="42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w w:val="92"/>
              </w:rPr>
              <w:t>(31,647)</w:t>
            </w: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1260" w:type="dxa"/>
            <w:vAlign w:val="bottom"/>
            <w:gridSpan w:val="2"/>
            <w:shd w:val="clear" w:color="auto" w:fill="EEEEEE"/>
          </w:tcPr>
          <w:p>
            <w:pPr>
              <w:jc w:val="right"/>
              <w:ind w:right="560"/>
              <w:spacing w:after="0"/>
              <w:rPr>
                <w:sz w:val="20"/>
                <w:szCs w:val="20"/>
                <w:color w:val="auto"/>
              </w:rPr>
            </w:pPr>
            <w:r>
              <w:rPr>
                <w:rFonts w:ascii="Arial" w:cs="Arial" w:eastAsia="Arial" w:hAnsi="Arial"/>
                <w:sz w:val="18"/>
                <w:szCs w:val="18"/>
                <w:color w:val="auto"/>
                <w:w w:val="88"/>
              </w:rPr>
              <w:t>(107,148)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78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4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2,139</w:t>
            </w: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2,967</w:t>
            </w:r>
          </w:p>
        </w:tc>
        <w:tc>
          <w:tcPr>
            <w:tcW w:w="6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Loss before income taxes</w:t>
            </w:r>
          </w:p>
        </w:tc>
        <w:tc>
          <w:tcPr>
            <w:tcW w:w="42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w w:val="92"/>
              </w:rPr>
              <w:t>(29,508)</w:t>
            </w: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1260" w:type="dxa"/>
            <w:vAlign w:val="bottom"/>
            <w:gridSpan w:val="2"/>
            <w:shd w:val="clear" w:color="auto" w:fill="EEEEEE"/>
          </w:tcPr>
          <w:p>
            <w:pPr>
              <w:jc w:val="right"/>
              <w:ind w:right="560"/>
              <w:spacing w:after="0"/>
              <w:rPr>
                <w:sz w:val="20"/>
                <w:szCs w:val="20"/>
                <w:color w:val="auto"/>
              </w:rPr>
            </w:pPr>
            <w:r>
              <w:rPr>
                <w:rFonts w:ascii="Arial" w:cs="Arial" w:eastAsia="Arial" w:hAnsi="Arial"/>
                <w:sz w:val="18"/>
                <w:szCs w:val="18"/>
                <w:color w:val="auto"/>
                <w:w w:val="88"/>
              </w:rPr>
              <w:t>(104,181)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78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4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1,426</w:t>
            </w: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785</w:t>
            </w:r>
          </w:p>
        </w:tc>
        <w:tc>
          <w:tcPr>
            <w:tcW w:w="6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loss</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w w:val="92"/>
              </w:rPr>
              <w:t>(30,934)</w:t>
            </w: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EEEEEE"/>
          </w:tcPr>
          <w:p>
            <w:pPr>
              <w:jc w:val="right"/>
              <w:ind w:right="560"/>
              <w:spacing w:after="0"/>
              <w:rPr>
                <w:sz w:val="20"/>
                <w:szCs w:val="20"/>
                <w:color w:val="auto"/>
              </w:rPr>
            </w:pPr>
            <w:r>
              <w:rPr>
                <w:rFonts w:ascii="Arial" w:cs="Arial" w:eastAsia="Arial" w:hAnsi="Arial"/>
                <w:sz w:val="18"/>
                <w:szCs w:val="18"/>
                <w:color w:val="auto"/>
                <w:w w:val="88"/>
              </w:rPr>
              <w:t>(104,966)</w:t>
            </w:r>
          </w:p>
        </w:tc>
        <w:tc>
          <w:tcPr>
            <w:tcW w:w="0" w:type="dxa"/>
            <w:vAlign w:val="bottom"/>
          </w:tcPr>
          <w:p>
            <w:pPr>
              <w:spacing w:after="0"/>
              <w:rPr>
                <w:sz w:val="1"/>
                <w:szCs w:val="1"/>
                <w:color w:val="auto"/>
              </w:rPr>
            </w:pPr>
          </w:p>
        </w:tc>
      </w:tr>
      <w:tr>
        <w:trPr>
          <w:trHeight w:val="105"/>
        </w:trPr>
        <w:tc>
          <w:tcPr>
            <w:tcW w:w="7800" w:type="dxa"/>
            <w:vAlign w:val="bottom"/>
            <w:gridSpan w:val="3"/>
            <w:vMerge w:val="restart"/>
          </w:tcPr>
          <w:p>
            <w:pPr>
              <w:spacing w:after="0"/>
              <w:rPr>
                <w:sz w:val="20"/>
                <w:szCs w:val="20"/>
                <w:color w:val="auto"/>
              </w:rPr>
            </w:pPr>
            <w:r>
              <w:rPr>
                <w:rFonts w:ascii="Arial" w:cs="Arial" w:eastAsia="Arial" w:hAnsi="Arial"/>
                <w:sz w:val="18"/>
                <w:szCs w:val="18"/>
                <w:color w:val="auto"/>
              </w:rPr>
              <w:t>Net loss per share:</w:t>
            </w: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7800" w:type="dxa"/>
            <w:vAlign w:val="bottom"/>
            <w:gridSpan w:val="3"/>
            <w:vMerge w:val="continue"/>
          </w:tcPr>
          <w:p>
            <w:pPr>
              <w:spacing w:after="0"/>
              <w:rPr>
                <w:sz w:val="5"/>
                <w:szCs w:val="5"/>
                <w:color w:val="auto"/>
              </w:rPr>
            </w:pPr>
          </w:p>
        </w:tc>
        <w:tc>
          <w:tcPr>
            <w:tcW w:w="4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7800" w:type="dxa"/>
            <w:vAlign w:val="bottom"/>
            <w:gridSpan w:val="3"/>
            <w:vMerge w:val="continue"/>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78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Basic</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(0.26)</w:t>
            </w: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EEEEEE"/>
          </w:tcPr>
          <w:p>
            <w:pPr>
              <w:jc w:val="right"/>
              <w:ind w:right="560"/>
              <w:spacing w:after="0"/>
              <w:rPr>
                <w:sz w:val="20"/>
                <w:szCs w:val="20"/>
                <w:color w:val="auto"/>
              </w:rPr>
            </w:pPr>
            <w:r>
              <w:rPr>
                <w:rFonts w:ascii="Arial" w:cs="Arial" w:eastAsia="Arial" w:hAnsi="Arial"/>
                <w:sz w:val="18"/>
                <w:szCs w:val="18"/>
                <w:color w:val="auto"/>
              </w:rPr>
              <w:t>(0.93)</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360" w:type="dxa"/>
            <w:vAlign w:val="bottom"/>
          </w:tcPr>
          <w:p>
            <w:pPr>
              <w:spacing w:after="0"/>
              <w:rPr>
                <w:sz w:val="9"/>
                <w:szCs w:val="9"/>
                <w:color w:val="auto"/>
              </w:rPr>
            </w:pPr>
          </w:p>
        </w:tc>
        <w:tc>
          <w:tcPr>
            <w:tcW w:w="6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gridSpan w:val="2"/>
          </w:tcPr>
          <w:p>
            <w:pPr>
              <w:spacing w:after="0"/>
              <w:rPr>
                <w:sz w:val="9"/>
                <w:szCs w:val="9"/>
                <w:color w:val="auto"/>
              </w:rPr>
            </w:pPr>
          </w:p>
        </w:tc>
        <w:tc>
          <w:tcPr>
            <w:tcW w:w="1240" w:type="dxa"/>
            <w:vAlign w:val="bottom"/>
            <w:gridSpan w:val="3"/>
          </w:tcPr>
          <w:p>
            <w:pPr>
              <w:spacing w:after="0"/>
              <w:rPr>
                <w:sz w:val="9"/>
                <w:szCs w:val="9"/>
                <w:color w:val="auto"/>
              </w:rPr>
            </w:pPr>
          </w:p>
        </w:tc>
        <w:tc>
          <w:tcPr>
            <w:tcW w:w="126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360" w:type="dxa"/>
            <w:vAlign w:val="bottom"/>
          </w:tcPr>
          <w:p>
            <w:pPr>
              <w:spacing w:after="0"/>
              <w:rPr>
                <w:sz w:val="5"/>
                <w:szCs w:val="5"/>
                <w:color w:val="auto"/>
              </w:rPr>
            </w:pPr>
          </w:p>
        </w:tc>
        <w:tc>
          <w:tcPr>
            <w:tcW w:w="6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3"/>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7780" w:type="dxa"/>
            <w:vAlign w:val="bottom"/>
            <w:gridSpan w:val="2"/>
          </w:tcPr>
          <w:p>
            <w:pPr>
              <w:ind w:left="280"/>
              <w:spacing w:after="0"/>
              <w:rPr>
                <w:sz w:val="20"/>
                <w:szCs w:val="20"/>
                <w:color w:val="auto"/>
              </w:rPr>
            </w:pPr>
            <w:r>
              <w:rPr>
                <w:rFonts w:ascii="Arial" w:cs="Arial" w:eastAsia="Arial" w:hAnsi="Arial"/>
                <w:sz w:val="18"/>
                <w:szCs w:val="18"/>
                <w:color w:val="auto"/>
              </w:rPr>
              <w:t>Diluted</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(0.26)</w:t>
            </w: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560"/>
              <w:spacing w:after="0"/>
              <w:rPr>
                <w:sz w:val="20"/>
                <w:szCs w:val="20"/>
                <w:color w:val="auto"/>
              </w:rPr>
            </w:pPr>
            <w:r>
              <w:rPr>
                <w:rFonts w:ascii="Arial" w:cs="Arial" w:eastAsia="Arial" w:hAnsi="Arial"/>
                <w:sz w:val="18"/>
                <w:szCs w:val="18"/>
                <w:color w:val="auto"/>
              </w:rPr>
              <w:t>(0.93)</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360" w:type="dxa"/>
            <w:vAlign w:val="bottom"/>
          </w:tcPr>
          <w:p>
            <w:pPr>
              <w:spacing w:after="0"/>
              <w:rPr>
                <w:sz w:val="9"/>
                <w:szCs w:val="9"/>
                <w:color w:val="auto"/>
              </w:rPr>
            </w:pPr>
          </w:p>
        </w:tc>
        <w:tc>
          <w:tcPr>
            <w:tcW w:w="6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360" w:type="dxa"/>
            <w:vAlign w:val="bottom"/>
          </w:tcPr>
          <w:p>
            <w:pPr>
              <w:spacing w:after="0"/>
              <w:rPr>
                <w:sz w:val="5"/>
                <w:szCs w:val="5"/>
                <w:color w:val="auto"/>
              </w:rPr>
            </w:pPr>
          </w:p>
        </w:tc>
        <w:tc>
          <w:tcPr>
            <w:tcW w:w="6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360" w:type="dxa"/>
            <w:vAlign w:val="bottom"/>
          </w:tcPr>
          <w:p>
            <w:pPr>
              <w:spacing w:after="0"/>
              <w:rPr>
                <w:sz w:val="9"/>
                <w:szCs w:val="9"/>
                <w:color w:val="auto"/>
              </w:rPr>
            </w:pPr>
          </w:p>
        </w:tc>
        <w:tc>
          <w:tcPr>
            <w:tcW w:w="6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Weighted average shares:</w:t>
            </w:r>
          </w:p>
        </w:tc>
        <w:tc>
          <w:tcPr>
            <w:tcW w:w="4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780" w:type="dxa"/>
            <w:vAlign w:val="bottom"/>
            <w:gridSpan w:val="2"/>
          </w:tcPr>
          <w:p>
            <w:pPr>
              <w:ind w:left="280"/>
              <w:spacing w:after="0"/>
              <w:rPr>
                <w:sz w:val="20"/>
                <w:szCs w:val="20"/>
                <w:color w:val="auto"/>
              </w:rPr>
            </w:pPr>
            <w:r>
              <w:rPr>
                <w:rFonts w:ascii="Arial" w:cs="Arial" w:eastAsia="Arial" w:hAnsi="Arial"/>
                <w:sz w:val="18"/>
                <w:szCs w:val="18"/>
                <w:color w:val="auto"/>
              </w:rPr>
              <w:t>Basic</w:t>
            </w:r>
          </w:p>
        </w:tc>
        <w:tc>
          <w:tcPr>
            <w:tcW w:w="4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118,089</w:t>
            </w: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112,517</w:t>
            </w:r>
          </w:p>
        </w:tc>
        <w:tc>
          <w:tcPr>
            <w:tcW w:w="6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360" w:type="dxa"/>
            <w:vAlign w:val="bottom"/>
          </w:tcPr>
          <w:p>
            <w:pPr>
              <w:spacing w:after="0"/>
              <w:rPr>
                <w:sz w:val="5"/>
                <w:szCs w:val="5"/>
                <w:color w:val="auto"/>
              </w:rPr>
            </w:pPr>
          </w:p>
        </w:tc>
        <w:tc>
          <w:tcPr>
            <w:tcW w:w="6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360" w:type="dxa"/>
            <w:vAlign w:val="bottom"/>
          </w:tcPr>
          <w:p>
            <w:pPr>
              <w:spacing w:after="0"/>
              <w:rPr>
                <w:sz w:val="9"/>
                <w:szCs w:val="9"/>
                <w:color w:val="auto"/>
              </w:rPr>
            </w:pPr>
          </w:p>
        </w:tc>
        <w:tc>
          <w:tcPr>
            <w:tcW w:w="6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Diluted</w:t>
            </w:r>
          </w:p>
        </w:tc>
        <w:tc>
          <w:tcPr>
            <w:tcW w:w="4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118,089</w:t>
            </w: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5"/>
              </w:rPr>
              <w:t>112,517</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1380" w:type="dxa"/>
            <w:vAlign w:val="bottom"/>
            <w:gridSpan w:val="2"/>
          </w:tcPr>
          <w:p>
            <w:pPr>
              <w:spacing w:after="0"/>
              <w:rPr>
                <w:sz w:val="9"/>
                <w:szCs w:val="9"/>
                <w:color w:val="auto"/>
              </w:rPr>
            </w:pPr>
          </w:p>
        </w:tc>
        <w:tc>
          <w:tcPr>
            <w:tcW w:w="6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380" w:type="dxa"/>
            <w:vAlign w:val="bottom"/>
            <w:gridSpan w:val="2"/>
          </w:tcPr>
          <w:p>
            <w:pPr>
              <w:spacing w:after="0"/>
              <w:rPr>
                <w:sz w:val="5"/>
                <w:szCs w:val="5"/>
                <w:color w:val="auto"/>
              </w:rPr>
            </w:pPr>
          </w:p>
        </w:tc>
        <w:tc>
          <w:tcPr>
            <w:tcW w:w="6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1360" w:type="dxa"/>
            <w:vAlign w:val="bottom"/>
            <w:tcBorders>
              <w:bottom w:val="single" w:sz="8" w:color="808080"/>
            </w:tcBorders>
          </w:tcPr>
          <w:p>
            <w:pPr>
              <w:spacing w:after="0"/>
              <w:rPr>
                <w:sz w:val="17"/>
                <w:szCs w:val="17"/>
                <w:color w:val="auto"/>
              </w:rPr>
            </w:pPr>
          </w:p>
        </w:tc>
        <w:tc>
          <w:tcPr>
            <w:tcW w:w="64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89"/>
        </w:trPr>
        <w:tc>
          <w:tcPr>
            <w:tcW w:w="7800" w:type="dxa"/>
            <w:vAlign w:val="bottom"/>
            <w:gridSpan w:val="3"/>
          </w:tcPr>
          <w:p>
            <w:pPr>
              <w:spacing w:after="0"/>
              <w:rPr>
                <w:sz w:val="20"/>
                <w:szCs w:val="20"/>
                <w:color w:val="auto"/>
              </w:rPr>
            </w:pPr>
            <w:r>
              <w:rPr>
                <w:rFonts w:ascii="Arial" w:cs="Arial" w:eastAsia="Arial" w:hAnsi="Arial"/>
                <w:sz w:val="18"/>
                <w:szCs w:val="18"/>
                <w:color w:val="auto"/>
              </w:rPr>
              <w:t>(1) Excludes amortization of stock-based compensation as follows:</w:t>
            </w: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642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shd w:val="clear" w:color="auto" w:fill="EEEEEE"/>
          </w:tcPr>
          <w:p>
            <w:pPr>
              <w:ind w:left="600"/>
              <w:spacing w:after="0"/>
              <w:rPr>
                <w:sz w:val="20"/>
                <w:szCs w:val="20"/>
                <w:color w:val="auto"/>
              </w:rPr>
            </w:pPr>
            <w:r>
              <w:rPr>
                <w:rFonts w:ascii="Arial" w:cs="Arial" w:eastAsia="Arial" w:hAnsi="Arial"/>
                <w:sz w:val="18"/>
                <w:szCs w:val="18"/>
                <w:color w:val="auto"/>
              </w:rPr>
              <w:t>Cost of goods sold</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w:t>
            </w:r>
          </w:p>
        </w:tc>
        <w:tc>
          <w:tcPr>
            <w:tcW w:w="1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82</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tcPr>
          <w:p>
            <w:pPr>
              <w:ind w:left="600"/>
              <w:spacing w:after="0"/>
              <w:rPr>
                <w:sz w:val="20"/>
                <w:szCs w:val="20"/>
                <w:color w:val="auto"/>
              </w:rPr>
            </w:pPr>
            <w:r>
              <w:rPr>
                <w:rFonts w:ascii="Arial" w:cs="Arial" w:eastAsia="Arial" w:hAnsi="Arial"/>
                <w:sz w:val="18"/>
                <w:szCs w:val="18"/>
                <w:color w:val="auto"/>
              </w:rPr>
              <w:t>Research and development</w:t>
            </w:r>
          </w:p>
        </w:tc>
        <w:tc>
          <w:tcPr>
            <w:tcW w:w="4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1,494</w:t>
            </w: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2,693</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80" w:type="dxa"/>
            <w:vAlign w:val="bottom"/>
            <w:gridSpan w:val="2"/>
            <w:shd w:val="clear" w:color="auto" w:fill="EEEEEE"/>
          </w:tcPr>
          <w:p>
            <w:pPr>
              <w:ind w:left="600"/>
              <w:spacing w:after="0"/>
              <w:rPr>
                <w:sz w:val="20"/>
                <w:szCs w:val="20"/>
                <w:color w:val="auto"/>
              </w:rPr>
            </w:pPr>
            <w:r>
              <w:rPr>
                <w:rFonts w:ascii="Arial" w:cs="Arial" w:eastAsia="Arial" w:hAnsi="Arial"/>
                <w:sz w:val="18"/>
                <w:szCs w:val="18"/>
                <w:color w:val="auto"/>
              </w:rPr>
              <w:t>Selling and marketing</w:t>
            </w:r>
          </w:p>
        </w:tc>
        <w:tc>
          <w:tcPr>
            <w:tcW w:w="4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403</w:t>
            </w: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727</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780" w:type="dxa"/>
            <w:vAlign w:val="bottom"/>
            <w:gridSpan w:val="2"/>
          </w:tcPr>
          <w:p>
            <w:pPr>
              <w:ind w:left="600"/>
              <w:spacing w:after="0"/>
              <w:rPr>
                <w:sz w:val="20"/>
                <w:szCs w:val="20"/>
                <w:color w:val="auto"/>
              </w:rPr>
            </w:pPr>
            <w:r>
              <w:rPr>
                <w:rFonts w:ascii="Arial" w:cs="Arial" w:eastAsia="Arial" w:hAnsi="Arial"/>
                <w:sz w:val="18"/>
                <w:szCs w:val="18"/>
                <w:color w:val="auto"/>
              </w:rPr>
              <w:t>General and administrative</w:t>
            </w:r>
          </w:p>
        </w:tc>
        <w:tc>
          <w:tcPr>
            <w:tcW w:w="4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340</w:t>
            </w: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611</w:t>
            </w:r>
          </w:p>
        </w:tc>
        <w:tc>
          <w:tcPr>
            <w:tcW w:w="6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360" w:type="dxa"/>
            <w:vAlign w:val="bottom"/>
          </w:tcPr>
          <w:p>
            <w:pPr>
              <w:spacing w:after="0"/>
              <w:rPr>
                <w:sz w:val="8"/>
                <w:szCs w:val="8"/>
                <w:color w:val="auto"/>
              </w:rPr>
            </w:pPr>
          </w:p>
        </w:tc>
        <w:tc>
          <w:tcPr>
            <w:tcW w:w="6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shd w:val="clear" w:color="auto" w:fill="EEEEEE"/>
          </w:tcPr>
          <w:p>
            <w:pPr>
              <w:spacing w:after="0"/>
              <w:rPr>
                <w:sz w:val="18"/>
                <w:szCs w:val="18"/>
                <w:color w:val="auto"/>
              </w:rPr>
            </w:pPr>
          </w:p>
        </w:tc>
        <w:tc>
          <w:tcPr>
            <w:tcW w:w="6420" w:type="dxa"/>
            <w:vAlign w:val="bottom"/>
            <w:shd w:val="clear" w:color="auto" w:fill="EEEEEE"/>
          </w:tcPr>
          <w:p>
            <w:pPr>
              <w:spacing w:after="0"/>
              <w:rPr>
                <w:sz w:val="18"/>
                <w:szCs w:val="18"/>
                <w:color w:val="auto"/>
              </w:rPr>
            </w:pP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2,282</w:t>
            </w:r>
          </w:p>
        </w:tc>
        <w:tc>
          <w:tcPr>
            <w:tcW w:w="12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4,113</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360" w:type="dxa"/>
            <w:vAlign w:val="bottom"/>
          </w:tcPr>
          <w:p>
            <w:pPr>
              <w:spacing w:after="0"/>
              <w:rPr>
                <w:sz w:val="9"/>
                <w:szCs w:val="9"/>
                <w:color w:val="auto"/>
              </w:rPr>
            </w:pPr>
          </w:p>
        </w:tc>
        <w:tc>
          <w:tcPr>
            <w:tcW w:w="6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360" w:type="dxa"/>
            <w:vAlign w:val="bottom"/>
          </w:tcPr>
          <w:p>
            <w:pPr>
              <w:spacing w:after="0"/>
              <w:rPr>
                <w:sz w:val="5"/>
                <w:szCs w:val="5"/>
                <w:color w:val="auto"/>
              </w:rPr>
            </w:pPr>
          </w:p>
        </w:tc>
        <w:tc>
          <w:tcPr>
            <w:tcW w:w="6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condensed consolidated financial statements.</w:t>
      </w: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8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480" w:type="dxa"/>
            <w:vAlign w:val="bottom"/>
            <w:gridSpan w:val="5"/>
          </w:tcPr>
          <w:p>
            <w:pPr>
              <w:jc w:val="right"/>
              <w:ind w:right="1180"/>
              <w:spacing w:after="0"/>
              <w:rPr>
                <w:sz w:val="20"/>
                <w:szCs w:val="20"/>
                <w:color w:val="auto"/>
              </w:rPr>
            </w:pPr>
            <w:r>
              <w:rPr>
                <w:rFonts w:ascii="Arial" w:cs="Arial" w:eastAsia="Arial" w:hAnsi="Arial"/>
                <w:sz w:val="14"/>
                <w:szCs w:val="14"/>
                <w:b w:val="1"/>
                <w:bCs w:val="1"/>
                <w:color w:val="auto"/>
                <w:w w:val="92"/>
              </w:rPr>
              <w:t>Three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8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100" w:type="dxa"/>
            <w:vAlign w:val="bottom"/>
            <w:gridSpan w:val="4"/>
          </w:tcPr>
          <w:p>
            <w:pPr>
              <w:jc w:val="right"/>
              <w:ind w:right="1540"/>
              <w:spacing w:after="0"/>
              <w:rPr>
                <w:sz w:val="20"/>
                <w:szCs w:val="20"/>
                <w:color w:val="auto"/>
              </w:rPr>
            </w:pPr>
            <w:r>
              <w:rPr>
                <w:rFonts w:ascii="Arial" w:cs="Arial" w:eastAsia="Arial" w:hAnsi="Arial"/>
                <w:sz w:val="14"/>
                <w:szCs w:val="14"/>
                <w:b w:val="1"/>
                <w:bCs w:val="1"/>
                <w:color w:val="auto"/>
                <w:w w:val="97"/>
              </w:rPr>
              <w:t>April 30,</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80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800" w:type="dxa"/>
            <w:vAlign w:val="bottom"/>
          </w:tcPr>
          <w:p>
            <w:pPr>
              <w:spacing w:after="0"/>
              <w:rPr>
                <w:sz w:val="22"/>
                <w:szCs w:val="22"/>
                <w:color w:val="auto"/>
              </w:rPr>
            </w:pPr>
          </w:p>
        </w:tc>
        <w:tc>
          <w:tcPr>
            <w:tcW w:w="980" w:type="dxa"/>
            <w:vAlign w:val="bottom"/>
            <w:gridSpan w:val="2"/>
          </w:tcPr>
          <w:p>
            <w:pPr>
              <w:jc w:val="right"/>
              <w:ind w:right="12"/>
              <w:spacing w:after="0"/>
              <w:rPr>
                <w:sz w:val="20"/>
                <w:szCs w:val="20"/>
                <w:color w:val="auto"/>
              </w:rPr>
            </w:pPr>
            <w:r>
              <w:rPr>
                <w:rFonts w:ascii="Arial" w:cs="Arial" w:eastAsia="Arial" w:hAnsi="Arial"/>
                <w:sz w:val="14"/>
                <w:szCs w:val="14"/>
                <w:b w:val="1"/>
                <w:bCs w:val="1"/>
                <w:color w:val="auto"/>
              </w:rPr>
              <w:t>2002</w:t>
            </w:r>
          </w:p>
        </w:tc>
        <w:tc>
          <w:tcPr>
            <w:tcW w:w="140" w:type="dxa"/>
            <w:vAlign w:val="bottom"/>
          </w:tcPr>
          <w:p>
            <w:pPr>
              <w:spacing w:after="0"/>
              <w:rPr>
                <w:sz w:val="22"/>
                <w:szCs w:val="22"/>
                <w:color w:val="auto"/>
              </w:rPr>
            </w:pPr>
          </w:p>
        </w:tc>
        <w:tc>
          <w:tcPr>
            <w:tcW w:w="1860" w:type="dxa"/>
            <w:vAlign w:val="bottom"/>
            <w:gridSpan w:val="4"/>
          </w:tcPr>
          <w:p>
            <w:pPr>
              <w:jc w:val="right"/>
              <w:ind w:right="52"/>
              <w:spacing w:after="0"/>
              <w:rPr>
                <w:sz w:val="20"/>
                <w:szCs w:val="20"/>
                <w:color w:val="auto"/>
              </w:rPr>
            </w:pPr>
            <w:r>
              <w:rPr>
                <w:rFonts w:ascii="Arial" w:cs="Arial" w:eastAsia="Arial" w:hAnsi="Arial"/>
                <w:sz w:val="14"/>
                <w:szCs w:val="14"/>
                <w:b w:val="1"/>
                <w:bCs w:val="1"/>
                <w:color w:val="auto"/>
              </w:rPr>
              <w:t>2001</w:t>
            </w:r>
          </w:p>
        </w:tc>
        <w:tc>
          <w:tcPr>
            <w:tcW w:w="6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80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800" w:type="dxa"/>
            <w:vAlign w:val="bottom"/>
          </w:tcPr>
          <w:p>
            <w:pPr>
              <w:spacing w:after="0"/>
              <w:rPr>
                <w:sz w:val="8"/>
                <w:szCs w:val="8"/>
                <w:color w:val="auto"/>
              </w:rPr>
            </w:pPr>
          </w:p>
        </w:tc>
        <w:tc>
          <w:tcPr>
            <w:tcW w:w="420" w:type="dxa"/>
            <w:vAlign w:val="bottom"/>
          </w:tcPr>
          <w:p>
            <w:pPr>
              <w:spacing w:after="0"/>
              <w:rPr>
                <w:sz w:val="8"/>
                <w:szCs w:val="8"/>
                <w:color w:val="auto"/>
              </w:rPr>
            </w:pP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4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spacing w:after="0"/>
              <w:rPr>
                <w:sz w:val="20"/>
                <w:szCs w:val="20"/>
                <w:color w:val="auto"/>
              </w:rPr>
            </w:pPr>
            <w:r>
              <w:rPr>
                <w:rFonts w:ascii="Arial" w:cs="Arial" w:eastAsia="Arial" w:hAnsi="Arial"/>
                <w:sz w:val="18"/>
                <w:szCs w:val="18"/>
                <w:color w:val="auto"/>
              </w:rPr>
              <w:t>Net loss</w:t>
            </w:r>
          </w:p>
        </w:tc>
        <w:tc>
          <w:tcPr>
            <w:tcW w:w="1120" w:type="dxa"/>
            <w:vAlign w:val="bottom"/>
            <w:gridSpan w:val="3"/>
          </w:tcPr>
          <w:p>
            <w:pPr>
              <w:jc w:val="right"/>
              <w:ind w:right="80"/>
              <w:spacing w:after="0"/>
              <w:rPr>
                <w:sz w:val="20"/>
                <w:szCs w:val="20"/>
                <w:color w:val="auto"/>
              </w:rPr>
            </w:pPr>
            <w:r>
              <w:rPr>
                <w:rFonts w:ascii="Arial" w:cs="Arial" w:eastAsia="Arial" w:hAnsi="Arial"/>
                <w:sz w:val="18"/>
                <w:szCs w:val="18"/>
                <w:color w:val="auto"/>
              </w:rPr>
              <w:t>$ (30,934)</w:t>
            </w:r>
          </w:p>
        </w:tc>
        <w:tc>
          <w:tcPr>
            <w:tcW w:w="2480" w:type="dxa"/>
            <w:vAlign w:val="bottom"/>
            <w:gridSpan w:val="5"/>
          </w:tcPr>
          <w:p>
            <w:pPr>
              <w:jc w:val="right"/>
              <w:ind w:right="560"/>
              <w:spacing w:after="0"/>
              <w:rPr>
                <w:sz w:val="20"/>
                <w:szCs w:val="20"/>
                <w:color w:val="auto"/>
              </w:rPr>
            </w:pPr>
            <w:r>
              <w:rPr>
                <w:rFonts w:ascii="Arial" w:cs="Arial" w:eastAsia="Arial" w:hAnsi="Arial"/>
                <w:sz w:val="18"/>
                <w:szCs w:val="18"/>
                <w:color w:val="auto"/>
              </w:rPr>
              <w:t>$(104,966)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4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280"/>
              <w:spacing w:after="0"/>
              <w:rPr>
                <w:sz w:val="20"/>
                <w:szCs w:val="20"/>
                <w:color w:val="auto"/>
              </w:rPr>
            </w:pPr>
            <w:r>
              <w:rPr>
                <w:rFonts w:ascii="Arial" w:cs="Arial" w:eastAsia="Arial" w:hAnsi="Arial"/>
                <w:sz w:val="18"/>
                <w:szCs w:val="18"/>
                <w:color w:val="auto"/>
              </w:rPr>
              <w:t>Depreciation and amortization</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3,860</w:t>
            </w:r>
          </w:p>
        </w:tc>
        <w:tc>
          <w:tcPr>
            <w:tcW w:w="140" w:type="dxa"/>
            <w:vAlign w:val="bottom"/>
          </w:tcPr>
          <w:p>
            <w:pPr>
              <w:spacing w:after="0"/>
              <w:rPr>
                <w:sz w:val="18"/>
                <w:szCs w:val="18"/>
                <w:color w:val="auto"/>
              </w:rPr>
            </w:pPr>
          </w:p>
        </w:tc>
        <w:tc>
          <w:tcPr>
            <w:tcW w:w="1860" w:type="dxa"/>
            <w:vAlign w:val="bottom"/>
            <w:gridSpan w:val="4"/>
          </w:tcPr>
          <w:p>
            <w:pPr>
              <w:jc w:val="right"/>
              <w:spacing w:after="0"/>
              <w:rPr>
                <w:sz w:val="20"/>
                <w:szCs w:val="20"/>
                <w:color w:val="auto"/>
              </w:rPr>
            </w:pPr>
            <w:r>
              <w:rPr>
                <w:rFonts w:ascii="Arial" w:cs="Arial" w:eastAsia="Arial" w:hAnsi="Arial"/>
                <w:sz w:val="18"/>
                <w:szCs w:val="18"/>
                <w:color w:val="auto"/>
              </w:rPr>
              <w:t>3,474</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Amortization of stock-based compensation</w:t>
            </w:r>
          </w:p>
        </w:tc>
        <w:tc>
          <w:tcPr>
            <w:tcW w:w="9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2,282</w:t>
            </w:r>
          </w:p>
        </w:tc>
        <w:tc>
          <w:tcPr>
            <w:tcW w:w="140" w:type="dxa"/>
            <w:vAlign w:val="bottom"/>
            <w:shd w:val="clear" w:color="auto" w:fill="EEEEEE"/>
          </w:tcPr>
          <w:p>
            <w:pPr>
              <w:spacing w:after="0"/>
              <w:rPr>
                <w:sz w:val="18"/>
                <w:szCs w:val="18"/>
                <w:color w:val="auto"/>
              </w:rPr>
            </w:pPr>
          </w:p>
        </w:tc>
        <w:tc>
          <w:tcPr>
            <w:tcW w:w="18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4,113</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280"/>
              <w:spacing w:after="0"/>
              <w:rPr>
                <w:sz w:val="20"/>
                <w:szCs w:val="20"/>
                <w:color w:val="auto"/>
              </w:rPr>
            </w:pPr>
            <w:r>
              <w:rPr>
                <w:rFonts w:ascii="Arial" w:cs="Arial" w:eastAsia="Arial" w:hAnsi="Arial"/>
                <w:sz w:val="18"/>
                <w:szCs w:val="18"/>
                <w:color w:val="auto"/>
              </w:rPr>
              <w:t>Amortization of goodwill and acquired intangible assets</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21,323</w:t>
            </w:r>
          </w:p>
        </w:tc>
        <w:tc>
          <w:tcPr>
            <w:tcW w:w="140" w:type="dxa"/>
            <w:vAlign w:val="bottom"/>
          </w:tcPr>
          <w:p>
            <w:pPr>
              <w:spacing w:after="0"/>
              <w:rPr>
                <w:sz w:val="18"/>
                <w:szCs w:val="18"/>
                <w:color w:val="auto"/>
              </w:rPr>
            </w:pPr>
          </w:p>
        </w:tc>
        <w:tc>
          <w:tcPr>
            <w:tcW w:w="1860" w:type="dxa"/>
            <w:vAlign w:val="bottom"/>
            <w:gridSpan w:val="4"/>
          </w:tcPr>
          <w:p>
            <w:pPr>
              <w:jc w:val="right"/>
              <w:spacing w:after="0"/>
              <w:rPr>
                <w:sz w:val="20"/>
                <w:szCs w:val="20"/>
                <w:color w:val="auto"/>
              </w:rPr>
            </w:pPr>
            <w:r>
              <w:rPr>
                <w:rFonts w:ascii="Arial" w:cs="Arial" w:eastAsia="Arial" w:hAnsi="Arial"/>
                <w:sz w:val="18"/>
                <w:szCs w:val="18"/>
                <w:color w:val="auto"/>
              </w:rPr>
              <w:t>104,508</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Changes in assets and liabilities:</w:t>
            </w:r>
          </w:p>
        </w:tc>
        <w:tc>
          <w:tcPr>
            <w:tcW w:w="4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600"/>
              <w:spacing w:after="0"/>
              <w:rPr>
                <w:sz w:val="20"/>
                <w:szCs w:val="20"/>
                <w:color w:val="auto"/>
              </w:rPr>
            </w:pPr>
            <w:r>
              <w:rPr>
                <w:rFonts w:ascii="Arial" w:cs="Arial" w:eastAsia="Arial" w:hAnsi="Arial"/>
                <w:sz w:val="18"/>
                <w:szCs w:val="18"/>
                <w:color w:val="auto"/>
              </w:rPr>
              <w:t>Accounts receivable</w:t>
            </w:r>
          </w:p>
        </w:tc>
        <w:tc>
          <w:tcPr>
            <w:tcW w:w="1120" w:type="dxa"/>
            <w:vAlign w:val="bottom"/>
            <w:gridSpan w:val="3"/>
          </w:tcPr>
          <w:p>
            <w:pPr>
              <w:jc w:val="right"/>
              <w:ind w:right="80"/>
              <w:spacing w:after="0"/>
              <w:rPr>
                <w:sz w:val="20"/>
                <w:szCs w:val="20"/>
                <w:color w:val="auto"/>
              </w:rPr>
            </w:pPr>
            <w:r>
              <w:rPr>
                <w:rFonts w:ascii="Arial" w:cs="Arial" w:eastAsia="Arial" w:hAnsi="Arial"/>
                <w:sz w:val="18"/>
                <w:szCs w:val="18"/>
                <w:color w:val="auto"/>
              </w:rPr>
              <w:t>(14,237)</w:t>
            </w:r>
          </w:p>
        </w:tc>
        <w:tc>
          <w:tcPr>
            <w:tcW w:w="2480" w:type="dxa"/>
            <w:vAlign w:val="bottom"/>
            <w:gridSpan w:val="5"/>
          </w:tcPr>
          <w:p>
            <w:pPr>
              <w:jc w:val="right"/>
              <w:ind w:right="560"/>
              <w:spacing w:after="0"/>
              <w:rPr>
                <w:sz w:val="20"/>
                <w:szCs w:val="20"/>
                <w:color w:val="auto"/>
              </w:rPr>
            </w:pPr>
            <w:r>
              <w:rPr>
                <w:rFonts w:ascii="Arial" w:cs="Arial" w:eastAsia="Arial" w:hAnsi="Arial"/>
                <w:sz w:val="18"/>
                <w:szCs w:val="18"/>
                <w:color w:val="auto"/>
              </w:rPr>
              <w:t>(648)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600"/>
              <w:spacing w:after="0"/>
              <w:rPr>
                <w:sz w:val="20"/>
                <w:szCs w:val="20"/>
                <w:color w:val="auto"/>
              </w:rPr>
            </w:pPr>
            <w:r>
              <w:rPr>
                <w:rFonts w:ascii="Arial" w:cs="Arial" w:eastAsia="Arial" w:hAnsi="Arial"/>
                <w:sz w:val="18"/>
                <w:szCs w:val="18"/>
                <w:color w:val="auto"/>
              </w:rPr>
              <w:t>Inventory</w:t>
            </w:r>
          </w:p>
        </w:tc>
        <w:tc>
          <w:tcPr>
            <w:tcW w:w="9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1,483</w:t>
            </w:r>
          </w:p>
        </w:tc>
        <w:tc>
          <w:tcPr>
            <w:tcW w:w="140" w:type="dxa"/>
            <w:vAlign w:val="bottom"/>
            <w:shd w:val="clear" w:color="auto" w:fill="EEEEEE"/>
          </w:tcPr>
          <w:p>
            <w:pPr>
              <w:spacing w:after="0"/>
              <w:rPr>
                <w:sz w:val="18"/>
                <w:szCs w:val="18"/>
                <w:color w:val="auto"/>
              </w:rPr>
            </w:pPr>
          </w:p>
        </w:tc>
        <w:tc>
          <w:tcPr>
            <w:tcW w:w="18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6,668</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600"/>
              <w:spacing w:after="0"/>
              <w:rPr>
                <w:sz w:val="20"/>
                <w:szCs w:val="20"/>
                <w:color w:val="auto"/>
              </w:rPr>
            </w:pPr>
            <w:r>
              <w:rPr>
                <w:rFonts w:ascii="Arial" w:cs="Arial" w:eastAsia="Arial" w:hAnsi="Arial"/>
                <w:sz w:val="18"/>
                <w:szCs w:val="18"/>
                <w:color w:val="auto"/>
              </w:rPr>
              <w:t>Prepaid expenses and other assets</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1,240</w:t>
            </w:r>
          </w:p>
        </w:tc>
        <w:tc>
          <w:tcPr>
            <w:tcW w:w="140" w:type="dxa"/>
            <w:vAlign w:val="bottom"/>
          </w:tcPr>
          <w:p>
            <w:pPr>
              <w:spacing w:after="0"/>
              <w:rPr>
                <w:sz w:val="18"/>
                <w:szCs w:val="18"/>
                <w:color w:val="auto"/>
              </w:rPr>
            </w:pPr>
          </w:p>
        </w:tc>
        <w:tc>
          <w:tcPr>
            <w:tcW w:w="2480" w:type="dxa"/>
            <w:vAlign w:val="bottom"/>
            <w:gridSpan w:val="5"/>
          </w:tcPr>
          <w:p>
            <w:pPr>
              <w:jc w:val="right"/>
              <w:ind w:right="560"/>
              <w:spacing w:after="0"/>
              <w:rPr>
                <w:sz w:val="20"/>
                <w:szCs w:val="20"/>
                <w:color w:val="auto"/>
              </w:rPr>
            </w:pPr>
            <w:r>
              <w:rPr>
                <w:rFonts w:ascii="Arial" w:cs="Arial" w:eastAsia="Arial" w:hAnsi="Arial"/>
                <w:sz w:val="18"/>
                <w:szCs w:val="18"/>
                <w:color w:val="auto"/>
              </w:rPr>
              <w:t>(1,298)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600"/>
              <w:spacing w:after="0"/>
              <w:rPr>
                <w:sz w:val="20"/>
                <w:szCs w:val="20"/>
                <w:color w:val="auto"/>
              </w:rPr>
            </w:pPr>
            <w:r>
              <w:rPr>
                <w:rFonts w:ascii="Arial" w:cs="Arial" w:eastAsia="Arial" w:hAnsi="Arial"/>
                <w:sz w:val="18"/>
                <w:szCs w:val="18"/>
                <w:color w:val="auto"/>
              </w:rPr>
              <w:t>Accounts payable</w:t>
            </w:r>
          </w:p>
        </w:tc>
        <w:tc>
          <w:tcPr>
            <w:tcW w:w="9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5,895</w:t>
            </w:r>
          </w:p>
        </w:tc>
        <w:tc>
          <w:tcPr>
            <w:tcW w:w="140" w:type="dxa"/>
            <w:vAlign w:val="bottom"/>
            <w:shd w:val="clear" w:color="auto" w:fill="EEEEEE"/>
          </w:tcPr>
          <w:p>
            <w:pPr>
              <w:spacing w:after="0"/>
              <w:rPr>
                <w:sz w:val="18"/>
                <w:szCs w:val="18"/>
                <w:color w:val="auto"/>
              </w:rPr>
            </w:pPr>
          </w:p>
        </w:tc>
        <w:tc>
          <w:tcPr>
            <w:tcW w:w="2480" w:type="dxa"/>
            <w:vAlign w:val="bottom"/>
            <w:gridSpan w:val="5"/>
            <w:shd w:val="clear" w:color="auto" w:fill="EEEEEE"/>
          </w:tcPr>
          <w:p>
            <w:pPr>
              <w:jc w:val="right"/>
              <w:ind w:right="560"/>
              <w:spacing w:after="0"/>
              <w:rPr>
                <w:sz w:val="20"/>
                <w:szCs w:val="20"/>
                <w:color w:val="auto"/>
              </w:rPr>
            </w:pPr>
            <w:r>
              <w:rPr>
                <w:rFonts w:ascii="Arial" w:cs="Arial" w:eastAsia="Arial" w:hAnsi="Arial"/>
                <w:sz w:val="18"/>
                <w:szCs w:val="18"/>
                <w:color w:val="auto"/>
              </w:rPr>
              <w:t>(2,323)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600"/>
              <w:spacing w:after="0"/>
              <w:rPr>
                <w:sz w:val="20"/>
                <w:szCs w:val="20"/>
                <w:color w:val="auto"/>
              </w:rPr>
            </w:pPr>
            <w:r>
              <w:rPr>
                <w:rFonts w:ascii="Arial" w:cs="Arial" w:eastAsia="Arial" w:hAnsi="Arial"/>
                <w:sz w:val="18"/>
                <w:szCs w:val="18"/>
                <w:color w:val="auto"/>
              </w:rPr>
              <w:t>Accrued liabilities and other</w:t>
            </w:r>
          </w:p>
        </w:tc>
        <w:tc>
          <w:tcPr>
            <w:tcW w:w="1120" w:type="dxa"/>
            <w:vAlign w:val="bottom"/>
            <w:gridSpan w:val="3"/>
          </w:tcPr>
          <w:p>
            <w:pPr>
              <w:jc w:val="right"/>
              <w:ind w:right="80"/>
              <w:spacing w:after="0"/>
              <w:rPr>
                <w:sz w:val="20"/>
                <w:szCs w:val="20"/>
                <w:color w:val="auto"/>
              </w:rPr>
            </w:pPr>
            <w:r>
              <w:rPr>
                <w:rFonts w:ascii="Arial" w:cs="Arial" w:eastAsia="Arial" w:hAnsi="Arial"/>
                <w:sz w:val="18"/>
                <w:szCs w:val="18"/>
                <w:color w:val="auto"/>
              </w:rPr>
              <w:t>(2,047)</w:t>
            </w:r>
          </w:p>
        </w:tc>
        <w:tc>
          <w:tcPr>
            <w:tcW w:w="2480" w:type="dxa"/>
            <w:vAlign w:val="bottom"/>
            <w:gridSpan w:val="5"/>
          </w:tcPr>
          <w:p>
            <w:pPr>
              <w:jc w:val="right"/>
              <w:ind w:right="560"/>
              <w:spacing w:after="0"/>
              <w:rPr>
                <w:sz w:val="20"/>
                <w:szCs w:val="20"/>
                <w:color w:val="auto"/>
              </w:rPr>
            </w:pPr>
            <w:r>
              <w:rPr>
                <w:rFonts w:ascii="Arial" w:cs="Arial" w:eastAsia="Arial" w:hAnsi="Arial"/>
                <w:sz w:val="18"/>
                <w:szCs w:val="18"/>
                <w:color w:val="auto"/>
              </w:rPr>
              <w:t>(2,466)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600"/>
              <w:spacing w:after="0"/>
              <w:rPr>
                <w:sz w:val="20"/>
                <w:szCs w:val="20"/>
                <w:color w:val="auto"/>
              </w:rPr>
            </w:pPr>
            <w:r>
              <w:rPr>
                <w:rFonts w:ascii="Arial" w:cs="Arial" w:eastAsia="Arial" w:hAnsi="Arial"/>
                <w:sz w:val="18"/>
                <w:szCs w:val="18"/>
                <w:color w:val="auto"/>
              </w:rPr>
              <w:t>Accrued employee compensation</w:t>
            </w:r>
          </w:p>
        </w:tc>
        <w:tc>
          <w:tcPr>
            <w:tcW w:w="112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(877)</w:t>
            </w:r>
          </w:p>
        </w:tc>
        <w:tc>
          <w:tcPr>
            <w:tcW w:w="18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1,782</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600"/>
              <w:spacing w:after="0"/>
              <w:rPr>
                <w:sz w:val="20"/>
                <w:szCs w:val="20"/>
                <w:color w:val="auto"/>
              </w:rPr>
            </w:pPr>
            <w:r>
              <w:rPr>
                <w:rFonts w:ascii="Arial" w:cs="Arial" w:eastAsia="Arial" w:hAnsi="Arial"/>
                <w:sz w:val="18"/>
                <w:szCs w:val="18"/>
                <w:color w:val="auto"/>
              </w:rPr>
              <w:t>Accrued facility consolidation charge</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16,623</w:t>
            </w: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6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600"/>
              <w:spacing w:after="0"/>
              <w:rPr>
                <w:sz w:val="20"/>
                <w:szCs w:val="20"/>
                <w:color w:val="auto"/>
              </w:rPr>
            </w:pPr>
            <w:r>
              <w:rPr>
                <w:rFonts w:ascii="Arial" w:cs="Arial" w:eastAsia="Arial" w:hAnsi="Arial"/>
                <w:sz w:val="18"/>
                <w:szCs w:val="18"/>
                <w:color w:val="auto"/>
              </w:rPr>
              <w:t>Income taxes payable</w:t>
            </w:r>
          </w:p>
        </w:tc>
        <w:tc>
          <w:tcPr>
            <w:tcW w:w="9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2,367</w:t>
            </w:r>
          </w:p>
        </w:tc>
        <w:tc>
          <w:tcPr>
            <w:tcW w:w="140" w:type="dxa"/>
            <w:vAlign w:val="bottom"/>
            <w:shd w:val="clear" w:color="auto" w:fill="EEEEEE"/>
          </w:tcPr>
          <w:p>
            <w:pPr>
              <w:spacing w:after="0"/>
              <w:rPr>
                <w:sz w:val="18"/>
                <w:szCs w:val="18"/>
                <w:color w:val="auto"/>
              </w:rPr>
            </w:pPr>
          </w:p>
        </w:tc>
        <w:tc>
          <w:tcPr>
            <w:tcW w:w="18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821</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800" w:type="dxa"/>
            <w:vAlign w:val="bottom"/>
          </w:tcPr>
          <w:p>
            <w:pPr>
              <w:ind w:left="600"/>
              <w:spacing w:after="0"/>
              <w:rPr>
                <w:sz w:val="20"/>
                <w:szCs w:val="20"/>
                <w:color w:val="auto"/>
              </w:rPr>
            </w:pPr>
            <w:r>
              <w:rPr>
                <w:rFonts w:ascii="Arial" w:cs="Arial" w:eastAsia="Arial" w:hAnsi="Arial"/>
                <w:sz w:val="18"/>
                <w:szCs w:val="18"/>
                <w:color w:val="auto"/>
              </w:rPr>
              <w:t>Deferred revenue</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2,843</w:t>
            </w:r>
          </w:p>
        </w:tc>
        <w:tc>
          <w:tcPr>
            <w:tcW w:w="140" w:type="dxa"/>
            <w:vAlign w:val="bottom"/>
          </w:tcPr>
          <w:p>
            <w:pPr>
              <w:spacing w:after="0"/>
              <w:rPr>
                <w:sz w:val="19"/>
                <w:szCs w:val="19"/>
                <w:color w:val="auto"/>
              </w:rPr>
            </w:pPr>
          </w:p>
        </w:tc>
        <w:tc>
          <w:tcPr>
            <w:tcW w:w="1860" w:type="dxa"/>
            <w:vAlign w:val="bottom"/>
            <w:gridSpan w:val="4"/>
          </w:tcPr>
          <w:p>
            <w:pPr>
              <w:jc w:val="right"/>
              <w:spacing w:after="0"/>
              <w:rPr>
                <w:sz w:val="20"/>
                <w:szCs w:val="20"/>
                <w:color w:val="auto"/>
              </w:rPr>
            </w:pPr>
            <w:r>
              <w:rPr>
                <w:rFonts w:ascii="Arial" w:cs="Arial" w:eastAsia="Arial" w:hAnsi="Arial"/>
                <w:sz w:val="18"/>
                <w:szCs w:val="18"/>
                <w:color w:val="auto"/>
              </w:rPr>
              <w:t>417</w:t>
            </w:r>
          </w:p>
        </w:tc>
        <w:tc>
          <w:tcPr>
            <w:tcW w:w="6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800" w:type="dxa"/>
            <w:vAlign w:val="bottom"/>
          </w:tcPr>
          <w:p>
            <w:pPr>
              <w:spacing w:after="0"/>
              <w:rPr>
                <w:sz w:val="8"/>
                <w:szCs w:val="8"/>
                <w:color w:val="auto"/>
              </w:rPr>
            </w:pPr>
          </w:p>
        </w:tc>
        <w:tc>
          <w:tcPr>
            <w:tcW w:w="4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800" w:type="dxa"/>
            <w:vAlign w:val="bottom"/>
          </w:tcPr>
          <w:p>
            <w:pPr>
              <w:spacing w:after="0"/>
              <w:rPr>
                <w:sz w:val="8"/>
                <w:szCs w:val="8"/>
                <w:color w:val="auto"/>
              </w:rPr>
            </w:pPr>
          </w:p>
        </w:tc>
        <w:tc>
          <w:tcPr>
            <w:tcW w:w="420" w:type="dxa"/>
            <w:vAlign w:val="bottom"/>
          </w:tcPr>
          <w:p>
            <w:pPr>
              <w:spacing w:after="0"/>
              <w:rPr>
                <w:sz w:val="8"/>
                <w:szCs w:val="8"/>
                <w:color w:val="auto"/>
              </w:rPr>
            </w:pP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900"/>
              <w:spacing w:after="0"/>
              <w:rPr>
                <w:sz w:val="20"/>
                <w:szCs w:val="20"/>
                <w:color w:val="auto"/>
              </w:rPr>
            </w:pPr>
            <w:r>
              <w:rPr>
                <w:rFonts w:ascii="Arial" w:cs="Arial" w:eastAsia="Arial" w:hAnsi="Arial"/>
                <w:sz w:val="18"/>
                <w:szCs w:val="18"/>
                <w:color w:val="auto"/>
              </w:rPr>
              <w:t>Net cash provided by operating activities</w:t>
            </w:r>
          </w:p>
        </w:tc>
        <w:tc>
          <w:tcPr>
            <w:tcW w:w="9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9,821</w:t>
            </w:r>
          </w:p>
        </w:tc>
        <w:tc>
          <w:tcPr>
            <w:tcW w:w="140" w:type="dxa"/>
            <w:vAlign w:val="bottom"/>
            <w:shd w:val="clear" w:color="auto" w:fill="EEEEEE"/>
          </w:tcPr>
          <w:p>
            <w:pPr>
              <w:spacing w:after="0"/>
              <w:rPr>
                <w:sz w:val="18"/>
                <w:szCs w:val="18"/>
                <w:color w:val="auto"/>
              </w:rPr>
            </w:pPr>
          </w:p>
        </w:tc>
        <w:tc>
          <w:tcPr>
            <w:tcW w:w="18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10,082</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8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4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7820" w:type="dxa"/>
            <w:vAlign w:val="bottom"/>
            <w:gridSpan w:val="2"/>
            <w:vMerge w:val="continue"/>
          </w:tcPr>
          <w:p>
            <w:pPr>
              <w:spacing w:after="0"/>
              <w:rPr>
                <w:sz w:val="24"/>
                <w:szCs w:val="24"/>
                <w:color w:val="auto"/>
              </w:rPr>
            </w:pPr>
          </w:p>
        </w:tc>
        <w:tc>
          <w:tcPr>
            <w:tcW w:w="4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8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Purchases of short-term investments</w:t>
            </w:r>
          </w:p>
        </w:tc>
        <w:tc>
          <w:tcPr>
            <w:tcW w:w="112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(20,473)</w:t>
            </w:r>
          </w:p>
        </w:tc>
        <w:tc>
          <w:tcPr>
            <w:tcW w:w="2480" w:type="dxa"/>
            <w:vAlign w:val="bottom"/>
            <w:gridSpan w:val="5"/>
            <w:shd w:val="clear" w:color="auto" w:fill="EEEEEE"/>
          </w:tcPr>
          <w:p>
            <w:pPr>
              <w:jc w:val="right"/>
              <w:ind w:right="560"/>
              <w:spacing w:after="0"/>
              <w:rPr>
                <w:sz w:val="20"/>
                <w:szCs w:val="20"/>
                <w:color w:val="auto"/>
              </w:rPr>
            </w:pPr>
            <w:r>
              <w:rPr>
                <w:rFonts w:ascii="Arial" w:cs="Arial" w:eastAsia="Arial" w:hAnsi="Arial"/>
                <w:sz w:val="18"/>
                <w:szCs w:val="18"/>
                <w:color w:val="auto"/>
              </w:rPr>
              <w:t>(8,003)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280"/>
              <w:spacing w:after="0"/>
              <w:rPr>
                <w:sz w:val="20"/>
                <w:szCs w:val="20"/>
                <w:color w:val="auto"/>
              </w:rPr>
            </w:pPr>
            <w:r>
              <w:rPr>
                <w:rFonts w:ascii="Arial" w:cs="Arial" w:eastAsia="Arial" w:hAnsi="Arial"/>
                <w:sz w:val="18"/>
                <w:szCs w:val="18"/>
                <w:color w:val="auto"/>
              </w:rPr>
              <w:t>Sales and maturities of short-term investments</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12,487</w:t>
            </w:r>
          </w:p>
        </w:tc>
        <w:tc>
          <w:tcPr>
            <w:tcW w:w="140" w:type="dxa"/>
            <w:vAlign w:val="bottom"/>
          </w:tcPr>
          <w:p>
            <w:pPr>
              <w:spacing w:after="0"/>
              <w:rPr>
                <w:sz w:val="18"/>
                <w:szCs w:val="18"/>
                <w:color w:val="auto"/>
              </w:rPr>
            </w:pPr>
          </w:p>
        </w:tc>
        <w:tc>
          <w:tcPr>
            <w:tcW w:w="1860" w:type="dxa"/>
            <w:vAlign w:val="bottom"/>
            <w:gridSpan w:val="4"/>
          </w:tcPr>
          <w:p>
            <w:pPr>
              <w:jc w:val="right"/>
              <w:spacing w:after="0"/>
              <w:rPr>
                <w:sz w:val="20"/>
                <w:szCs w:val="20"/>
                <w:color w:val="auto"/>
              </w:rPr>
            </w:pPr>
            <w:r>
              <w:rPr>
                <w:rFonts w:ascii="Arial" w:cs="Arial" w:eastAsia="Arial" w:hAnsi="Arial"/>
                <w:sz w:val="18"/>
                <w:szCs w:val="18"/>
                <w:color w:val="auto"/>
              </w:rPr>
              <w:t>11,020</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Purchases of investments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rPr>
              <w:t>—</w:t>
            </w:r>
          </w:p>
        </w:tc>
        <w:tc>
          <w:tcPr>
            <w:tcW w:w="2480" w:type="dxa"/>
            <w:vAlign w:val="bottom"/>
            <w:gridSpan w:val="5"/>
            <w:shd w:val="clear" w:color="auto" w:fill="EEEEEE"/>
          </w:tcPr>
          <w:p>
            <w:pPr>
              <w:jc w:val="right"/>
              <w:ind w:right="560"/>
              <w:spacing w:after="0"/>
              <w:rPr>
                <w:sz w:val="20"/>
                <w:szCs w:val="20"/>
                <w:color w:val="auto"/>
              </w:rPr>
            </w:pPr>
            <w:r>
              <w:rPr>
                <w:rFonts w:ascii="Arial" w:cs="Arial" w:eastAsia="Arial" w:hAnsi="Arial"/>
                <w:sz w:val="18"/>
                <w:szCs w:val="18"/>
                <w:color w:val="auto"/>
              </w:rPr>
              <w:t>(667)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280"/>
              <w:spacing w:after="0"/>
              <w:rPr>
                <w:sz w:val="20"/>
                <w:szCs w:val="20"/>
                <w:color w:val="auto"/>
              </w:rPr>
            </w:pPr>
            <w:r>
              <w:rPr>
                <w:rFonts w:ascii="Arial" w:cs="Arial" w:eastAsia="Arial" w:hAnsi="Arial"/>
                <w:sz w:val="18"/>
                <w:szCs w:val="18"/>
                <w:color w:val="auto"/>
              </w:rPr>
              <w:t>Acquisition costs</w:t>
            </w:r>
          </w:p>
        </w:tc>
        <w:tc>
          <w:tcPr>
            <w:tcW w:w="420" w:type="dxa"/>
            <w:vAlign w:val="bottom"/>
          </w:tcPr>
          <w:p>
            <w:pPr>
              <w:spacing w:after="0"/>
              <w:rPr>
                <w:sz w:val="18"/>
                <w:szCs w:val="18"/>
                <w:color w:val="auto"/>
              </w:rPr>
            </w:pP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480" w:type="dxa"/>
            <w:vAlign w:val="bottom"/>
            <w:gridSpan w:val="5"/>
          </w:tcPr>
          <w:p>
            <w:pPr>
              <w:jc w:val="right"/>
              <w:ind w:right="560"/>
              <w:spacing w:after="0"/>
              <w:rPr>
                <w:sz w:val="20"/>
                <w:szCs w:val="20"/>
                <w:color w:val="auto"/>
              </w:rPr>
            </w:pPr>
            <w:r>
              <w:rPr>
                <w:rFonts w:ascii="Arial" w:cs="Arial" w:eastAsia="Arial" w:hAnsi="Arial"/>
                <w:sz w:val="18"/>
                <w:szCs w:val="18"/>
                <w:color w:val="auto"/>
              </w:rPr>
              <w:t>(29,086)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Purchases of property and equipment</w:t>
            </w:r>
          </w:p>
        </w:tc>
        <w:tc>
          <w:tcPr>
            <w:tcW w:w="112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(10,772)</w:t>
            </w:r>
          </w:p>
        </w:tc>
        <w:tc>
          <w:tcPr>
            <w:tcW w:w="2480" w:type="dxa"/>
            <w:vAlign w:val="bottom"/>
            <w:gridSpan w:val="5"/>
            <w:shd w:val="clear" w:color="auto" w:fill="EEEEEE"/>
          </w:tcPr>
          <w:p>
            <w:pPr>
              <w:jc w:val="right"/>
              <w:ind w:right="560"/>
              <w:spacing w:after="0"/>
              <w:rPr>
                <w:sz w:val="20"/>
                <w:szCs w:val="20"/>
                <w:color w:val="auto"/>
              </w:rPr>
            </w:pPr>
            <w:r>
              <w:rPr>
                <w:rFonts w:ascii="Arial" w:cs="Arial" w:eastAsia="Arial" w:hAnsi="Arial"/>
                <w:sz w:val="18"/>
                <w:szCs w:val="18"/>
                <w:color w:val="auto"/>
              </w:rPr>
              <w:t>(7,117)</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800" w:type="dxa"/>
            <w:vAlign w:val="bottom"/>
          </w:tcPr>
          <w:p>
            <w:pPr>
              <w:spacing w:after="0"/>
              <w:rPr>
                <w:sz w:val="9"/>
                <w:szCs w:val="9"/>
                <w:color w:val="auto"/>
              </w:rPr>
            </w:pPr>
          </w:p>
        </w:tc>
        <w:tc>
          <w:tcPr>
            <w:tcW w:w="4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220" w:type="dxa"/>
            <w:vAlign w:val="bottom"/>
            <w:gridSpan w:val="3"/>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800" w:type="dxa"/>
            <w:vAlign w:val="bottom"/>
          </w:tcPr>
          <w:p>
            <w:pPr>
              <w:ind w:left="900"/>
              <w:spacing w:after="0"/>
              <w:rPr>
                <w:sz w:val="20"/>
                <w:szCs w:val="20"/>
                <w:color w:val="auto"/>
              </w:rPr>
            </w:pPr>
            <w:r>
              <w:rPr>
                <w:rFonts w:ascii="Arial" w:cs="Arial" w:eastAsia="Arial" w:hAnsi="Arial"/>
                <w:sz w:val="18"/>
                <w:szCs w:val="18"/>
                <w:color w:val="auto"/>
              </w:rPr>
              <w:t>Net cash used in investing activities</w:t>
            </w:r>
          </w:p>
        </w:tc>
        <w:tc>
          <w:tcPr>
            <w:tcW w:w="1120" w:type="dxa"/>
            <w:vAlign w:val="bottom"/>
            <w:gridSpan w:val="3"/>
          </w:tcPr>
          <w:p>
            <w:pPr>
              <w:jc w:val="right"/>
              <w:ind w:right="80"/>
              <w:spacing w:after="0"/>
              <w:rPr>
                <w:sz w:val="20"/>
                <w:szCs w:val="20"/>
                <w:color w:val="auto"/>
              </w:rPr>
            </w:pPr>
            <w:r>
              <w:rPr>
                <w:rFonts w:ascii="Arial" w:cs="Arial" w:eastAsia="Arial" w:hAnsi="Arial"/>
                <w:sz w:val="18"/>
                <w:szCs w:val="18"/>
                <w:color w:val="auto"/>
              </w:rPr>
              <w:t>(18,758)</w:t>
            </w:r>
          </w:p>
        </w:tc>
        <w:tc>
          <w:tcPr>
            <w:tcW w:w="2480" w:type="dxa"/>
            <w:vAlign w:val="bottom"/>
            <w:gridSpan w:val="5"/>
          </w:tcPr>
          <w:p>
            <w:pPr>
              <w:jc w:val="right"/>
              <w:ind w:right="560"/>
              <w:spacing w:after="0"/>
              <w:rPr>
                <w:sz w:val="20"/>
                <w:szCs w:val="20"/>
                <w:color w:val="auto"/>
              </w:rPr>
            </w:pPr>
            <w:r>
              <w:rPr>
                <w:rFonts w:ascii="Arial" w:cs="Arial" w:eastAsia="Arial" w:hAnsi="Arial"/>
                <w:sz w:val="18"/>
                <w:szCs w:val="18"/>
                <w:color w:val="auto"/>
              </w:rPr>
              <w:t>(33,853)</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00" w:type="dxa"/>
            <w:vAlign w:val="bottom"/>
          </w:tcPr>
          <w:p>
            <w:pPr>
              <w:spacing w:after="0"/>
              <w:rPr>
                <w:sz w:val="9"/>
                <w:szCs w:val="9"/>
                <w:color w:val="auto"/>
              </w:rPr>
            </w:pPr>
          </w:p>
        </w:tc>
        <w:tc>
          <w:tcPr>
            <w:tcW w:w="4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800" w:type="dxa"/>
            <w:vAlign w:val="bottom"/>
          </w:tcPr>
          <w:p>
            <w:pPr>
              <w:spacing w:after="0"/>
              <w:rPr>
                <w:sz w:val="8"/>
                <w:szCs w:val="8"/>
                <w:color w:val="auto"/>
              </w:rPr>
            </w:pPr>
          </w:p>
        </w:tc>
        <w:tc>
          <w:tcPr>
            <w:tcW w:w="420" w:type="dxa"/>
            <w:vAlign w:val="bottom"/>
          </w:tcPr>
          <w:p>
            <w:pPr>
              <w:spacing w:after="0"/>
              <w:rPr>
                <w:sz w:val="8"/>
                <w:szCs w:val="8"/>
                <w:color w:val="auto"/>
              </w:rPr>
            </w:pP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4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280"/>
              <w:spacing w:after="0"/>
              <w:rPr>
                <w:sz w:val="20"/>
                <w:szCs w:val="20"/>
                <w:color w:val="auto"/>
              </w:rPr>
            </w:pPr>
            <w:r>
              <w:rPr>
                <w:rFonts w:ascii="Arial" w:cs="Arial" w:eastAsia="Arial" w:hAnsi="Arial"/>
                <w:sz w:val="18"/>
                <w:szCs w:val="18"/>
                <w:color w:val="auto"/>
              </w:rPr>
              <w:t>Proceeds from the issuance of common stock</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8,929</w:t>
            </w:r>
          </w:p>
        </w:tc>
        <w:tc>
          <w:tcPr>
            <w:tcW w:w="140" w:type="dxa"/>
            <w:vAlign w:val="bottom"/>
          </w:tcPr>
          <w:p>
            <w:pPr>
              <w:spacing w:after="0"/>
              <w:rPr>
                <w:sz w:val="18"/>
                <w:szCs w:val="18"/>
                <w:color w:val="auto"/>
              </w:rPr>
            </w:pPr>
          </w:p>
        </w:tc>
        <w:tc>
          <w:tcPr>
            <w:tcW w:w="1860" w:type="dxa"/>
            <w:vAlign w:val="bottom"/>
            <w:gridSpan w:val="4"/>
          </w:tcPr>
          <w:p>
            <w:pPr>
              <w:jc w:val="right"/>
              <w:spacing w:after="0"/>
              <w:rPr>
                <w:sz w:val="20"/>
                <w:szCs w:val="20"/>
                <w:color w:val="auto"/>
              </w:rPr>
            </w:pPr>
            <w:r>
              <w:rPr>
                <w:rFonts w:ascii="Arial" w:cs="Arial" w:eastAsia="Arial" w:hAnsi="Arial"/>
                <w:sz w:val="18"/>
                <w:szCs w:val="18"/>
                <w:color w:val="auto"/>
              </w:rPr>
              <w:t>1,037</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Repurchases of common stock</w:t>
            </w:r>
          </w:p>
        </w:tc>
        <w:tc>
          <w:tcPr>
            <w:tcW w:w="112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(2)</w:t>
            </w:r>
          </w:p>
        </w:tc>
        <w:tc>
          <w:tcPr>
            <w:tcW w:w="2480" w:type="dxa"/>
            <w:vAlign w:val="bottom"/>
            <w:gridSpan w:val="5"/>
            <w:shd w:val="clear" w:color="auto" w:fill="EEEEEE"/>
          </w:tcPr>
          <w:p>
            <w:pPr>
              <w:jc w:val="right"/>
              <w:ind w:right="560"/>
              <w:spacing w:after="0"/>
              <w:rPr>
                <w:sz w:val="20"/>
                <w:szCs w:val="20"/>
                <w:color w:val="auto"/>
              </w:rPr>
            </w:pPr>
            <w:r>
              <w:rPr>
                <w:rFonts w:ascii="Arial" w:cs="Arial" w:eastAsia="Arial" w:hAnsi="Arial"/>
                <w:sz w:val="18"/>
                <w:szCs w:val="18"/>
                <w:color w:val="auto"/>
              </w:rPr>
              <w:t>(109)</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800" w:type="dxa"/>
            <w:vAlign w:val="bottom"/>
          </w:tcPr>
          <w:p>
            <w:pPr>
              <w:ind w:left="280"/>
              <w:spacing w:after="0"/>
              <w:rPr>
                <w:sz w:val="20"/>
                <w:szCs w:val="20"/>
                <w:color w:val="auto"/>
              </w:rPr>
            </w:pPr>
            <w:r>
              <w:rPr>
                <w:rFonts w:ascii="Arial" w:cs="Arial" w:eastAsia="Arial" w:hAnsi="Arial"/>
                <w:sz w:val="18"/>
                <w:szCs w:val="18"/>
                <w:color w:val="auto"/>
              </w:rPr>
              <w:t>Principal payments on capital lease obligations</w:t>
            </w:r>
          </w:p>
        </w:tc>
        <w:tc>
          <w:tcPr>
            <w:tcW w:w="1120" w:type="dxa"/>
            <w:vAlign w:val="bottom"/>
            <w:gridSpan w:val="3"/>
          </w:tcPr>
          <w:p>
            <w:pPr>
              <w:jc w:val="right"/>
              <w:ind w:right="80"/>
              <w:spacing w:after="0"/>
              <w:rPr>
                <w:sz w:val="20"/>
                <w:szCs w:val="20"/>
                <w:color w:val="auto"/>
              </w:rPr>
            </w:pPr>
            <w:r>
              <w:rPr>
                <w:rFonts w:ascii="Arial" w:cs="Arial" w:eastAsia="Arial" w:hAnsi="Arial"/>
                <w:sz w:val="18"/>
                <w:szCs w:val="18"/>
                <w:color w:val="auto"/>
              </w:rPr>
              <w:t>(219)</w:t>
            </w:r>
          </w:p>
        </w:tc>
        <w:tc>
          <w:tcPr>
            <w:tcW w:w="2480" w:type="dxa"/>
            <w:vAlign w:val="bottom"/>
            <w:gridSpan w:val="5"/>
          </w:tcPr>
          <w:p>
            <w:pPr>
              <w:jc w:val="right"/>
              <w:ind w:right="56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800" w:type="dxa"/>
            <w:vAlign w:val="bottom"/>
          </w:tcPr>
          <w:p>
            <w:pPr>
              <w:spacing w:after="0"/>
              <w:rPr>
                <w:sz w:val="8"/>
                <w:szCs w:val="8"/>
                <w:color w:val="auto"/>
              </w:rPr>
            </w:pPr>
          </w:p>
        </w:tc>
        <w:tc>
          <w:tcPr>
            <w:tcW w:w="4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800" w:type="dxa"/>
            <w:vAlign w:val="bottom"/>
          </w:tcPr>
          <w:p>
            <w:pPr>
              <w:spacing w:after="0"/>
              <w:rPr>
                <w:sz w:val="8"/>
                <w:szCs w:val="8"/>
                <w:color w:val="auto"/>
              </w:rPr>
            </w:pPr>
          </w:p>
        </w:tc>
        <w:tc>
          <w:tcPr>
            <w:tcW w:w="420" w:type="dxa"/>
            <w:vAlign w:val="bottom"/>
          </w:tcPr>
          <w:p>
            <w:pPr>
              <w:spacing w:after="0"/>
              <w:rPr>
                <w:sz w:val="8"/>
                <w:szCs w:val="8"/>
                <w:color w:val="auto"/>
              </w:rPr>
            </w:pP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EEEEEE"/>
          </w:tcPr>
          <w:p>
            <w:pPr>
              <w:ind w:left="900"/>
              <w:spacing w:after="0"/>
              <w:rPr>
                <w:sz w:val="20"/>
                <w:szCs w:val="20"/>
                <w:color w:val="auto"/>
              </w:rPr>
            </w:pPr>
            <w:r>
              <w:rPr>
                <w:rFonts w:ascii="Arial" w:cs="Arial" w:eastAsia="Arial" w:hAnsi="Arial"/>
                <w:sz w:val="18"/>
                <w:szCs w:val="18"/>
                <w:color w:val="auto"/>
              </w:rPr>
              <w:t>Net cash provided by financing activities</w:t>
            </w:r>
          </w:p>
        </w:tc>
        <w:tc>
          <w:tcPr>
            <w:tcW w:w="9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8,708</w:t>
            </w:r>
          </w:p>
        </w:tc>
        <w:tc>
          <w:tcPr>
            <w:tcW w:w="140" w:type="dxa"/>
            <w:vAlign w:val="bottom"/>
            <w:shd w:val="clear" w:color="auto" w:fill="EEEEEE"/>
          </w:tcPr>
          <w:p>
            <w:pPr>
              <w:spacing w:after="0"/>
              <w:rPr>
                <w:sz w:val="18"/>
                <w:szCs w:val="18"/>
                <w:color w:val="auto"/>
              </w:rPr>
            </w:pPr>
          </w:p>
        </w:tc>
        <w:tc>
          <w:tcPr>
            <w:tcW w:w="18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913</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820" w:type="dxa"/>
            <w:vAlign w:val="bottom"/>
            <w:gridSpan w:val="2"/>
          </w:tcPr>
          <w:p>
            <w:pPr>
              <w:spacing w:after="0"/>
              <w:rPr>
                <w:sz w:val="9"/>
                <w:szCs w:val="9"/>
                <w:color w:val="auto"/>
              </w:rPr>
            </w:pPr>
          </w:p>
        </w:tc>
        <w:tc>
          <w:tcPr>
            <w:tcW w:w="4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220" w:type="dxa"/>
            <w:vAlign w:val="bottom"/>
            <w:gridSpan w:val="3"/>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7820" w:type="dxa"/>
            <w:vAlign w:val="bottom"/>
            <w:gridSpan w:val="2"/>
          </w:tcPr>
          <w:p>
            <w:pPr>
              <w:spacing w:after="0"/>
              <w:rPr>
                <w:sz w:val="20"/>
                <w:szCs w:val="20"/>
                <w:color w:val="auto"/>
              </w:rPr>
            </w:pPr>
            <w:r>
              <w:rPr>
                <w:rFonts w:ascii="Arial" w:cs="Arial" w:eastAsia="Arial" w:hAnsi="Arial"/>
                <w:sz w:val="18"/>
                <w:szCs w:val="18"/>
                <w:color w:val="auto"/>
              </w:rPr>
              <w:t>Net decrease in cash and cash equivalents</w:t>
            </w:r>
          </w:p>
        </w:tc>
        <w:tc>
          <w:tcPr>
            <w:tcW w:w="1120" w:type="dxa"/>
            <w:vAlign w:val="bottom"/>
            <w:gridSpan w:val="3"/>
          </w:tcPr>
          <w:p>
            <w:pPr>
              <w:jc w:val="right"/>
              <w:ind w:right="80"/>
              <w:spacing w:after="0"/>
              <w:rPr>
                <w:sz w:val="20"/>
                <w:szCs w:val="20"/>
                <w:color w:val="auto"/>
              </w:rPr>
            </w:pPr>
            <w:r>
              <w:rPr>
                <w:rFonts w:ascii="Arial" w:cs="Arial" w:eastAsia="Arial" w:hAnsi="Arial"/>
                <w:sz w:val="18"/>
                <w:szCs w:val="18"/>
                <w:color w:val="auto"/>
              </w:rPr>
              <w:t>(229)</w:t>
            </w:r>
          </w:p>
        </w:tc>
        <w:tc>
          <w:tcPr>
            <w:tcW w:w="2480" w:type="dxa"/>
            <w:vAlign w:val="bottom"/>
            <w:gridSpan w:val="5"/>
          </w:tcPr>
          <w:p>
            <w:pPr>
              <w:jc w:val="right"/>
              <w:ind w:right="560"/>
              <w:spacing w:after="0"/>
              <w:rPr>
                <w:sz w:val="20"/>
                <w:szCs w:val="20"/>
                <w:color w:val="auto"/>
              </w:rPr>
            </w:pPr>
            <w:r>
              <w:rPr>
                <w:rFonts w:ascii="Arial" w:cs="Arial" w:eastAsia="Arial" w:hAnsi="Arial"/>
                <w:sz w:val="18"/>
                <w:szCs w:val="18"/>
                <w:color w:val="auto"/>
              </w:rPr>
              <w:t>(22,858)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80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beginning of period</w:t>
            </w:r>
          </w:p>
        </w:tc>
        <w:tc>
          <w:tcPr>
            <w:tcW w:w="9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114,483</w:t>
            </w:r>
          </w:p>
        </w:tc>
        <w:tc>
          <w:tcPr>
            <w:tcW w:w="140" w:type="dxa"/>
            <w:vAlign w:val="bottom"/>
            <w:shd w:val="clear" w:color="auto" w:fill="EEEEEE"/>
          </w:tcPr>
          <w:p>
            <w:pPr>
              <w:spacing w:after="0"/>
              <w:rPr>
                <w:sz w:val="18"/>
                <w:szCs w:val="18"/>
                <w:color w:val="auto"/>
              </w:rPr>
            </w:pPr>
          </w:p>
        </w:tc>
        <w:tc>
          <w:tcPr>
            <w:tcW w:w="18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184,128</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820" w:type="dxa"/>
            <w:vAlign w:val="bottom"/>
            <w:gridSpan w:val="2"/>
          </w:tcPr>
          <w:p>
            <w:pPr>
              <w:spacing w:after="0"/>
              <w:rPr>
                <w:sz w:val="9"/>
                <w:szCs w:val="9"/>
                <w:color w:val="auto"/>
              </w:rPr>
            </w:pPr>
          </w:p>
        </w:tc>
        <w:tc>
          <w:tcPr>
            <w:tcW w:w="4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220" w:type="dxa"/>
            <w:vAlign w:val="bottom"/>
            <w:gridSpan w:val="3"/>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78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$114,254</w:t>
            </w:r>
          </w:p>
        </w:tc>
        <w:tc>
          <w:tcPr>
            <w:tcW w:w="140" w:type="dxa"/>
            <w:vAlign w:val="bottom"/>
          </w:tcPr>
          <w:p>
            <w:pPr>
              <w:spacing w:after="0"/>
              <w:rPr>
                <w:sz w:val="24"/>
                <w:szCs w:val="24"/>
                <w:color w:val="auto"/>
              </w:rPr>
            </w:pPr>
          </w:p>
        </w:tc>
        <w:tc>
          <w:tcPr>
            <w:tcW w:w="1860" w:type="dxa"/>
            <w:vAlign w:val="bottom"/>
            <w:gridSpan w:val="4"/>
          </w:tcPr>
          <w:p>
            <w:pPr>
              <w:jc w:val="right"/>
              <w:spacing w:after="0"/>
              <w:rPr>
                <w:sz w:val="20"/>
                <w:szCs w:val="20"/>
                <w:color w:val="auto"/>
              </w:rPr>
            </w:pPr>
            <w:r>
              <w:rPr>
                <w:rFonts w:ascii="Arial" w:cs="Arial" w:eastAsia="Arial" w:hAnsi="Arial"/>
                <w:sz w:val="18"/>
                <w:szCs w:val="18"/>
                <w:color w:val="auto"/>
              </w:rPr>
              <w:t>$ 161,270</w:t>
            </w: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0" w:type="dxa"/>
            <w:vAlign w:val="bottom"/>
          </w:tcPr>
          <w:p>
            <w:pPr>
              <w:spacing w:after="0"/>
              <w:rPr>
                <w:sz w:val="9"/>
                <w:szCs w:val="9"/>
                <w:color w:val="auto"/>
              </w:rPr>
            </w:pPr>
          </w:p>
        </w:tc>
        <w:tc>
          <w:tcPr>
            <w:tcW w:w="42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80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condensed consolidated financial statements.</w:t>
      </w: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820"/>
        <w:spacing w:after="0" w:line="270" w:lineRule="auto"/>
        <w:rPr>
          <w:sz w:val="20"/>
          <w:szCs w:val="20"/>
          <w:color w:val="auto"/>
        </w:rPr>
      </w:pPr>
      <w:r>
        <w:rPr>
          <w:rFonts w:ascii="Arial" w:cs="Arial" w:eastAsia="Arial" w:hAnsi="Arial"/>
          <w:sz w:val="18"/>
          <w:szCs w:val="18"/>
          <w:b w:val="1"/>
          <w:bCs w:val="1"/>
          <w:color w:val="auto"/>
        </w:rPr>
        <w:t>MARVELL TECHNOLOGY GROUP LTD. NOTES TO CONDENSED CONSOLIDATED FINANCIAL STATEMENTS (Unaudited)</w:t>
      </w:r>
    </w:p>
    <w:p>
      <w:pPr>
        <w:spacing w:after="0" w:line="399" w:lineRule="exact"/>
        <w:rPr>
          <w:sz w:val="20"/>
          <w:szCs w:val="20"/>
          <w:color w:val="auto"/>
        </w:rPr>
      </w:pPr>
    </w:p>
    <w:p>
      <w:pPr>
        <w:ind w:right="7240" w:firstLine="8"/>
        <w:spacing w:after="0" w:line="504" w:lineRule="auto"/>
        <w:tabs>
          <w:tab w:leader="none" w:pos="176"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Marvell Technology Group Ltd. (the “Company”), a Bermuda company, was incorporated on January 11, 1995. The Company designs, develops and markets integrated circuits utilizing proprietary communications mixed-signal processing, or CMSP, and digital signal processing technologies for the communications and storage markets. On January 21, 2001, the Company acquired Galileo Technology Ltd. (“Galileo”), an Israeli corporation. Galileo develops high-performance communications internetworking and switching products for the broadband communications market.</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w:t>
      </w:r>
    </w:p>
    <w:p>
      <w:pPr>
        <w:spacing w:after="0" w:line="38" w:lineRule="exact"/>
        <w:rPr>
          <w:sz w:val="20"/>
          <w:szCs w:val="20"/>
          <w:color w:val="auto"/>
        </w:rPr>
      </w:pPr>
    </w:p>
    <w:p>
      <w:pPr>
        <w:jc w:val="both"/>
        <w:ind w:right="160"/>
        <w:spacing w:after="0" w:line="255" w:lineRule="auto"/>
        <w:rPr>
          <w:sz w:val="20"/>
          <w:szCs w:val="20"/>
          <w:color w:val="auto"/>
        </w:rPr>
      </w:pPr>
      <w:r>
        <w:rPr>
          <w:rFonts w:ascii="Arial" w:cs="Arial" w:eastAsia="Arial" w:hAnsi="Arial"/>
          <w:sz w:val="18"/>
          <w:szCs w:val="18"/>
          <w:color w:val="auto"/>
        </w:rPr>
        <w:t>13 weeks. The additional week in a 53-week year is added to the fourth quarter, making such quarter consist of 14 weeks. Fiscal year 2003 will be comprised of 52 weeks. For presentation purposes, the financial statements and notes refer to January 31 as the Company’s year-end and April 30, July 31 and October 31 as the Company’s quarter-ends.</w:t>
      </w:r>
    </w:p>
    <w:p>
      <w:pPr>
        <w:spacing w:after="0" w:line="198" w:lineRule="exact"/>
        <w:rPr>
          <w:sz w:val="20"/>
          <w:szCs w:val="20"/>
          <w:color w:val="auto"/>
        </w:rPr>
      </w:pPr>
    </w:p>
    <w:p>
      <w:pPr>
        <w:ind w:right="100" w:firstLine="216"/>
        <w:spacing w:after="0" w:line="291" w:lineRule="auto"/>
        <w:rPr>
          <w:sz w:val="20"/>
          <w:szCs w:val="20"/>
          <w:color w:val="auto"/>
        </w:rPr>
      </w:pPr>
      <w:r>
        <w:rPr>
          <w:rFonts w:ascii="Arial" w:cs="Arial" w:eastAsia="Arial" w:hAnsi="Arial"/>
          <w:sz w:val="16"/>
          <w:szCs w:val="16"/>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April 30, 2002, the results of its operations for the three months ended April 30, 2002 and 2001, and its cash flows for the three months ended April 30, 2002 and 2001. These condensed consolidated financial statements and related notes are unaudited and should be read in conjunction with the Company’s audited financial statements and related notes included in the Company’s 2002 Annual Report on Form 10-K. The results of operations for the three months ended April 30, 2002 are not necessarily indicative of the results that may be expected for any other interim period or for the full fiscal year.</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31" w:lineRule="exact"/>
        <w:rPr>
          <w:sz w:val="20"/>
          <w:szCs w:val="20"/>
          <w:color w:val="auto"/>
        </w:rPr>
      </w:pPr>
    </w:p>
    <w:p>
      <w:pPr>
        <w:ind w:right="60" w:firstLine="216"/>
        <w:spacing w:after="0" w:line="290"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2" w:lineRule="exact"/>
        <w:rPr>
          <w:sz w:val="20"/>
          <w:szCs w:val="20"/>
          <w:color w:val="auto"/>
        </w:rPr>
      </w:pPr>
    </w:p>
    <w:p>
      <w:pPr>
        <w:ind w:right="20" w:firstLine="216"/>
        <w:spacing w:after="0" w:line="33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39" w:lineRule="exact"/>
        <w:rPr>
          <w:sz w:val="20"/>
          <w:szCs w:val="20"/>
          <w:color w:val="auto"/>
        </w:rPr>
      </w:pPr>
    </w:p>
    <w:p>
      <w:pPr>
        <w:ind w:right="180" w:firstLine="216"/>
        <w:spacing w:after="0" w:line="306" w:lineRule="auto"/>
        <w:rPr>
          <w:sz w:val="20"/>
          <w:szCs w:val="20"/>
          <w:color w:val="auto"/>
        </w:rPr>
      </w:pPr>
      <w:r>
        <w:rPr>
          <w:rFonts w:ascii="Arial" w:cs="Arial" w:eastAsia="Arial" w:hAnsi="Arial"/>
          <w:sz w:val="16"/>
          <w:szCs w:val="16"/>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progress toward completion, which is measured using input measures such as percentage of completion.</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Available-for-sale investments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00" w:lineRule="exact"/>
        <w:rPr>
          <w:sz w:val="20"/>
          <w:szCs w:val="20"/>
          <w:color w:val="auto"/>
        </w:rPr>
      </w:pPr>
    </w:p>
    <w:p>
      <w:pPr>
        <w:spacing w:after="0" w:line="253"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80" w:type="dxa"/>
            <w:vAlign w:val="bottom"/>
            <w:gridSpan w:val="2"/>
          </w:tcPr>
          <w:p>
            <w:pPr>
              <w:jc w:val="center"/>
              <w:ind w:right="220"/>
              <w:spacing w:after="0"/>
              <w:rPr>
                <w:sz w:val="20"/>
                <w:szCs w:val="20"/>
                <w:color w:val="auto"/>
              </w:rPr>
            </w:pPr>
            <w:r>
              <w:rPr>
                <w:rFonts w:ascii="Arial" w:cs="Arial" w:eastAsia="Arial" w:hAnsi="Arial"/>
                <w:sz w:val="14"/>
                <w:szCs w:val="14"/>
                <w:color w:val="auto"/>
                <w:w w:val="80"/>
              </w:rPr>
              <w:t>Gross</w:t>
            </w: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gridSpan w:val="2"/>
          </w:tcPr>
          <w:p>
            <w:pPr>
              <w:jc w:val="center"/>
              <w:ind w:right="220"/>
              <w:spacing w:after="0"/>
              <w:rPr>
                <w:sz w:val="20"/>
                <w:szCs w:val="20"/>
                <w:color w:val="auto"/>
              </w:rPr>
            </w:pPr>
            <w:r>
              <w:rPr>
                <w:rFonts w:ascii="Arial" w:cs="Arial" w:eastAsia="Arial" w:hAnsi="Arial"/>
                <w:sz w:val="14"/>
                <w:szCs w:val="14"/>
                <w:color w:val="auto"/>
                <w:w w:val="85"/>
              </w:rPr>
              <w:t>Gross</w:t>
            </w: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80" w:type="dxa"/>
            <w:vAlign w:val="bottom"/>
            <w:gridSpan w:val="2"/>
          </w:tcPr>
          <w:p>
            <w:pPr>
              <w:jc w:val="center"/>
              <w:ind w:right="340"/>
              <w:spacing w:after="0"/>
              <w:rPr>
                <w:sz w:val="20"/>
                <w:szCs w:val="20"/>
                <w:color w:val="auto"/>
              </w:rPr>
            </w:pPr>
            <w:r>
              <w:rPr>
                <w:rFonts w:ascii="Arial" w:cs="Arial" w:eastAsia="Arial" w:hAnsi="Arial"/>
                <w:sz w:val="14"/>
                <w:szCs w:val="14"/>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00" w:type="dxa"/>
            <w:vAlign w:val="bottom"/>
            <w:gridSpan w:val="3"/>
          </w:tcPr>
          <w:p>
            <w:pPr>
              <w:jc w:val="center"/>
              <w:ind w:right="20"/>
              <w:spacing w:after="0" w:line="149" w:lineRule="exact"/>
              <w:rPr>
                <w:sz w:val="20"/>
                <w:szCs w:val="20"/>
                <w:color w:val="auto"/>
              </w:rPr>
            </w:pPr>
            <w:r>
              <w:rPr>
                <w:rFonts w:ascii="Arial" w:cs="Arial" w:eastAsia="Arial" w:hAnsi="Arial"/>
                <w:sz w:val="14"/>
                <w:szCs w:val="14"/>
                <w:color w:val="auto"/>
                <w:w w:val="91"/>
              </w:rPr>
              <w:t>Amortized</w:t>
            </w: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80" w:type="dxa"/>
            <w:vAlign w:val="bottom"/>
            <w:gridSpan w:val="3"/>
          </w:tcPr>
          <w:p>
            <w:pPr>
              <w:jc w:val="center"/>
              <w:ind w:right="20"/>
              <w:spacing w:after="0" w:line="149" w:lineRule="exact"/>
              <w:rPr>
                <w:sz w:val="20"/>
                <w:szCs w:val="20"/>
                <w:color w:val="auto"/>
              </w:rPr>
            </w:pPr>
            <w:r>
              <w:rPr>
                <w:rFonts w:ascii="Arial" w:cs="Arial" w:eastAsia="Arial" w:hAnsi="Arial"/>
                <w:sz w:val="14"/>
                <w:szCs w:val="14"/>
                <w:color w:val="auto"/>
                <w:w w:val="86"/>
              </w:rPr>
              <w:t>Unrealized</w:t>
            </w: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0" w:type="dxa"/>
            <w:vAlign w:val="bottom"/>
            <w:gridSpan w:val="3"/>
          </w:tcPr>
          <w:p>
            <w:pPr>
              <w:jc w:val="center"/>
              <w:ind w:right="40"/>
              <w:spacing w:after="0" w:line="149" w:lineRule="exact"/>
              <w:rPr>
                <w:sz w:val="20"/>
                <w:szCs w:val="20"/>
                <w:color w:val="auto"/>
              </w:rPr>
            </w:pPr>
            <w:r>
              <w:rPr>
                <w:rFonts w:ascii="Arial" w:cs="Arial" w:eastAsia="Arial" w:hAnsi="Arial"/>
                <w:sz w:val="14"/>
                <w:szCs w:val="14"/>
                <w:color w:val="auto"/>
                <w:w w:val="89"/>
              </w:rPr>
              <w:t>Unrealized</w:t>
            </w: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80" w:type="dxa"/>
            <w:vAlign w:val="bottom"/>
            <w:gridSpan w:val="2"/>
          </w:tcPr>
          <w:p>
            <w:pPr>
              <w:jc w:val="center"/>
              <w:ind w:right="340"/>
              <w:spacing w:after="0" w:line="149" w:lineRule="exact"/>
              <w:rPr>
                <w:sz w:val="20"/>
                <w:szCs w:val="20"/>
                <w:color w:val="auto"/>
              </w:rPr>
            </w:pPr>
            <w:r>
              <w:rPr>
                <w:rFonts w:ascii="Arial" w:cs="Arial" w:eastAsia="Arial" w:hAnsi="Arial"/>
                <w:sz w:val="14"/>
                <w:szCs w:val="14"/>
                <w:color w:val="auto"/>
                <w:w w:val="91"/>
              </w:rPr>
              <w:t>Fair</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580" w:type="dxa"/>
            <w:vAlign w:val="bottom"/>
          </w:tcPr>
          <w:p>
            <w:pPr>
              <w:ind w:left="1720"/>
              <w:spacing w:after="0"/>
              <w:rPr>
                <w:sz w:val="20"/>
                <w:szCs w:val="20"/>
                <w:color w:val="auto"/>
              </w:rPr>
            </w:pPr>
            <w:r>
              <w:rPr>
                <w:rFonts w:ascii="Arial" w:cs="Arial" w:eastAsia="Arial" w:hAnsi="Arial"/>
                <w:sz w:val="14"/>
                <w:szCs w:val="14"/>
                <w:color w:val="auto"/>
              </w:rPr>
              <w:t>As of April 30, 2002</w:t>
            </w:r>
          </w:p>
        </w:tc>
        <w:tc>
          <w:tcPr>
            <w:tcW w:w="2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60" w:type="dxa"/>
            <w:vAlign w:val="bottom"/>
            <w:gridSpan w:val="2"/>
          </w:tcPr>
          <w:p>
            <w:pPr>
              <w:jc w:val="center"/>
              <w:ind w:right="340"/>
              <w:spacing w:after="0"/>
              <w:rPr>
                <w:sz w:val="20"/>
                <w:szCs w:val="20"/>
                <w:color w:val="auto"/>
              </w:rPr>
            </w:pPr>
            <w:r>
              <w:rPr>
                <w:rFonts w:ascii="Arial" w:cs="Arial" w:eastAsia="Arial" w:hAnsi="Arial"/>
                <w:sz w:val="14"/>
                <w:szCs w:val="14"/>
                <w:color w:val="auto"/>
                <w:w w:val="83"/>
              </w:rPr>
              <w:t>Cost</w:t>
            </w: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80" w:type="dxa"/>
            <w:vAlign w:val="bottom"/>
            <w:gridSpan w:val="2"/>
          </w:tcPr>
          <w:p>
            <w:pPr>
              <w:jc w:val="center"/>
              <w:ind w:right="220"/>
              <w:spacing w:after="0"/>
              <w:rPr>
                <w:sz w:val="20"/>
                <w:szCs w:val="20"/>
                <w:color w:val="auto"/>
              </w:rPr>
            </w:pPr>
            <w:r>
              <w:rPr>
                <w:rFonts w:ascii="Arial" w:cs="Arial" w:eastAsia="Arial" w:hAnsi="Arial"/>
                <w:sz w:val="14"/>
                <w:szCs w:val="14"/>
                <w:color w:val="auto"/>
                <w:w w:val="81"/>
              </w:rPr>
              <w:t>Gains</w:t>
            </w: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gridSpan w:val="2"/>
          </w:tcPr>
          <w:p>
            <w:pPr>
              <w:jc w:val="center"/>
              <w:ind w:right="220"/>
              <w:spacing w:after="0"/>
              <w:rPr>
                <w:sz w:val="20"/>
                <w:szCs w:val="20"/>
                <w:color w:val="auto"/>
              </w:rPr>
            </w:pPr>
            <w:r>
              <w:rPr>
                <w:rFonts w:ascii="Arial" w:cs="Arial" w:eastAsia="Arial" w:hAnsi="Arial"/>
                <w:sz w:val="14"/>
                <w:szCs w:val="14"/>
                <w:color w:val="auto"/>
                <w:w w:val="81"/>
              </w:rPr>
              <w:t>Losses</w:t>
            </w: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80" w:type="dxa"/>
            <w:vAlign w:val="bottom"/>
            <w:gridSpan w:val="2"/>
          </w:tcPr>
          <w:p>
            <w:pPr>
              <w:jc w:val="center"/>
              <w:ind w:right="340"/>
              <w:spacing w:after="0"/>
              <w:rPr>
                <w:sz w:val="20"/>
                <w:szCs w:val="20"/>
                <w:color w:val="auto"/>
              </w:rPr>
            </w:pPr>
            <w:r>
              <w:rPr>
                <w:rFonts w:ascii="Arial" w:cs="Arial" w:eastAsia="Arial" w:hAnsi="Arial"/>
                <w:sz w:val="14"/>
                <w:szCs w:val="14"/>
                <w:color w:val="auto"/>
                <w:w w:val="83"/>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8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$114,536</w:t>
            </w:r>
          </w:p>
        </w:tc>
        <w:tc>
          <w:tcPr>
            <w:tcW w:w="300" w:type="dxa"/>
            <w:vAlign w:val="bottom"/>
            <w:tcBorders>
              <w:left w:val="single" w:sz="8" w:color="EEEEEE"/>
            </w:tcBorders>
            <w:shd w:val="clear" w:color="auto" w:fill="EEEEEE"/>
          </w:tcPr>
          <w:p>
            <w:pPr>
              <w:spacing w:after="0"/>
              <w:rPr>
                <w:sz w:val="18"/>
                <w:szCs w:val="18"/>
                <w:color w:val="auto"/>
              </w:rPr>
            </w:pPr>
          </w:p>
        </w:tc>
        <w:tc>
          <w:tcPr>
            <w:tcW w:w="4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445</w:t>
            </w:r>
          </w:p>
        </w:tc>
        <w:tc>
          <w:tcPr>
            <w:tcW w:w="300" w:type="dxa"/>
            <w:vAlign w:val="bottom"/>
            <w:tcBorders>
              <w:left w:val="single" w:sz="8" w:color="EEEEEE"/>
            </w:tcBorders>
            <w:shd w:val="clear" w:color="auto" w:fill="EEEEEE"/>
          </w:tcPr>
          <w:p>
            <w:pPr>
              <w:spacing w:after="0"/>
              <w:rPr>
                <w:sz w:val="18"/>
                <w:szCs w:val="18"/>
                <w:color w:val="auto"/>
              </w:rPr>
            </w:pPr>
          </w:p>
        </w:tc>
        <w:tc>
          <w:tcPr>
            <w:tcW w:w="1060" w:type="dxa"/>
            <w:vAlign w:val="bottom"/>
            <w:gridSpan w:val="6"/>
            <w:shd w:val="clear" w:color="auto" w:fill="EEEEEE"/>
          </w:tcPr>
          <w:p>
            <w:pPr>
              <w:jc w:val="right"/>
              <w:ind w:right="240"/>
              <w:spacing w:after="0"/>
              <w:rPr>
                <w:sz w:val="20"/>
                <w:szCs w:val="20"/>
                <w:color w:val="auto"/>
              </w:rPr>
            </w:pPr>
            <w:r>
              <w:rPr>
                <w:rFonts w:ascii="Arial" w:cs="Arial" w:eastAsia="Arial" w:hAnsi="Arial"/>
                <w:sz w:val="18"/>
                <w:szCs w:val="18"/>
                <w:color w:val="auto"/>
              </w:rPr>
              <w:t>$(606)</w:t>
            </w:r>
          </w:p>
        </w:tc>
        <w:tc>
          <w:tcPr>
            <w:tcW w:w="580" w:type="dxa"/>
            <w:vAlign w:val="bottom"/>
            <w:tcBorders>
              <w:right w:val="single" w:sz="8" w:color="EEEEEE"/>
            </w:tcBorders>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114,375</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tcPr>
          <w:p>
            <w:pPr>
              <w:spacing w:after="0"/>
              <w:rPr>
                <w:sz w:val="20"/>
                <w:szCs w:val="20"/>
                <w:color w:val="auto"/>
              </w:rPr>
            </w:pPr>
            <w:r>
              <w:rPr>
                <w:rFonts w:ascii="Arial" w:cs="Arial" w:eastAsia="Arial" w:hAnsi="Arial"/>
                <w:sz w:val="18"/>
                <w:szCs w:val="18"/>
                <w:color w:val="auto"/>
              </w:rPr>
              <w:t>U.S., state, county and municipal debt securities</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27,215</w:t>
            </w: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19</w:t>
            </w:r>
          </w:p>
        </w:tc>
        <w:tc>
          <w:tcPr>
            <w:tcW w:w="300" w:type="dxa"/>
            <w:vAlign w:val="bottom"/>
          </w:tcPr>
          <w:p>
            <w:pPr>
              <w:spacing w:after="0"/>
              <w:rPr>
                <w:sz w:val="18"/>
                <w:szCs w:val="18"/>
                <w:color w:val="auto"/>
              </w:rPr>
            </w:pPr>
          </w:p>
        </w:tc>
        <w:tc>
          <w:tcPr>
            <w:tcW w:w="1060" w:type="dxa"/>
            <w:vAlign w:val="bottom"/>
            <w:gridSpan w:val="6"/>
          </w:tcPr>
          <w:p>
            <w:pPr>
              <w:jc w:val="right"/>
              <w:ind w:right="240"/>
              <w:spacing w:after="0"/>
              <w:rPr>
                <w:sz w:val="20"/>
                <w:szCs w:val="20"/>
                <w:color w:val="auto"/>
              </w:rPr>
            </w:pPr>
            <w:r>
              <w:rPr>
                <w:rFonts w:ascii="Arial" w:cs="Arial" w:eastAsia="Arial" w:hAnsi="Arial"/>
                <w:sz w:val="18"/>
                <w:szCs w:val="18"/>
                <w:color w:val="auto"/>
              </w:rPr>
              <w:t>(88)</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27,146</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shd w:val="clear" w:color="auto" w:fill="EEEEEE"/>
          </w:tcPr>
          <w:p>
            <w:pPr>
              <w:spacing w:after="0"/>
              <w:rPr>
                <w:sz w:val="20"/>
                <w:szCs w:val="20"/>
                <w:color w:val="auto"/>
              </w:rPr>
            </w:pPr>
            <w:r>
              <w:rPr>
                <w:rFonts w:ascii="Arial" w:cs="Arial" w:eastAsia="Arial" w:hAnsi="Arial"/>
                <w:sz w:val="18"/>
                <w:szCs w:val="18"/>
                <w:color w:val="auto"/>
              </w:rPr>
              <w:t>Foreign government securities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13,110</w:t>
            </w:r>
          </w:p>
        </w:tc>
        <w:tc>
          <w:tcPr>
            <w:tcW w:w="300" w:type="dxa"/>
            <w:vAlign w:val="bottom"/>
            <w:tcBorders>
              <w:left w:val="single" w:sz="8" w:color="EEEEEE"/>
            </w:tcBorders>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w:t>
            </w:r>
          </w:p>
        </w:tc>
        <w:tc>
          <w:tcPr>
            <w:tcW w:w="300" w:type="dxa"/>
            <w:vAlign w:val="bottom"/>
            <w:tcBorders>
              <w:left w:val="single" w:sz="8" w:color="EEEEEE"/>
            </w:tcBorders>
            <w:shd w:val="clear" w:color="auto" w:fill="EEEEEE"/>
          </w:tcPr>
          <w:p>
            <w:pPr>
              <w:spacing w:after="0"/>
              <w:rPr>
                <w:sz w:val="18"/>
                <w:szCs w:val="18"/>
                <w:color w:val="auto"/>
              </w:rPr>
            </w:pPr>
          </w:p>
        </w:tc>
        <w:tc>
          <w:tcPr>
            <w:tcW w:w="1060" w:type="dxa"/>
            <w:vAlign w:val="bottom"/>
            <w:gridSpan w:val="6"/>
            <w:shd w:val="clear" w:color="auto" w:fill="EEEEEE"/>
          </w:tcPr>
          <w:p>
            <w:pPr>
              <w:jc w:val="right"/>
              <w:ind w:right="240"/>
              <w:spacing w:after="0"/>
              <w:rPr>
                <w:sz w:val="20"/>
                <w:szCs w:val="20"/>
                <w:color w:val="auto"/>
              </w:rPr>
            </w:pPr>
            <w:r>
              <w:rPr>
                <w:rFonts w:ascii="Arial" w:cs="Arial" w:eastAsia="Arial" w:hAnsi="Arial"/>
                <w:sz w:val="18"/>
                <w:szCs w:val="18"/>
                <w:color w:val="auto"/>
              </w:rPr>
              <w:t>(19)</w:t>
            </w:r>
          </w:p>
        </w:tc>
        <w:tc>
          <w:tcPr>
            <w:tcW w:w="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13,111</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580" w:type="dxa"/>
            <w:vAlign w:val="bottom"/>
          </w:tcPr>
          <w:p>
            <w:pPr>
              <w:spacing w:after="0"/>
              <w:rPr>
                <w:sz w:val="20"/>
                <w:szCs w:val="20"/>
                <w:color w:val="auto"/>
              </w:rPr>
            </w:pPr>
            <w:r>
              <w:rPr>
                <w:rFonts w:ascii="Arial" w:cs="Arial" w:eastAsia="Arial" w:hAnsi="Arial"/>
                <w:sz w:val="18"/>
                <w:szCs w:val="18"/>
                <w:color w:val="auto"/>
              </w:rPr>
              <w:t>Equity securities</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1,600</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950</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2,550</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shd w:val="clear" w:color="auto" w:fill="EEEEEE"/>
          </w:tcPr>
          <w:p>
            <w:pPr>
              <w:spacing w:after="0"/>
              <w:rPr>
                <w:sz w:val="18"/>
                <w:szCs w:val="18"/>
                <w:color w:val="auto"/>
              </w:rPr>
            </w:pP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156,461</w:t>
            </w:r>
          </w:p>
        </w:tc>
        <w:tc>
          <w:tcPr>
            <w:tcW w:w="300" w:type="dxa"/>
            <w:vAlign w:val="bottom"/>
            <w:tcBorders>
              <w:left w:val="single" w:sz="8" w:color="EEEEEE"/>
            </w:tcBorders>
            <w:shd w:val="clear" w:color="auto" w:fill="EEEEEE"/>
          </w:tcPr>
          <w:p>
            <w:pPr>
              <w:spacing w:after="0"/>
              <w:rPr>
                <w:sz w:val="18"/>
                <w:szCs w:val="18"/>
                <w:color w:val="auto"/>
              </w:rPr>
            </w:pPr>
          </w:p>
        </w:tc>
        <w:tc>
          <w:tcPr>
            <w:tcW w:w="8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1,434</w:t>
            </w:r>
          </w:p>
        </w:tc>
        <w:tc>
          <w:tcPr>
            <w:tcW w:w="300" w:type="dxa"/>
            <w:vAlign w:val="bottom"/>
            <w:tcBorders>
              <w:left w:val="single" w:sz="8" w:color="EEEEEE"/>
            </w:tcBorders>
            <w:shd w:val="clear" w:color="auto" w:fill="EEEEEE"/>
          </w:tcPr>
          <w:p>
            <w:pPr>
              <w:spacing w:after="0"/>
              <w:rPr>
                <w:sz w:val="18"/>
                <w:szCs w:val="18"/>
                <w:color w:val="auto"/>
              </w:rPr>
            </w:pPr>
          </w:p>
        </w:tc>
        <w:tc>
          <w:tcPr>
            <w:tcW w:w="1060" w:type="dxa"/>
            <w:vAlign w:val="bottom"/>
            <w:gridSpan w:val="6"/>
            <w:shd w:val="clear" w:color="auto" w:fill="EEEEEE"/>
          </w:tcPr>
          <w:p>
            <w:pPr>
              <w:jc w:val="right"/>
              <w:ind w:right="240"/>
              <w:spacing w:after="0"/>
              <w:rPr>
                <w:sz w:val="20"/>
                <w:szCs w:val="20"/>
                <w:color w:val="auto"/>
              </w:rPr>
            </w:pPr>
            <w:r>
              <w:rPr>
                <w:rFonts w:ascii="Arial" w:cs="Arial" w:eastAsia="Arial" w:hAnsi="Arial"/>
                <w:sz w:val="18"/>
                <w:szCs w:val="18"/>
                <w:color w:val="auto"/>
              </w:rPr>
              <w:t>(713)</w:t>
            </w:r>
          </w:p>
        </w:tc>
        <w:tc>
          <w:tcPr>
            <w:tcW w:w="11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157,182</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58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440" w:type="dxa"/>
            <w:vAlign w:val="bottom"/>
            <w:gridSpan w:val="4"/>
          </w:tcPr>
          <w:p>
            <w:pPr>
              <w:jc w:val="right"/>
              <w:ind w:right="240"/>
              <w:spacing w:after="0"/>
              <w:rPr>
                <w:sz w:val="20"/>
                <w:szCs w:val="20"/>
                <w:color w:val="auto"/>
              </w:rPr>
            </w:pPr>
            <w:r>
              <w:rPr>
                <w:rFonts w:ascii="Arial" w:cs="Arial" w:eastAsia="Arial" w:hAnsi="Arial"/>
                <w:sz w:val="18"/>
                <w:szCs w:val="18"/>
                <w:color w:val="auto"/>
              </w:rPr>
              <w:t>(14,415)</w:t>
            </w: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w w:val="89"/>
              </w:rPr>
              <w:t>(14,415)</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8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$142,046</w:t>
            </w:r>
          </w:p>
        </w:tc>
        <w:tc>
          <w:tcPr>
            <w:tcW w:w="300" w:type="dxa"/>
            <w:vAlign w:val="bottom"/>
            <w:tcBorders>
              <w:left w:val="single" w:sz="8" w:color="EEEEEE"/>
            </w:tcBorders>
            <w:shd w:val="clear" w:color="auto" w:fill="EEEEEE"/>
          </w:tcPr>
          <w:p>
            <w:pPr>
              <w:spacing w:after="0"/>
              <w:rPr>
                <w:sz w:val="18"/>
                <w:szCs w:val="18"/>
                <w:color w:val="auto"/>
              </w:rPr>
            </w:pPr>
          </w:p>
        </w:tc>
        <w:tc>
          <w:tcPr>
            <w:tcW w:w="8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$1,434</w:t>
            </w:r>
          </w:p>
        </w:tc>
        <w:tc>
          <w:tcPr>
            <w:tcW w:w="300" w:type="dxa"/>
            <w:vAlign w:val="bottom"/>
            <w:tcBorders>
              <w:left w:val="single" w:sz="8" w:color="EEEEEE"/>
            </w:tcBorders>
            <w:shd w:val="clear" w:color="auto" w:fill="EEEEEE"/>
          </w:tcPr>
          <w:p>
            <w:pPr>
              <w:spacing w:after="0"/>
              <w:rPr>
                <w:sz w:val="18"/>
                <w:szCs w:val="18"/>
                <w:color w:val="auto"/>
              </w:rPr>
            </w:pPr>
          </w:p>
        </w:tc>
        <w:tc>
          <w:tcPr>
            <w:tcW w:w="1060" w:type="dxa"/>
            <w:vAlign w:val="bottom"/>
            <w:gridSpan w:val="6"/>
            <w:shd w:val="clear" w:color="auto" w:fill="EEEEEE"/>
          </w:tcPr>
          <w:p>
            <w:pPr>
              <w:jc w:val="right"/>
              <w:ind w:right="240"/>
              <w:spacing w:after="0"/>
              <w:rPr>
                <w:sz w:val="20"/>
                <w:szCs w:val="20"/>
                <w:color w:val="auto"/>
              </w:rPr>
            </w:pPr>
            <w:r>
              <w:rPr>
                <w:rFonts w:ascii="Arial" w:cs="Arial" w:eastAsia="Arial" w:hAnsi="Arial"/>
                <w:sz w:val="18"/>
                <w:szCs w:val="18"/>
                <w:color w:val="auto"/>
              </w:rPr>
              <w:t>$(713)</w:t>
            </w:r>
          </w:p>
        </w:tc>
        <w:tc>
          <w:tcPr>
            <w:tcW w:w="11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$142,767</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5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6"/>
        </w:trPr>
        <w:tc>
          <w:tcPr>
            <w:tcW w:w="20" w:type="dxa"/>
            <w:vAlign w:val="bottom"/>
          </w:tcPr>
          <w:p>
            <w:pPr>
              <w:spacing w:after="0"/>
              <w:rPr>
                <w:sz w:val="24"/>
                <w:szCs w:val="24"/>
                <w:color w:val="auto"/>
              </w:rPr>
            </w:pPr>
          </w:p>
        </w:tc>
        <w:tc>
          <w:tcPr>
            <w:tcW w:w="4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80" w:type="dxa"/>
            <w:vAlign w:val="bottom"/>
            <w:gridSpan w:val="2"/>
          </w:tcPr>
          <w:p>
            <w:pPr>
              <w:jc w:val="center"/>
              <w:ind w:right="200"/>
              <w:spacing w:after="0"/>
              <w:rPr>
                <w:sz w:val="20"/>
                <w:szCs w:val="20"/>
                <w:color w:val="auto"/>
              </w:rPr>
            </w:pPr>
            <w:r>
              <w:rPr>
                <w:rFonts w:ascii="Arial" w:cs="Arial" w:eastAsia="Arial" w:hAnsi="Arial"/>
                <w:sz w:val="14"/>
                <w:szCs w:val="14"/>
                <w:color w:val="auto"/>
                <w:w w:val="85"/>
              </w:rPr>
              <w:t>Gross</w:t>
            </w: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gridSpan w:val="2"/>
          </w:tcPr>
          <w:p>
            <w:pPr>
              <w:jc w:val="center"/>
              <w:ind w:right="180"/>
              <w:spacing w:after="0"/>
              <w:rPr>
                <w:sz w:val="20"/>
                <w:szCs w:val="20"/>
                <w:color w:val="auto"/>
              </w:rPr>
            </w:pPr>
            <w:r>
              <w:rPr>
                <w:rFonts w:ascii="Arial" w:cs="Arial" w:eastAsia="Arial" w:hAnsi="Arial"/>
                <w:sz w:val="14"/>
                <w:szCs w:val="14"/>
                <w:color w:val="auto"/>
                <w:w w:val="85"/>
              </w:rPr>
              <w:t>Gross</w:t>
            </w: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80" w:type="dxa"/>
            <w:vAlign w:val="bottom"/>
            <w:gridSpan w:val="2"/>
          </w:tcPr>
          <w:p>
            <w:pPr>
              <w:jc w:val="center"/>
              <w:ind w:right="340"/>
              <w:spacing w:after="0"/>
              <w:rPr>
                <w:sz w:val="20"/>
                <w:szCs w:val="20"/>
                <w:color w:val="auto"/>
              </w:rPr>
            </w:pPr>
            <w:r>
              <w:rPr>
                <w:rFonts w:ascii="Arial" w:cs="Arial" w:eastAsia="Arial" w:hAnsi="Arial"/>
                <w:sz w:val="14"/>
                <w:szCs w:val="14"/>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60" w:type="dxa"/>
            <w:vAlign w:val="bottom"/>
            <w:gridSpan w:val="2"/>
          </w:tcPr>
          <w:p>
            <w:pPr>
              <w:jc w:val="center"/>
              <w:ind w:right="300"/>
              <w:spacing w:after="0" w:line="149" w:lineRule="exact"/>
              <w:rPr>
                <w:sz w:val="20"/>
                <w:szCs w:val="20"/>
                <w:color w:val="auto"/>
              </w:rPr>
            </w:pPr>
            <w:r>
              <w:rPr>
                <w:rFonts w:ascii="Arial" w:cs="Arial" w:eastAsia="Arial" w:hAnsi="Arial"/>
                <w:sz w:val="14"/>
                <w:szCs w:val="14"/>
                <w:color w:val="auto"/>
                <w:w w:val="88"/>
              </w:rPr>
              <w:t>Amortized</w:t>
            </w: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80" w:type="dxa"/>
            <w:vAlign w:val="bottom"/>
            <w:gridSpan w:val="3"/>
          </w:tcPr>
          <w:p>
            <w:pPr>
              <w:jc w:val="center"/>
              <w:spacing w:after="0" w:line="149" w:lineRule="exact"/>
              <w:rPr>
                <w:sz w:val="20"/>
                <w:szCs w:val="20"/>
                <w:color w:val="auto"/>
              </w:rPr>
            </w:pPr>
            <w:r>
              <w:rPr>
                <w:rFonts w:ascii="Arial" w:cs="Arial" w:eastAsia="Arial" w:hAnsi="Arial"/>
                <w:sz w:val="14"/>
                <w:szCs w:val="14"/>
                <w:color w:val="auto"/>
                <w:w w:val="89"/>
              </w:rPr>
              <w:t>Unrealized</w:t>
            </w: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0" w:type="dxa"/>
            <w:vAlign w:val="bottom"/>
            <w:gridSpan w:val="3"/>
          </w:tcPr>
          <w:p>
            <w:pPr>
              <w:jc w:val="center"/>
              <w:spacing w:after="0" w:line="149" w:lineRule="exact"/>
              <w:rPr>
                <w:sz w:val="20"/>
                <w:szCs w:val="20"/>
                <w:color w:val="auto"/>
              </w:rPr>
            </w:pPr>
            <w:r>
              <w:rPr>
                <w:rFonts w:ascii="Arial" w:cs="Arial" w:eastAsia="Arial" w:hAnsi="Arial"/>
                <w:sz w:val="14"/>
                <w:szCs w:val="14"/>
                <w:color w:val="auto"/>
                <w:w w:val="89"/>
              </w:rPr>
              <w:t>Unrealized</w:t>
            </w: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80" w:type="dxa"/>
            <w:vAlign w:val="bottom"/>
            <w:gridSpan w:val="2"/>
          </w:tcPr>
          <w:p>
            <w:pPr>
              <w:jc w:val="center"/>
              <w:ind w:right="340"/>
              <w:spacing w:after="0" w:line="149" w:lineRule="exact"/>
              <w:rPr>
                <w:sz w:val="20"/>
                <w:szCs w:val="20"/>
                <w:color w:val="auto"/>
              </w:rPr>
            </w:pPr>
            <w:r>
              <w:rPr>
                <w:rFonts w:ascii="Arial" w:cs="Arial" w:eastAsia="Arial" w:hAnsi="Arial"/>
                <w:sz w:val="14"/>
                <w:szCs w:val="14"/>
                <w:color w:val="auto"/>
                <w:w w:val="91"/>
              </w:rPr>
              <w:t>Fair</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580" w:type="dxa"/>
            <w:vAlign w:val="bottom"/>
          </w:tcPr>
          <w:p>
            <w:pPr>
              <w:ind w:left="1660"/>
              <w:spacing w:after="0"/>
              <w:rPr>
                <w:sz w:val="20"/>
                <w:szCs w:val="20"/>
                <w:color w:val="auto"/>
              </w:rPr>
            </w:pPr>
            <w:r>
              <w:rPr>
                <w:rFonts w:ascii="Arial" w:cs="Arial" w:eastAsia="Arial" w:hAnsi="Arial"/>
                <w:sz w:val="14"/>
                <w:szCs w:val="14"/>
                <w:color w:val="auto"/>
              </w:rPr>
              <w:t>As of January 31, 2002</w:t>
            </w:r>
          </w:p>
        </w:tc>
        <w:tc>
          <w:tcPr>
            <w:tcW w:w="2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60" w:type="dxa"/>
            <w:vAlign w:val="bottom"/>
            <w:gridSpan w:val="2"/>
          </w:tcPr>
          <w:p>
            <w:pPr>
              <w:jc w:val="center"/>
              <w:ind w:right="320"/>
              <w:spacing w:after="0"/>
              <w:rPr>
                <w:sz w:val="20"/>
                <w:szCs w:val="20"/>
                <w:color w:val="auto"/>
              </w:rPr>
            </w:pPr>
            <w:r>
              <w:rPr>
                <w:rFonts w:ascii="Arial" w:cs="Arial" w:eastAsia="Arial" w:hAnsi="Arial"/>
                <w:sz w:val="14"/>
                <w:szCs w:val="14"/>
                <w:color w:val="auto"/>
                <w:w w:val="90"/>
              </w:rPr>
              <w:t>Cost</w:t>
            </w: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80" w:type="dxa"/>
            <w:vAlign w:val="bottom"/>
            <w:gridSpan w:val="2"/>
          </w:tcPr>
          <w:p>
            <w:pPr>
              <w:jc w:val="center"/>
              <w:ind w:right="200"/>
              <w:spacing w:after="0"/>
              <w:rPr>
                <w:sz w:val="20"/>
                <w:szCs w:val="20"/>
                <w:color w:val="auto"/>
              </w:rPr>
            </w:pPr>
            <w:r>
              <w:rPr>
                <w:rFonts w:ascii="Arial" w:cs="Arial" w:eastAsia="Arial" w:hAnsi="Arial"/>
                <w:sz w:val="14"/>
                <w:szCs w:val="14"/>
                <w:color w:val="auto"/>
                <w:w w:val="87"/>
              </w:rPr>
              <w:t>Gains</w:t>
            </w: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gridSpan w:val="2"/>
          </w:tcPr>
          <w:p>
            <w:pPr>
              <w:jc w:val="center"/>
              <w:ind w:right="180"/>
              <w:spacing w:after="0"/>
              <w:rPr>
                <w:sz w:val="20"/>
                <w:szCs w:val="20"/>
                <w:color w:val="auto"/>
              </w:rPr>
            </w:pPr>
            <w:r>
              <w:rPr>
                <w:rFonts w:ascii="Arial" w:cs="Arial" w:eastAsia="Arial" w:hAnsi="Arial"/>
                <w:sz w:val="14"/>
                <w:szCs w:val="14"/>
                <w:color w:val="auto"/>
                <w:w w:val="81"/>
              </w:rPr>
              <w:t>Losses</w:t>
            </w: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80" w:type="dxa"/>
            <w:vAlign w:val="bottom"/>
            <w:gridSpan w:val="2"/>
          </w:tcPr>
          <w:p>
            <w:pPr>
              <w:jc w:val="center"/>
              <w:ind w:right="340"/>
              <w:spacing w:after="0"/>
              <w:rPr>
                <w:sz w:val="20"/>
                <w:szCs w:val="20"/>
                <w:color w:val="auto"/>
              </w:rPr>
            </w:pPr>
            <w:r>
              <w:rPr>
                <w:rFonts w:ascii="Arial" w:cs="Arial" w:eastAsia="Arial" w:hAnsi="Arial"/>
                <w:sz w:val="14"/>
                <w:szCs w:val="14"/>
                <w:color w:val="auto"/>
                <w:w w:val="83"/>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40" w:type="dxa"/>
            <w:vAlign w:val="bottom"/>
            <w:gridSpan w:val="2"/>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40" w:type="dxa"/>
            <w:vAlign w:val="bottom"/>
            <w:gridSpan w:val="2"/>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8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$100,232</w:t>
            </w:r>
          </w:p>
        </w:tc>
        <w:tc>
          <w:tcPr>
            <w:tcW w:w="300" w:type="dxa"/>
            <w:vAlign w:val="bottom"/>
            <w:tcBorders>
              <w:left w:val="single" w:sz="8" w:color="EEEEEE"/>
            </w:tcBorders>
            <w:shd w:val="clear" w:color="auto" w:fill="EEEEEE"/>
          </w:tcPr>
          <w:p>
            <w:pPr>
              <w:spacing w:after="0"/>
              <w:rPr>
                <w:sz w:val="18"/>
                <w:szCs w:val="18"/>
                <w:color w:val="auto"/>
              </w:rPr>
            </w:pPr>
          </w:p>
        </w:tc>
        <w:tc>
          <w:tcPr>
            <w:tcW w:w="4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461</w:t>
            </w:r>
          </w:p>
        </w:tc>
        <w:tc>
          <w:tcPr>
            <w:tcW w:w="300" w:type="dxa"/>
            <w:vAlign w:val="bottom"/>
            <w:tcBorders>
              <w:left w:val="single" w:sz="8" w:color="EEEEEE"/>
            </w:tcBorders>
            <w:shd w:val="clear" w:color="auto" w:fill="EEEEEE"/>
          </w:tcPr>
          <w:p>
            <w:pPr>
              <w:spacing w:after="0"/>
              <w:rPr>
                <w:sz w:val="18"/>
                <w:szCs w:val="18"/>
                <w:color w:val="auto"/>
              </w:rPr>
            </w:pPr>
          </w:p>
        </w:tc>
        <w:tc>
          <w:tcPr>
            <w:tcW w:w="1060" w:type="dxa"/>
            <w:vAlign w:val="bottom"/>
            <w:gridSpan w:val="6"/>
            <w:shd w:val="clear" w:color="auto" w:fill="EEEEEE"/>
          </w:tcPr>
          <w:p>
            <w:pPr>
              <w:jc w:val="right"/>
              <w:ind w:right="240"/>
              <w:spacing w:after="0"/>
              <w:rPr>
                <w:sz w:val="20"/>
                <w:szCs w:val="20"/>
                <w:color w:val="auto"/>
              </w:rPr>
            </w:pPr>
            <w:r>
              <w:rPr>
                <w:rFonts w:ascii="Arial" w:cs="Arial" w:eastAsia="Arial" w:hAnsi="Arial"/>
                <w:sz w:val="18"/>
                <w:szCs w:val="18"/>
                <w:color w:val="auto"/>
              </w:rPr>
              <w:t>$(738)</w:t>
            </w:r>
          </w:p>
        </w:tc>
        <w:tc>
          <w:tcPr>
            <w:tcW w:w="58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99,955</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tcPr>
          <w:p>
            <w:pPr>
              <w:spacing w:after="0"/>
              <w:rPr>
                <w:sz w:val="20"/>
                <w:szCs w:val="20"/>
                <w:color w:val="auto"/>
              </w:rPr>
            </w:pPr>
            <w:r>
              <w:rPr>
                <w:rFonts w:ascii="Arial" w:cs="Arial" w:eastAsia="Arial" w:hAnsi="Arial"/>
                <w:sz w:val="18"/>
                <w:szCs w:val="18"/>
                <w:color w:val="auto"/>
              </w:rPr>
              <w:t>State, county and municipal debt securities</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25,870</w:t>
            </w: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10</w:t>
            </w:r>
          </w:p>
        </w:tc>
        <w:tc>
          <w:tcPr>
            <w:tcW w:w="300" w:type="dxa"/>
            <w:vAlign w:val="bottom"/>
          </w:tcPr>
          <w:p>
            <w:pPr>
              <w:spacing w:after="0"/>
              <w:rPr>
                <w:sz w:val="18"/>
                <w:szCs w:val="18"/>
                <w:color w:val="auto"/>
              </w:rPr>
            </w:pPr>
          </w:p>
        </w:tc>
        <w:tc>
          <w:tcPr>
            <w:tcW w:w="1060" w:type="dxa"/>
            <w:vAlign w:val="bottom"/>
            <w:gridSpan w:val="6"/>
          </w:tcPr>
          <w:p>
            <w:pPr>
              <w:jc w:val="right"/>
              <w:ind w:right="240"/>
              <w:spacing w:after="0"/>
              <w:rPr>
                <w:sz w:val="20"/>
                <w:szCs w:val="20"/>
                <w:color w:val="auto"/>
              </w:rPr>
            </w:pPr>
            <w:r>
              <w:rPr>
                <w:rFonts w:ascii="Arial" w:cs="Arial" w:eastAsia="Arial" w:hAnsi="Arial"/>
                <w:sz w:val="18"/>
                <w:szCs w:val="18"/>
                <w:color w:val="auto"/>
              </w:rPr>
              <w:t>(97)</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25,783</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shd w:val="clear" w:color="auto" w:fill="EEEEEE"/>
          </w:tcPr>
          <w:p>
            <w:pPr>
              <w:spacing w:after="0"/>
              <w:rPr>
                <w:sz w:val="20"/>
                <w:szCs w:val="20"/>
                <w:color w:val="auto"/>
              </w:rPr>
            </w:pPr>
            <w:r>
              <w:rPr>
                <w:rFonts w:ascii="Arial" w:cs="Arial" w:eastAsia="Arial" w:hAnsi="Arial"/>
                <w:sz w:val="18"/>
                <w:szCs w:val="18"/>
                <w:color w:val="auto"/>
              </w:rPr>
              <w:t>Foreign government securities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13,163</w:t>
            </w:r>
          </w:p>
        </w:tc>
        <w:tc>
          <w:tcPr>
            <w:tcW w:w="300" w:type="dxa"/>
            <w:vAlign w:val="bottom"/>
            <w:tcBorders>
              <w:left w:val="single" w:sz="8" w:color="EEEEEE"/>
            </w:tcBorders>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6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1060" w:type="dxa"/>
            <w:vAlign w:val="bottom"/>
            <w:gridSpan w:val="6"/>
            <w:shd w:val="clear" w:color="auto" w:fill="EEEEEE"/>
          </w:tcPr>
          <w:p>
            <w:pPr>
              <w:jc w:val="right"/>
              <w:ind w:right="240"/>
              <w:spacing w:after="0"/>
              <w:rPr>
                <w:sz w:val="20"/>
                <w:szCs w:val="20"/>
                <w:color w:val="auto"/>
              </w:rPr>
            </w:pPr>
            <w:r>
              <w:rPr>
                <w:rFonts w:ascii="Arial" w:cs="Arial" w:eastAsia="Arial" w:hAnsi="Arial"/>
                <w:sz w:val="18"/>
                <w:szCs w:val="18"/>
                <w:color w:val="auto"/>
              </w:rPr>
              <w:t>(92)</w:t>
            </w:r>
          </w:p>
        </w:tc>
        <w:tc>
          <w:tcPr>
            <w:tcW w:w="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13,071</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580" w:type="dxa"/>
            <w:vAlign w:val="bottom"/>
          </w:tcPr>
          <w:p>
            <w:pPr>
              <w:spacing w:after="0"/>
              <w:rPr>
                <w:sz w:val="20"/>
                <w:szCs w:val="20"/>
                <w:color w:val="auto"/>
              </w:rPr>
            </w:pPr>
            <w:r>
              <w:rPr>
                <w:rFonts w:ascii="Arial" w:cs="Arial" w:eastAsia="Arial" w:hAnsi="Arial"/>
                <w:sz w:val="18"/>
                <w:szCs w:val="18"/>
                <w:color w:val="auto"/>
              </w:rPr>
              <w:t>Equity securities</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2,400</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w w:val="84"/>
              </w:rPr>
              <w:t>2,157</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4,557</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gridSpan w:val="2"/>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shd w:val="clear" w:color="auto" w:fill="EEEEEE"/>
          </w:tcPr>
          <w:p>
            <w:pPr>
              <w:spacing w:after="0"/>
              <w:rPr>
                <w:sz w:val="18"/>
                <w:szCs w:val="18"/>
                <w:color w:val="auto"/>
              </w:rPr>
            </w:pP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141,665</w:t>
            </w:r>
          </w:p>
        </w:tc>
        <w:tc>
          <w:tcPr>
            <w:tcW w:w="300" w:type="dxa"/>
            <w:vAlign w:val="bottom"/>
            <w:tcBorders>
              <w:left w:val="single" w:sz="8" w:color="EEEEEE"/>
            </w:tcBorders>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2,628</w:t>
            </w:r>
          </w:p>
        </w:tc>
        <w:tc>
          <w:tcPr>
            <w:tcW w:w="300" w:type="dxa"/>
            <w:vAlign w:val="bottom"/>
            <w:tcBorders>
              <w:left w:val="single" w:sz="8" w:color="EEEEEE"/>
            </w:tcBorders>
            <w:shd w:val="clear" w:color="auto" w:fill="EEEEEE"/>
          </w:tcPr>
          <w:p>
            <w:pPr>
              <w:spacing w:after="0"/>
              <w:rPr>
                <w:sz w:val="18"/>
                <w:szCs w:val="18"/>
                <w:color w:val="auto"/>
              </w:rPr>
            </w:pPr>
          </w:p>
        </w:tc>
        <w:tc>
          <w:tcPr>
            <w:tcW w:w="1060" w:type="dxa"/>
            <w:vAlign w:val="bottom"/>
            <w:gridSpan w:val="6"/>
            <w:shd w:val="clear" w:color="auto" w:fill="EEEEEE"/>
          </w:tcPr>
          <w:p>
            <w:pPr>
              <w:jc w:val="right"/>
              <w:ind w:right="240"/>
              <w:spacing w:after="0"/>
              <w:rPr>
                <w:sz w:val="20"/>
                <w:szCs w:val="20"/>
                <w:color w:val="auto"/>
              </w:rPr>
            </w:pPr>
            <w:r>
              <w:rPr>
                <w:rFonts w:ascii="Arial" w:cs="Arial" w:eastAsia="Arial" w:hAnsi="Arial"/>
                <w:sz w:val="18"/>
                <w:szCs w:val="18"/>
                <w:color w:val="auto"/>
              </w:rPr>
              <w:t>(927)</w:t>
            </w:r>
          </w:p>
        </w:tc>
        <w:tc>
          <w:tcPr>
            <w:tcW w:w="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143,366</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58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440" w:type="dxa"/>
            <w:vAlign w:val="bottom"/>
            <w:gridSpan w:val="4"/>
          </w:tcPr>
          <w:p>
            <w:pPr>
              <w:jc w:val="right"/>
              <w:ind w:right="240"/>
              <w:spacing w:after="0"/>
              <w:rPr>
                <w:sz w:val="20"/>
                <w:szCs w:val="20"/>
                <w:color w:val="auto"/>
              </w:rPr>
            </w:pPr>
            <w:r>
              <w:rPr>
                <w:rFonts w:ascii="Arial" w:cs="Arial" w:eastAsia="Arial" w:hAnsi="Arial"/>
                <w:sz w:val="18"/>
                <w:szCs w:val="18"/>
                <w:color w:val="auto"/>
              </w:rPr>
              <w:t>(7,605)</w:t>
            </w: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(7,605)</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gridSpan w:val="2"/>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gridSpan w:val="2"/>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8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$134,060</w:t>
            </w:r>
          </w:p>
        </w:tc>
        <w:tc>
          <w:tcPr>
            <w:tcW w:w="300" w:type="dxa"/>
            <w:vAlign w:val="bottom"/>
            <w:tcBorders>
              <w:left w:val="single" w:sz="8" w:color="EEEEEE"/>
            </w:tcBorders>
            <w:shd w:val="clear" w:color="auto" w:fill="EEEEEE"/>
          </w:tcPr>
          <w:p>
            <w:pPr>
              <w:spacing w:after="0"/>
              <w:rPr>
                <w:sz w:val="18"/>
                <w:szCs w:val="18"/>
                <w:color w:val="auto"/>
              </w:rPr>
            </w:pPr>
          </w:p>
        </w:tc>
        <w:tc>
          <w:tcPr>
            <w:tcW w:w="8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$2,628</w:t>
            </w:r>
          </w:p>
        </w:tc>
        <w:tc>
          <w:tcPr>
            <w:tcW w:w="300" w:type="dxa"/>
            <w:vAlign w:val="bottom"/>
            <w:tcBorders>
              <w:left w:val="single" w:sz="8" w:color="EEEEEE"/>
            </w:tcBorders>
            <w:shd w:val="clear" w:color="auto" w:fill="EEEEEE"/>
          </w:tcPr>
          <w:p>
            <w:pPr>
              <w:spacing w:after="0"/>
              <w:rPr>
                <w:sz w:val="18"/>
                <w:szCs w:val="18"/>
                <w:color w:val="auto"/>
              </w:rPr>
            </w:pPr>
          </w:p>
        </w:tc>
        <w:tc>
          <w:tcPr>
            <w:tcW w:w="1060" w:type="dxa"/>
            <w:vAlign w:val="bottom"/>
            <w:gridSpan w:val="6"/>
            <w:shd w:val="clear" w:color="auto" w:fill="EEEEEE"/>
          </w:tcPr>
          <w:p>
            <w:pPr>
              <w:jc w:val="right"/>
              <w:ind w:right="240"/>
              <w:spacing w:after="0"/>
              <w:rPr>
                <w:sz w:val="20"/>
                <w:szCs w:val="20"/>
                <w:color w:val="auto"/>
              </w:rPr>
            </w:pPr>
            <w:r>
              <w:rPr>
                <w:rFonts w:ascii="Arial" w:cs="Arial" w:eastAsia="Arial" w:hAnsi="Arial"/>
                <w:sz w:val="18"/>
                <w:szCs w:val="18"/>
                <w:color w:val="auto"/>
              </w:rPr>
              <w:t>$(927)</w:t>
            </w:r>
          </w:p>
        </w:tc>
        <w:tc>
          <w:tcPr>
            <w:tcW w:w="58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135,761</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5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00" w:type="dxa"/>
            <w:vAlign w:val="bottom"/>
            <w:tcBorders>
              <w:left w:val="single" w:sz="8" w:color="808080"/>
            </w:tcBorders>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Pr>
          <w:p>
            <w:pPr>
              <w:spacing w:after="0"/>
              <w:rPr>
                <w:sz w:val="5"/>
                <w:szCs w:val="5"/>
                <w:color w:val="auto"/>
              </w:rPr>
            </w:pPr>
          </w:p>
        </w:tc>
        <w:tc>
          <w:tcPr>
            <w:tcW w:w="200" w:type="dxa"/>
            <w:vAlign w:val="bottom"/>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300" w:type="dxa"/>
            <w:vAlign w:val="bottom"/>
            <w:tcBorders>
              <w:left w:val="single" w:sz="8" w:color="808080"/>
            </w:tcBorders>
          </w:tcPr>
          <w:p>
            <w:pPr>
              <w:spacing w:after="0"/>
              <w:rPr>
                <w:sz w:val="5"/>
                <w:szCs w:val="5"/>
                <w:color w:val="auto"/>
              </w:rPr>
            </w:pPr>
          </w:p>
        </w:tc>
        <w:tc>
          <w:tcPr>
            <w:tcW w:w="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300" w:type="dxa"/>
            <w:vAlign w:val="bottom"/>
            <w:tcBorders>
              <w:left w:val="single" w:sz="8" w:color="808080"/>
            </w:tcBorders>
          </w:tcPr>
          <w:p>
            <w:pPr>
              <w:spacing w:after="0"/>
              <w:rPr>
                <w:sz w:val="5"/>
                <w:szCs w:val="5"/>
                <w:color w:val="auto"/>
              </w:rPr>
            </w:pPr>
          </w:p>
        </w:tc>
        <w:tc>
          <w:tcPr>
            <w:tcW w:w="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2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w:t>
      </w:r>
    </w:p>
    <w:p>
      <w:pPr>
        <w:spacing w:after="0" w:line="231"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200" w:lineRule="exact"/>
        <w:rPr>
          <w:sz w:val="20"/>
          <w:szCs w:val="20"/>
          <w:color w:val="auto"/>
        </w:rPr>
      </w:pP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58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440" w:type="dxa"/>
            <w:vAlign w:val="bottom"/>
            <w:gridSpan w:val="3"/>
          </w:tcPr>
          <w:p>
            <w:pPr>
              <w:ind w:left="480"/>
              <w:spacing w:after="0"/>
              <w:rPr>
                <w:sz w:val="20"/>
                <w:szCs w:val="20"/>
                <w:color w:val="auto"/>
              </w:rPr>
            </w:pPr>
            <w:r>
              <w:rPr>
                <w:rFonts w:ascii="Arial" w:cs="Arial" w:eastAsia="Arial" w:hAnsi="Arial"/>
                <w:sz w:val="14"/>
                <w:szCs w:val="14"/>
                <w:color w:val="auto"/>
              </w:rPr>
              <w:t>April 30,</w:t>
            </w:r>
          </w:p>
        </w:tc>
        <w:tc>
          <w:tcPr>
            <w:tcW w:w="280" w:type="dxa"/>
            <w:vAlign w:val="bottom"/>
          </w:tcPr>
          <w:p>
            <w:pPr>
              <w:spacing w:after="0"/>
              <w:rPr>
                <w:sz w:val="14"/>
                <w:szCs w:val="14"/>
                <w:color w:val="auto"/>
              </w:rPr>
            </w:pPr>
          </w:p>
        </w:tc>
        <w:tc>
          <w:tcPr>
            <w:tcW w:w="1460" w:type="dxa"/>
            <w:vAlign w:val="bottom"/>
            <w:gridSpan w:val="3"/>
          </w:tcPr>
          <w:p>
            <w:pPr>
              <w:ind w:left="400"/>
              <w:spacing w:after="0"/>
              <w:rPr>
                <w:sz w:val="20"/>
                <w:szCs w:val="20"/>
                <w:color w:val="auto"/>
              </w:rPr>
            </w:pPr>
            <w:r>
              <w:rPr>
                <w:rFonts w:ascii="Arial" w:cs="Arial" w:eastAsia="Arial" w:hAnsi="Arial"/>
                <w:sz w:val="14"/>
                <w:szCs w:val="14"/>
                <w:color w:val="auto"/>
              </w:rPr>
              <w:t>January 31,</w:t>
            </w:r>
          </w:p>
        </w:tc>
        <w:tc>
          <w:tcPr>
            <w:tcW w:w="2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58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1960" w:type="dxa"/>
            <w:vAlign w:val="bottom"/>
            <w:gridSpan w:val="3"/>
          </w:tcPr>
          <w:p>
            <w:pPr>
              <w:jc w:val="right"/>
              <w:ind w:right="120"/>
              <w:spacing w:after="0"/>
              <w:rPr>
                <w:sz w:val="20"/>
                <w:szCs w:val="20"/>
                <w:color w:val="auto"/>
              </w:rPr>
            </w:pPr>
            <w:r>
              <w:rPr>
                <w:rFonts w:ascii="Arial" w:cs="Arial" w:eastAsia="Arial" w:hAnsi="Arial"/>
                <w:sz w:val="14"/>
                <w:szCs w:val="14"/>
                <w:color w:val="auto"/>
              </w:rPr>
              <w:t>2002</w:t>
            </w:r>
          </w:p>
        </w:tc>
        <w:tc>
          <w:tcPr>
            <w:tcW w:w="460" w:type="dxa"/>
            <w:vAlign w:val="bottom"/>
          </w:tcPr>
          <w:p>
            <w:pPr>
              <w:spacing w:after="0"/>
              <w:rPr>
                <w:sz w:val="14"/>
                <w:szCs w:val="14"/>
                <w:color w:val="auto"/>
              </w:rPr>
            </w:pPr>
          </w:p>
        </w:tc>
        <w:tc>
          <w:tcPr>
            <w:tcW w:w="1260" w:type="dxa"/>
            <w:vAlign w:val="bottom"/>
            <w:gridSpan w:val="3"/>
          </w:tcPr>
          <w:p>
            <w:pPr>
              <w:jc w:val="right"/>
              <w:ind w:right="120"/>
              <w:spacing w:after="0"/>
              <w:rPr>
                <w:sz w:val="20"/>
                <w:szCs w:val="20"/>
                <w:color w:val="auto"/>
              </w:rPr>
            </w:pPr>
            <w:r>
              <w:rPr>
                <w:rFonts w:ascii="Arial" w:cs="Arial" w:eastAsia="Arial" w:hAnsi="Arial"/>
                <w:sz w:val="14"/>
                <w:szCs w:val="14"/>
                <w:color w:val="auto"/>
              </w:rPr>
              <w:t>2002</w:t>
            </w:r>
          </w:p>
        </w:tc>
        <w:tc>
          <w:tcPr>
            <w:tcW w:w="4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580" w:type="dxa"/>
            <w:vAlign w:val="bottom"/>
          </w:tcPr>
          <w:p>
            <w:pPr>
              <w:spacing w:after="0"/>
              <w:rPr>
                <w:sz w:val="8"/>
                <w:szCs w:val="8"/>
                <w:color w:val="auto"/>
              </w:rPr>
            </w:pPr>
          </w:p>
        </w:tc>
        <w:tc>
          <w:tcPr>
            <w:tcW w:w="2120" w:type="dxa"/>
            <w:vAlign w:val="bottom"/>
          </w:tcPr>
          <w:p>
            <w:pPr>
              <w:spacing w:after="0"/>
              <w:rPr>
                <w:sz w:val="8"/>
                <w:szCs w:val="8"/>
                <w:color w:val="auto"/>
              </w:rPr>
            </w:pPr>
          </w:p>
        </w:tc>
        <w:tc>
          <w:tcPr>
            <w:tcW w:w="9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580" w:type="dxa"/>
            <w:vAlign w:val="bottom"/>
            <w:vMerge w:val="restart"/>
          </w:tcPr>
          <w:p>
            <w:pPr>
              <w:spacing w:after="0"/>
              <w:rPr>
                <w:sz w:val="8"/>
                <w:szCs w:val="8"/>
                <w:color w:val="auto"/>
              </w:rPr>
            </w:pPr>
          </w:p>
        </w:tc>
        <w:tc>
          <w:tcPr>
            <w:tcW w:w="2120" w:type="dxa"/>
            <w:vAlign w:val="bottom"/>
          </w:tcPr>
          <w:p>
            <w:pPr>
              <w:spacing w:after="0"/>
              <w:rPr>
                <w:sz w:val="8"/>
                <w:szCs w:val="8"/>
                <w:color w:val="auto"/>
              </w:rPr>
            </w:pPr>
          </w:p>
        </w:tc>
        <w:tc>
          <w:tcPr>
            <w:tcW w:w="9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vMerge w:val="continue"/>
          </w:tcPr>
          <w:p>
            <w:pPr>
              <w:spacing w:after="0"/>
              <w:rPr>
                <w:sz w:val="18"/>
                <w:szCs w:val="18"/>
                <w:color w:val="auto"/>
              </w:rPr>
            </w:pPr>
          </w:p>
        </w:tc>
        <w:tc>
          <w:tcPr>
            <w:tcW w:w="2120" w:type="dxa"/>
            <w:vAlign w:val="bottom"/>
            <w:shd w:val="clear" w:color="auto" w:fill="EEEEEE"/>
          </w:tcPr>
          <w:p>
            <w:pPr>
              <w:spacing w:after="0"/>
              <w:rPr>
                <w:sz w:val="20"/>
                <w:szCs w:val="20"/>
                <w:color w:val="auto"/>
              </w:rPr>
            </w:pPr>
            <w:r>
              <w:rPr>
                <w:rFonts w:ascii="Arial" w:cs="Arial" w:eastAsia="Arial" w:hAnsi="Arial"/>
                <w:sz w:val="18"/>
                <w:szCs w:val="18"/>
                <w:color w:val="auto"/>
              </w:rPr>
              <w:t>Work-in-process</w:t>
            </w:r>
          </w:p>
        </w:tc>
        <w:tc>
          <w:tcPr>
            <w:tcW w:w="196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$18,017</w:t>
            </w:r>
          </w:p>
        </w:tc>
        <w:tc>
          <w:tcPr>
            <w:tcW w:w="460" w:type="dxa"/>
            <w:vAlign w:val="bottom"/>
            <w:shd w:val="clear" w:color="auto" w:fill="EEEEEE"/>
          </w:tcPr>
          <w:p>
            <w:pPr>
              <w:spacing w:after="0"/>
              <w:rPr>
                <w:sz w:val="18"/>
                <w:szCs w:val="18"/>
                <w:color w:val="auto"/>
              </w:rPr>
            </w:pPr>
          </w:p>
        </w:tc>
        <w:tc>
          <w:tcPr>
            <w:tcW w:w="12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$16,727</w:t>
            </w:r>
          </w:p>
        </w:tc>
        <w:tc>
          <w:tcPr>
            <w:tcW w:w="480" w:type="dxa"/>
            <w:vAlign w:val="bottom"/>
            <w:shd w:val="clear" w:color="auto" w:fill="EEEEEE"/>
          </w:tcPr>
          <w:p>
            <w:pPr>
              <w:spacing w:after="0"/>
              <w:rPr>
                <w:sz w:val="18"/>
                <w:szCs w:val="18"/>
                <w:color w:val="auto"/>
              </w:rPr>
            </w:pP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580" w:type="dxa"/>
            <w:vAlign w:val="bottom"/>
          </w:tcPr>
          <w:p>
            <w:pPr>
              <w:spacing w:after="0"/>
              <w:rPr>
                <w:sz w:val="19"/>
                <w:szCs w:val="19"/>
                <w:color w:val="auto"/>
              </w:rPr>
            </w:pPr>
          </w:p>
        </w:tc>
        <w:tc>
          <w:tcPr>
            <w:tcW w:w="2120" w:type="dxa"/>
            <w:vAlign w:val="bottom"/>
          </w:tcPr>
          <w:p>
            <w:pPr>
              <w:spacing w:after="0"/>
              <w:rPr>
                <w:sz w:val="20"/>
                <w:szCs w:val="20"/>
                <w:color w:val="auto"/>
              </w:rPr>
            </w:pPr>
            <w:r>
              <w:rPr>
                <w:rFonts w:ascii="Arial" w:cs="Arial" w:eastAsia="Arial" w:hAnsi="Arial"/>
                <w:sz w:val="18"/>
                <w:szCs w:val="18"/>
                <w:color w:val="auto"/>
              </w:rPr>
              <w:t>Finished goods</w:t>
            </w:r>
          </w:p>
        </w:tc>
        <w:tc>
          <w:tcPr>
            <w:tcW w:w="1960" w:type="dxa"/>
            <w:vAlign w:val="bottom"/>
            <w:gridSpan w:val="3"/>
          </w:tcPr>
          <w:p>
            <w:pPr>
              <w:jc w:val="right"/>
              <w:ind w:right="20"/>
              <w:spacing w:after="0"/>
              <w:rPr>
                <w:sz w:val="20"/>
                <w:szCs w:val="20"/>
                <w:color w:val="auto"/>
              </w:rPr>
            </w:pPr>
            <w:r>
              <w:rPr>
                <w:rFonts w:ascii="Arial" w:cs="Arial" w:eastAsia="Arial" w:hAnsi="Arial"/>
                <w:sz w:val="18"/>
                <w:szCs w:val="18"/>
                <w:color w:val="auto"/>
              </w:rPr>
              <w:t>4,100</w:t>
            </w:r>
          </w:p>
        </w:tc>
        <w:tc>
          <w:tcPr>
            <w:tcW w:w="460" w:type="dxa"/>
            <w:vAlign w:val="bottom"/>
          </w:tcPr>
          <w:p>
            <w:pPr>
              <w:spacing w:after="0"/>
              <w:rPr>
                <w:sz w:val="19"/>
                <w:szCs w:val="19"/>
                <w:color w:val="auto"/>
              </w:rPr>
            </w:pPr>
          </w:p>
        </w:tc>
        <w:tc>
          <w:tcPr>
            <w:tcW w:w="1260" w:type="dxa"/>
            <w:vAlign w:val="bottom"/>
            <w:gridSpan w:val="3"/>
          </w:tcPr>
          <w:p>
            <w:pPr>
              <w:jc w:val="right"/>
              <w:ind w:right="20"/>
              <w:spacing w:after="0"/>
              <w:rPr>
                <w:sz w:val="20"/>
                <w:szCs w:val="20"/>
                <w:color w:val="auto"/>
              </w:rPr>
            </w:pPr>
            <w:r>
              <w:rPr>
                <w:rFonts w:ascii="Arial" w:cs="Arial" w:eastAsia="Arial" w:hAnsi="Arial"/>
                <w:sz w:val="18"/>
                <w:szCs w:val="18"/>
                <w:color w:val="auto"/>
              </w:rPr>
              <w:t>6,873</w:t>
            </w:r>
          </w:p>
        </w:tc>
        <w:tc>
          <w:tcPr>
            <w:tcW w:w="480" w:type="dxa"/>
            <w:vAlign w:val="bottom"/>
          </w:tcPr>
          <w:p>
            <w:pPr>
              <w:spacing w:after="0"/>
              <w:rPr>
                <w:sz w:val="19"/>
                <w:szCs w:val="19"/>
                <w:color w:val="auto"/>
              </w:rPr>
            </w:pPr>
          </w:p>
        </w:tc>
        <w:tc>
          <w:tcPr>
            <w:tcW w:w="2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2120" w:type="dxa"/>
            <w:vAlign w:val="bottom"/>
          </w:tcPr>
          <w:p>
            <w:pPr>
              <w:spacing w:after="0"/>
              <w:rPr>
                <w:sz w:val="8"/>
                <w:szCs w:val="8"/>
                <w:color w:val="auto"/>
              </w:rPr>
            </w:pPr>
          </w:p>
        </w:tc>
        <w:tc>
          <w:tcPr>
            <w:tcW w:w="9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2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2120" w:type="dxa"/>
            <w:vAlign w:val="bottom"/>
          </w:tcPr>
          <w:p>
            <w:pPr>
              <w:spacing w:after="0"/>
              <w:rPr>
                <w:sz w:val="8"/>
                <w:szCs w:val="8"/>
                <w:color w:val="auto"/>
              </w:rPr>
            </w:pPr>
          </w:p>
        </w:tc>
        <w:tc>
          <w:tcPr>
            <w:tcW w:w="9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2120" w:type="dxa"/>
            <w:vAlign w:val="bottom"/>
            <w:shd w:val="clear" w:color="auto" w:fill="EEEEEE"/>
          </w:tcPr>
          <w:p>
            <w:pPr>
              <w:spacing w:after="0"/>
              <w:rPr>
                <w:sz w:val="18"/>
                <w:szCs w:val="18"/>
                <w:color w:val="auto"/>
              </w:rPr>
            </w:pPr>
          </w:p>
        </w:tc>
        <w:tc>
          <w:tcPr>
            <w:tcW w:w="196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$22,117</w:t>
            </w:r>
          </w:p>
        </w:tc>
        <w:tc>
          <w:tcPr>
            <w:tcW w:w="460" w:type="dxa"/>
            <w:vAlign w:val="bottom"/>
            <w:shd w:val="clear" w:color="auto" w:fill="EEEEEE"/>
          </w:tcPr>
          <w:p>
            <w:pPr>
              <w:spacing w:after="0"/>
              <w:rPr>
                <w:sz w:val="18"/>
                <w:szCs w:val="18"/>
                <w:color w:val="auto"/>
              </w:rPr>
            </w:pPr>
          </w:p>
        </w:tc>
        <w:tc>
          <w:tcPr>
            <w:tcW w:w="12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$23,600</w:t>
            </w:r>
          </w:p>
        </w:tc>
        <w:tc>
          <w:tcPr>
            <w:tcW w:w="480" w:type="dxa"/>
            <w:vAlign w:val="bottom"/>
            <w:shd w:val="clear" w:color="auto" w:fill="EEEEEE"/>
          </w:tcPr>
          <w:p>
            <w:pPr>
              <w:spacing w:after="0"/>
              <w:rPr>
                <w:sz w:val="18"/>
                <w:szCs w:val="18"/>
                <w:color w:val="auto"/>
              </w:rPr>
            </w:pP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58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460" w:type="dxa"/>
            <w:vAlign w:val="bottom"/>
            <w:gridSpan w:val="2"/>
            <w:vMerge w:val="restart"/>
          </w:tcPr>
          <w:p>
            <w:pPr>
              <w:jc w:val="right"/>
              <w:ind w:right="332"/>
              <w:spacing w:after="0"/>
              <w:rPr>
                <w:sz w:val="20"/>
                <w:szCs w:val="20"/>
                <w:color w:val="auto"/>
              </w:rPr>
            </w:pPr>
            <w:r>
              <w:rPr>
                <w:rFonts w:ascii="Arial" w:cs="Arial" w:eastAsia="Arial" w:hAnsi="Arial"/>
                <w:sz w:val="18"/>
                <w:szCs w:val="18"/>
                <w:color w:val="auto"/>
              </w:rPr>
              <w:t>7</w:t>
            </w:r>
          </w:p>
        </w:tc>
        <w:tc>
          <w:tcPr>
            <w:tcW w:w="50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00" w:type="dxa"/>
            <w:vAlign w:val="bottom"/>
          </w:tcPr>
          <w:p>
            <w:pPr>
              <w:spacing w:after="0"/>
              <w:rPr>
                <w:sz w:val="9"/>
                <w:szCs w:val="9"/>
                <w:color w:val="auto"/>
              </w:rPr>
            </w:pPr>
          </w:p>
        </w:tc>
        <w:tc>
          <w:tcPr>
            <w:tcW w:w="480" w:type="dxa"/>
            <w:vAlign w:val="bottom"/>
          </w:tcPr>
          <w:p>
            <w:pPr>
              <w:spacing w:after="0"/>
              <w:rPr>
                <w:sz w:val="9"/>
                <w:szCs w:val="9"/>
                <w:color w:val="auto"/>
              </w:rPr>
            </w:pPr>
          </w:p>
        </w:tc>
        <w:tc>
          <w:tcPr>
            <w:tcW w:w="2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580" w:type="dxa"/>
            <w:vAlign w:val="bottom"/>
          </w:tcPr>
          <w:p>
            <w:pPr>
              <w:spacing w:after="0"/>
              <w:rPr>
                <w:sz w:val="5"/>
                <w:szCs w:val="5"/>
                <w:color w:val="auto"/>
              </w:rPr>
            </w:pPr>
          </w:p>
        </w:tc>
        <w:tc>
          <w:tcPr>
            <w:tcW w:w="2120" w:type="dxa"/>
            <w:vAlign w:val="bottom"/>
          </w:tcPr>
          <w:p>
            <w:pPr>
              <w:spacing w:after="0"/>
              <w:rPr>
                <w:sz w:val="5"/>
                <w:szCs w:val="5"/>
                <w:color w:val="auto"/>
              </w:rPr>
            </w:pPr>
          </w:p>
        </w:tc>
        <w:tc>
          <w:tcPr>
            <w:tcW w:w="1460" w:type="dxa"/>
            <w:vAlign w:val="bottom"/>
            <w:gridSpan w:val="2"/>
            <w:vMerge w:val="continue"/>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25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258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1460" w:type="dxa"/>
            <w:vAlign w:val="bottom"/>
            <w:gridSpan w:val="2"/>
            <w:vMerge w:val="continue"/>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580" w:type="dxa"/>
            <w:vAlign w:val="bottom"/>
            <w:tcBorders>
              <w:bottom w:val="single" w:sz="8" w:color="808080"/>
            </w:tcBorders>
          </w:tcPr>
          <w:p>
            <w:pPr>
              <w:spacing w:after="0"/>
              <w:rPr>
                <w:sz w:val="19"/>
                <w:szCs w:val="19"/>
                <w:color w:val="auto"/>
              </w:rPr>
            </w:pPr>
          </w:p>
        </w:tc>
        <w:tc>
          <w:tcPr>
            <w:tcW w:w="212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46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25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purchased intangible assets</w:t>
      </w:r>
    </w:p>
    <w:p>
      <w:pPr>
        <w:spacing w:after="0" w:line="231" w:lineRule="exact"/>
        <w:rPr>
          <w:sz w:val="20"/>
          <w:szCs w:val="20"/>
          <w:color w:val="auto"/>
        </w:rPr>
      </w:pPr>
    </w:p>
    <w:p>
      <w:pPr>
        <w:ind w:right="100" w:firstLine="220"/>
        <w:spacing w:after="0" w:line="255" w:lineRule="auto"/>
        <w:rPr>
          <w:sz w:val="20"/>
          <w:szCs w:val="20"/>
          <w:color w:val="auto"/>
        </w:rPr>
      </w:pPr>
      <w:r>
        <w:rPr>
          <w:rFonts w:ascii="Arial" w:cs="Arial" w:eastAsia="Arial" w:hAnsi="Arial"/>
          <w:sz w:val="18"/>
          <w:szCs w:val="18"/>
          <w:color w:val="auto"/>
        </w:rPr>
        <w:t>In July 2001, the Financial Accounting Standards Board (“FASB”) issued Statement of Financial Accounting Standards No. 142 (“SFAS 142”), Goodwill and Other Intangible Assets, which is effective for fiscal years beginning after December 15, 2001. SFAS requires, among other things, the discontinuance of goodwill amortization, the reclassification of certain existing recognized intangibles into goodwill, reassessment of the useful lives of existing recognized intangibles, reclassification of certain intangibles out of previously reported goodwill and the testing for impairment of existing goodwill and other intangibles. The Company adopted SFAS 142 in February 2002.</w:t>
      </w:r>
    </w:p>
    <w:p>
      <w:pPr>
        <w:spacing w:after="0" w:line="197" w:lineRule="exact"/>
        <w:rPr>
          <w:sz w:val="20"/>
          <w:szCs w:val="20"/>
          <w:color w:val="auto"/>
        </w:rPr>
      </w:pPr>
    </w:p>
    <w:p>
      <w:pPr>
        <w:ind w:firstLine="210"/>
        <w:spacing w:after="0" w:line="288" w:lineRule="auto"/>
        <w:rPr>
          <w:sz w:val="20"/>
          <w:szCs w:val="20"/>
          <w:color w:val="auto"/>
        </w:rPr>
      </w:pPr>
      <w:r>
        <w:rPr>
          <w:rFonts w:ascii="Arial" w:cs="Arial" w:eastAsia="Arial" w:hAnsi="Arial"/>
          <w:sz w:val="16"/>
          <w:szCs w:val="16"/>
          <w:color w:val="auto"/>
        </w:rPr>
        <w:t>As required by SFAS 142, the Company ceased amortizing goodwill of $1.3 billion beginning February 1, 2002 and has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Also as part of the adoption of SFAS 142, the Company reassessed the useful lives of its two remaining acquisition-related intangible assets, developed technology and trade name, and determined that the useful life of the Galileo trade name should be five years from the date of acquisition instead of its previously estimated useful life of ten years. This change in useful life, which was based on the Company’s expected future use of the Galileo trade name in its selling and marketing activities as well as its expected contribution to future cash flows, will increase the Company’s trade name amortization expense to $7.5 million per year in fiscal 2003 compared to the $3.3 million it recorded in fiscal 2002. The Company has begun performing the first step of the two-step goodwill impairment test prescribed by SFAS 142. The Company has not yet completed this analysis and expects to complete it within the required time frame of the first six months of fiscal 2003.</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5"/>
          <w:szCs w:val="15"/>
          <w:color w:val="auto"/>
        </w:rPr>
        <w:t>The following table presents the impact of SFAS 142 on net loss and net loss per share had SFAS 142 been in effect for the three months ended April 30, 2001:</w:t>
      </w:r>
    </w:p>
    <w:p>
      <w:pPr>
        <w:spacing w:after="0" w:line="200" w:lineRule="exact"/>
        <w:rPr>
          <w:sz w:val="20"/>
          <w:szCs w:val="20"/>
          <w:color w:val="auto"/>
        </w:rPr>
      </w:pPr>
    </w:p>
    <w:p>
      <w:pPr>
        <w:spacing w:after="0" w:line="300"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144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860" w:type="dxa"/>
            <w:vAlign w:val="bottom"/>
            <w:gridSpan w:val="6"/>
          </w:tcPr>
          <w:p>
            <w:pPr>
              <w:jc w:val="right"/>
              <w:ind w:right="780"/>
              <w:spacing w:after="0"/>
              <w:rPr>
                <w:sz w:val="20"/>
                <w:szCs w:val="20"/>
                <w:color w:val="auto"/>
              </w:rPr>
            </w:pPr>
            <w:r>
              <w:rPr>
                <w:rFonts w:ascii="Arial" w:cs="Arial" w:eastAsia="Arial" w:hAnsi="Arial"/>
                <w:sz w:val="14"/>
                <w:szCs w:val="14"/>
                <w:color w:val="auto"/>
              </w:rPr>
              <w:t>Three months ended April 30,</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1440" w:type="dxa"/>
            <w:vAlign w:val="bottom"/>
          </w:tcPr>
          <w:p>
            <w:pPr>
              <w:spacing w:after="0"/>
              <w:rPr>
                <w:sz w:val="8"/>
                <w:szCs w:val="8"/>
                <w:color w:val="auto"/>
              </w:rPr>
            </w:pPr>
          </w:p>
        </w:tc>
        <w:tc>
          <w:tcPr>
            <w:tcW w:w="53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1440" w:type="dxa"/>
            <w:vAlign w:val="bottom"/>
          </w:tcPr>
          <w:p>
            <w:pPr>
              <w:spacing w:after="0"/>
              <w:rPr>
                <w:sz w:val="22"/>
                <w:szCs w:val="22"/>
                <w:color w:val="auto"/>
              </w:rPr>
            </w:pPr>
          </w:p>
        </w:tc>
        <w:tc>
          <w:tcPr>
            <w:tcW w:w="53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60" w:type="dxa"/>
            <w:vAlign w:val="bottom"/>
          </w:tcPr>
          <w:p>
            <w:pPr>
              <w:jc w:val="right"/>
              <w:ind w:right="35"/>
              <w:spacing w:after="0"/>
              <w:rPr>
                <w:sz w:val="20"/>
                <w:szCs w:val="20"/>
                <w:color w:val="auto"/>
              </w:rPr>
            </w:pPr>
            <w:r>
              <w:rPr>
                <w:rFonts w:ascii="Arial" w:cs="Arial" w:eastAsia="Arial" w:hAnsi="Arial"/>
                <w:sz w:val="14"/>
                <w:szCs w:val="14"/>
                <w:color w:val="auto"/>
              </w:rPr>
              <w:t>2002</w:t>
            </w:r>
          </w:p>
        </w:tc>
        <w:tc>
          <w:tcPr>
            <w:tcW w:w="3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640" w:type="dxa"/>
            <w:vAlign w:val="bottom"/>
          </w:tcPr>
          <w:p>
            <w:pPr>
              <w:jc w:val="right"/>
              <w:ind w:right="74"/>
              <w:spacing w:after="0"/>
              <w:rPr>
                <w:sz w:val="20"/>
                <w:szCs w:val="20"/>
                <w:color w:val="auto"/>
              </w:rPr>
            </w:pPr>
            <w:r>
              <w:rPr>
                <w:rFonts w:ascii="Arial" w:cs="Arial" w:eastAsia="Arial" w:hAnsi="Arial"/>
                <w:sz w:val="14"/>
                <w:szCs w:val="14"/>
                <w:color w:val="auto"/>
              </w:rPr>
              <w:t>2001</w:t>
            </w:r>
          </w:p>
        </w:tc>
        <w:tc>
          <w:tcPr>
            <w:tcW w:w="46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1440" w:type="dxa"/>
            <w:vAlign w:val="bottom"/>
          </w:tcPr>
          <w:p>
            <w:pPr>
              <w:spacing w:after="0"/>
              <w:rPr>
                <w:sz w:val="8"/>
                <w:szCs w:val="8"/>
                <w:color w:val="auto"/>
              </w:rPr>
            </w:pPr>
          </w:p>
        </w:tc>
        <w:tc>
          <w:tcPr>
            <w:tcW w:w="53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440" w:type="dxa"/>
            <w:vAlign w:val="bottom"/>
          </w:tcPr>
          <w:p>
            <w:pPr>
              <w:spacing w:after="0"/>
              <w:rPr>
                <w:sz w:val="8"/>
                <w:szCs w:val="8"/>
                <w:color w:val="auto"/>
              </w:rPr>
            </w:pPr>
          </w:p>
        </w:tc>
        <w:tc>
          <w:tcPr>
            <w:tcW w:w="53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1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5340" w:type="dxa"/>
            <w:vAlign w:val="bottom"/>
            <w:shd w:val="clear" w:color="auto" w:fill="EEEEEE"/>
          </w:tcPr>
          <w:p>
            <w:pPr>
              <w:spacing w:after="0"/>
              <w:rPr>
                <w:sz w:val="20"/>
                <w:szCs w:val="20"/>
                <w:color w:val="auto"/>
              </w:rPr>
            </w:pPr>
            <w:r>
              <w:rPr>
                <w:rFonts w:ascii="Arial" w:cs="Arial" w:eastAsia="Arial" w:hAnsi="Arial"/>
                <w:sz w:val="18"/>
                <w:szCs w:val="18"/>
                <w:color w:val="auto"/>
              </w:rPr>
              <w:t>Net loss — as reported</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w w:val="86"/>
              </w:rPr>
              <w:t>(30,934)</w:t>
            </w:r>
          </w:p>
        </w:tc>
        <w:tc>
          <w:tcPr>
            <w:tcW w:w="82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85"/>
              </w:rPr>
              <w:t>(104,966)</w:t>
            </w: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Adjustments:</w:t>
            </w: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5340" w:type="dxa"/>
            <w:vAlign w:val="bottom"/>
            <w:shd w:val="clear" w:color="auto" w:fill="EEEEEE"/>
          </w:tcPr>
          <w:p>
            <w:pPr>
              <w:ind w:left="340"/>
              <w:spacing w:after="0"/>
              <w:rPr>
                <w:sz w:val="20"/>
                <w:szCs w:val="20"/>
                <w:color w:val="auto"/>
              </w:rPr>
            </w:pPr>
            <w:r>
              <w:rPr>
                <w:rFonts w:ascii="Arial" w:cs="Arial" w:eastAsia="Arial" w:hAnsi="Arial"/>
                <w:sz w:val="18"/>
                <w:szCs w:val="18"/>
                <w:color w:val="auto"/>
              </w:rPr>
              <w:t>Amortization of goodwill</w:t>
            </w:r>
          </w:p>
        </w:tc>
        <w:tc>
          <w:tcPr>
            <w:tcW w:w="34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83,707</w:t>
            </w:r>
          </w:p>
        </w:tc>
        <w:tc>
          <w:tcPr>
            <w:tcW w:w="46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1440" w:type="dxa"/>
            <w:vAlign w:val="bottom"/>
          </w:tcPr>
          <w:p>
            <w:pPr>
              <w:spacing w:after="0"/>
              <w:rPr>
                <w:sz w:val="18"/>
                <w:szCs w:val="18"/>
                <w:color w:val="auto"/>
              </w:rPr>
            </w:pPr>
          </w:p>
        </w:tc>
        <w:tc>
          <w:tcPr>
            <w:tcW w:w="5340" w:type="dxa"/>
            <w:vAlign w:val="bottom"/>
          </w:tcPr>
          <w:p>
            <w:pPr>
              <w:ind w:left="340"/>
              <w:spacing w:after="0"/>
              <w:rPr>
                <w:sz w:val="20"/>
                <w:szCs w:val="20"/>
                <w:color w:val="auto"/>
              </w:rPr>
            </w:pPr>
            <w:r>
              <w:rPr>
                <w:rFonts w:ascii="Arial" w:cs="Arial" w:eastAsia="Arial" w:hAnsi="Arial"/>
                <w:sz w:val="18"/>
                <w:szCs w:val="18"/>
                <w:color w:val="auto"/>
              </w:rPr>
              <w:t>Amortization of acquired workforce previously classified as a</w:t>
            </w: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440" w:type="dxa"/>
            <w:vAlign w:val="bottom"/>
          </w:tcPr>
          <w:p>
            <w:pPr>
              <w:spacing w:after="0"/>
              <w:rPr>
                <w:sz w:val="19"/>
                <w:szCs w:val="19"/>
                <w:color w:val="auto"/>
              </w:rPr>
            </w:pPr>
          </w:p>
        </w:tc>
        <w:tc>
          <w:tcPr>
            <w:tcW w:w="5340" w:type="dxa"/>
            <w:vAlign w:val="bottom"/>
          </w:tcPr>
          <w:p>
            <w:pPr>
              <w:ind w:left="480"/>
              <w:spacing w:after="0"/>
              <w:rPr>
                <w:sz w:val="20"/>
                <w:szCs w:val="20"/>
                <w:color w:val="auto"/>
              </w:rPr>
            </w:pPr>
            <w:r>
              <w:rPr>
                <w:rFonts w:ascii="Arial" w:cs="Arial" w:eastAsia="Arial" w:hAnsi="Arial"/>
                <w:sz w:val="18"/>
                <w:szCs w:val="18"/>
                <w:color w:val="auto"/>
              </w:rPr>
              <w:t>purchased intangible asset</w:t>
            </w:r>
          </w:p>
        </w:tc>
        <w:tc>
          <w:tcPr>
            <w:tcW w:w="340" w:type="dxa"/>
            <w:vAlign w:val="bottom"/>
          </w:tcPr>
          <w:p>
            <w:pPr>
              <w:spacing w:after="0"/>
              <w:rPr>
                <w:sz w:val="19"/>
                <w:szCs w:val="19"/>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522</w:t>
            </w:r>
          </w:p>
        </w:tc>
        <w:tc>
          <w:tcPr>
            <w:tcW w:w="46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1440" w:type="dxa"/>
            <w:vAlign w:val="bottom"/>
          </w:tcPr>
          <w:p>
            <w:pPr>
              <w:spacing w:after="0"/>
              <w:rPr>
                <w:sz w:val="18"/>
                <w:szCs w:val="18"/>
                <w:color w:val="auto"/>
              </w:rPr>
            </w:pPr>
          </w:p>
        </w:tc>
        <w:tc>
          <w:tcPr>
            <w:tcW w:w="5340" w:type="dxa"/>
            <w:vAlign w:val="bottom"/>
            <w:shd w:val="clear" w:color="auto" w:fill="EEEEEE"/>
          </w:tcPr>
          <w:p>
            <w:pPr>
              <w:ind w:left="340"/>
              <w:spacing w:after="0"/>
              <w:rPr>
                <w:sz w:val="20"/>
                <w:szCs w:val="20"/>
                <w:color w:val="auto"/>
              </w:rPr>
            </w:pPr>
            <w:r>
              <w:rPr>
                <w:rFonts w:ascii="Arial" w:cs="Arial" w:eastAsia="Arial" w:hAnsi="Arial"/>
                <w:sz w:val="18"/>
                <w:szCs w:val="18"/>
                <w:color w:val="auto"/>
              </w:rPr>
              <w:t>Change in amortization life of trade name</w:t>
            </w:r>
          </w:p>
        </w:tc>
        <w:tc>
          <w:tcPr>
            <w:tcW w:w="34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(831)</w:t>
            </w: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440" w:type="dxa"/>
            <w:vAlign w:val="bottom"/>
          </w:tcPr>
          <w:p>
            <w:pPr>
              <w:spacing w:after="0"/>
              <w:rPr>
                <w:sz w:val="9"/>
                <w:szCs w:val="9"/>
                <w:color w:val="auto"/>
              </w:rPr>
            </w:pPr>
          </w:p>
        </w:tc>
        <w:tc>
          <w:tcPr>
            <w:tcW w:w="5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1440" w:type="dxa"/>
            <w:vAlign w:val="bottom"/>
          </w:tcPr>
          <w:p>
            <w:pPr>
              <w:spacing w:after="0"/>
              <w:rPr>
                <w:sz w:val="24"/>
                <w:szCs w:val="24"/>
                <w:color w:val="auto"/>
              </w:rPr>
            </w:pPr>
          </w:p>
        </w:tc>
        <w:tc>
          <w:tcPr>
            <w:tcW w:w="5340" w:type="dxa"/>
            <w:vAlign w:val="bottom"/>
          </w:tcPr>
          <w:p>
            <w:pPr>
              <w:ind w:left="700"/>
              <w:spacing w:after="0"/>
              <w:rPr>
                <w:sz w:val="20"/>
                <w:szCs w:val="20"/>
                <w:color w:val="auto"/>
              </w:rPr>
            </w:pPr>
            <w:r>
              <w:rPr>
                <w:rFonts w:ascii="Arial" w:cs="Arial" w:eastAsia="Arial" w:hAnsi="Arial"/>
                <w:sz w:val="18"/>
                <w:szCs w:val="18"/>
                <w:color w:val="auto"/>
              </w:rPr>
              <w:t>Net adjustments</w:t>
            </w:r>
          </w:p>
        </w:tc>
        <w:tc>
          <w:tcPr>
            <w:tcW w:w="340" w:type="dxa"/>
            <w:vAlign w:val="bottom"/>
          </w:tcPr>
          <w:p>
            <w:pPr>
              <w:spacing w:after="0"/>
              <w:rPr>
                <w:sz w:val="24"/>
                <w:szCs w:val="24"/>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83,398</w:t>
            </w:r>
          </w:p>
        </w:tc>
        <w:tc>
          <w:tcPr>
            <w:tcW w:w="4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1440" w:type="dxa"/>
            <w:vAlign w:val="bottom"/>
          </w:tcPr>
          <w:p>
            <w:pPr>
              <w:spacing w:after="0"/>
              <w:rPr>
                <w:sz w:val="9"/>
                <w:szCs w:val="9"/>
                <w:color w:val="auto"/>
              </w:rPr>
            </w:pPr>
          </w:p>
        </w:tc>
        <w:tc>
          <w:tcPr>
            <w:tcW w:w="5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1440" w:type="dxa"/>
            <w:vAlign w:val="bottom"/>
          </w:tcPr>
          <w:p>
            <w:pPr>
              <w:spacing w:after="0"/>
              <w:rPr>
                <w:sz w:val="8"/>
                <w:szCs w:val="8"/>
                <w:color w:val="auto"/>
              </w:rPr>
            </w:pPr>
          </w:p>
        </w:tc>
        <w:tc>
          <w:tcPr>
            <w:tcW w:w="53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1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440" w:type="dxa"/>
            <w:vAlign w:val="bottom"/>
          </w:tcPr>
          <w:p>
            <w:pPr>
              <w:spacing w:after="0"/>
              <w:rPr>
                <w:sz w:val="18"/>
                <w:szCs w:val="18"/>
                <w:color w:val="auto"/>
              </w:rPr>
            </w:pPr>
          </w:p>
        </w:tc>
        <w:tc>
          <w:tcPr>
            <w:tcW w:w="5340" w:type="dxa"/>
            <w:vAlign w:val="bottom"/>
            <w:shd w:val="clear" w:color="auto" w:fill="EEEEEE"/>
          </w:tcPr>
          <w:p>
            <w:pPr>
              <w:spacing w:after="0"/>
              <w:rPr>
                <w:sz w:val="20"/>
                <w:szCs w:val="20"/>
                <w:color w:val="auto"/>
              </w:rPr>
            </w:pPr>
            <w:r>
              <w:rPr>
                <w:rFonts w:ascii="Arial" w:cs="Arial" w:eastAsia="Arial" w:hAnsi="Arial"/>
                <w:sz w:val="18"/>
                <w:szCs w:val="18"/>
                <w:color w:val="auto"/>
              </w:rPr>
              <w:t>Net loss — as adjusted</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w w:val="86"/>
              </w:rPr>
              <w:t>(30,934)</w:t>
            </w:r>
          </w:p>
        </w:tc>
        <w:tc>
          <w:tcPr>
            <w:tcW w:w="82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98"/>
              </w:rPr>
              <w:t>(21,568)</w:t>
            </w: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1440" w:type="dxa"/>
            <w:vAlign w:val="bottom"/>
          </w:tcPr>
          <w:p>
            <w:pPr>
              <w:spacing w:after="0"/>
              <w:rPr>
                <w:sz w:val="9"/>
                <w:szCs w:val="9"/>
                <w:color w:val="auto"/>
              </w:rPr>
            </w:pPr>
          </w:p>
        </w:tc>
        <w:tc>
          <w:tcPr>
            <w:tcW w:w="5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80" w:type="dxa"/>
            <w:vAlign w:val="bottom"/>
          </w:tcPr>
          <w:p>
            <w:pPr>
              <w:spacing w:after="0"/>
              <w:rPr>
                <w:sz w:val="9"/>
                <w:szCs w:val="9"/>
                <w:color w:val="auto"/>
              </w:rPr>
            </w:pPr>
          </w:p>
        </w:tc>
        <w:tc>
          <w:tcPr>
            <w:tcW w:w="820" w:type="dxa"/>
            <w:vAlign w:val="bottom"/>
            <w:gridSpan w:val="2"/>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440" w:type="dxa"/>
            <w:vAlign w:val="bottom"/>
          </w:tcPr>
          <w:p>
            <w:pPr>
              <w:spacing w:after="0"/>
              <w:rPr>
                <w:sz w:val="5"/>
                <w:szCs w:val="5"/>
                <w:color w:val="auto"/>
              </w:rPr>
            </w:pPr>
          </w:p>
        </w:tc>
        <w:tc>
          <w:tcPr>
            <w:tcW w:w="534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820" w:type="dxa"/>
            <w:vAlign w:val="bottom"/>
            <w:tcBorders>
              <w:right w:val="single" w:sz="8" w:color="808080"/>
            </w:tcBorders>
            <w:gridSpan w:val="2"/>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1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1440" w:type="dxa"/>
            <w:vAlign w:val="bottom"/>
          </w:tcPr>
          <w:p>
            <w:pPr>
              <w:spacing w:after="0"/>
              <w:rPr>
                <w:sz w:val="24"/>
                <w:szCs w:val="24"/>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Basic and diluted net loss per share — as reported</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40"/>
              <w:spacing w:after="0"/>
              <w:rPr>
                <w:sz w:val="20"/>
                <w:szCs w:val="20"/>
                <w:color w:val="auto"/>
              </w:rPr>
            </w:pPr>
            <w:r>
              <w:rPr>
                <w:rFonts w:ascii="Arial" w:cs="Arial" w:eastAsia="Arial" w:hAnsi="Arial"/>
                <w:sz w:val="18"/>
                <w:szCs w:val="18"/>
                <w:color w:val="auto"/>
              </w:rPr>
              <w:t>(0.26)</w:t>
            </w: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(0.93)</w:t>
            </w: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1440" w:type="dxa"/>
            <w:vAlign w:val="bottom"/>
          </w:tcPr>
          <w:p>
            <w:pPr>
              <w:spacing w:after="0"/>
              <w:rPr>
                <w:sz w:val="18"/>
                <w:szCs w:val="18"/>
                <w:color w:val="auto"/>
              </w:rPr>
            </w:pPr>
          </w:p>
        </w:tc>
        <w:tc>
          <w:tcPr>
            <w:tcW w:w="5340" w:type="dxa"/>
            <w:vAlign w:val="bottom"/>
            <w:shd w:val="clear" w:color="auto" w:fill="EEEEEE"/>
          </w:tcPr>
          <w:p>
            <w:pPr>
              <w:ind w:left="340"/>
              <w:spacing w:after="0"/>
              <w:rPr>
                <w:sz w:val="20"/>
                <w:szCs w:val="20"/>
                <w:color w:val="auto"/>
              </w:rPr>
            </w:pPr>
            <w:r>
              <w:rPr>
                <w:rFonts w:ascii="Arial" w:cs="Arial" w:eastAsia="Arial" w:hAnsi="Arial"/>
                <w:sz w:val="18"/>
                <w:szCs w:val="18"/>
                <w:color w:val="auto"/>
              </w:rPr>
              <w:t>Amortization of goodwill</w:t>
            </w:r>
          </w:p>
        </w:tc>
        <w:tc>
          <w:tcPr>
            <w:tcW w:w="34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0.74</w:t>
            </w:r>
          </w:p>
        </w:tc>
        <w:tc>
          <w:tcPr>
            <w:tcW w:w="460" w:type="dxa"/>
            <w:vAlign w:val="bottom"/>
            <w:shd w:val="clear" w:color="auto" w:fill="EEEEEE"/>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1440" w:type="dxa"/>
            <w:vAlign w:val="bottom"/>
          </w:tcPr>
          <w:p>
            <w:pPr>
              <w:spacing w:after="0"/>
              <w:rPr>
                <w:sz w:val="18"/>
                <w:szCs w:val="18"/>
                <w:color w:val="auto"/>
              </w:rPr>
            </w:pPr>
          </w:p>
        </w:tc>
        <w:tc>
          <w:tcPr>
            <w:tcW w:w="5340" w:type="dxa"/>
            <w:vAlign w:val="bottom"/>
          </w:tcPr>
          <w:p>
            <w:pPr>
              <w:ind w:left="340"/>
              <w:spacing w:after="0"/>
              <w:rPr>
                <w:sz w:val="20"/>
                <w:szCs w:val="20"/>
                <w:color w:val="auto"/>
              </w:rPr>
            </w:pPr>
            <w:r>
              <w:rPr>
                <w:rFonts w:ascii="Arial" w:cs="Arial" w:eastAsia="Arial" w:hAnsi="Arial"/>
                <w:sz w:val="18"/>
                <w:szCs w:val="18"/>
                <w:color w:val="auto"/>
              </w:rPr>
              <w:t>Amortization of acquired workforce previously classified as a</w:t>
            </w: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440" w:type="dxa"/>
            <w:vAlign w:val="bottom"/>
          </w:tcPr>
          <w:p>
            <w:pPr>
              <w:spacing w:after="0"/>
              <w:rPr>
                <w:sz w:val="19"/>
                <w:szCs w:val="19"/>
                <w:color w:val="auto"/>
              </w:rPr>
            </w:pPr>
          </w:p>
        </w:tc>
        <w:tc>
          <w:tcPr>
            <w:tcW w:w="5340" w:type="dxa"/>
            <w:vAlign w:val="bottom"/>
          </w:tcPr>
          <w:p>
            <w:pPr>
              <w:ind w:left="480"/>
              <w:spacing w:after="0"/>
              <w:rPr>
                <w:sz w:val="20"/>
                <w:szCs w:val="20"/>
                <w:color w:val="auto"/>
              </w:rPr>
            </w:pPr>
            <w:r>
              <w:rPr>
                <w:rFonts w:ascii="Arial" w:cs="Arial" w:eastAsia="Arial" w:hAnsi="Arial"/>
                <w:sz w:val="18"/>
                <w:szCs w:val="18"/>
                <w:color w:val="auto"/>
              </w:rPr>
              <w:t>purchased intangible asset</w:t>
            </w:r>
          </w:p>
        </w:tc>
        <w:tc>
          <w:tcPr>
            <w:tcW w:w="340" w:type="dxa"/>
            <w:vAlign w:val="bottom"/>
          </w:tcPr>
          <w:p>
            <w:pPr>
              <w:spacing w:after="0"/>
              <w:rPr>
                <w:sz w:val="19"/>
                <w:szCs w:val="19"/>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0.01</w:t>
            </w:r>
          </w:p>
        </w:tc>
        <w:tc>
          <w:tcPr>
            <w:tcW w:w="46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1440" w:type="dxa"/>
            <w:vAlign w:val="bottom"/>
          </w:tcPr>
          <w:p>
            <w:pPr>
              <w:spacing w:after="0"/>
              <w:rPr>
                <w:sz w:val="18"/>
                <w:szCs w:val="18"/>
                <w:color w:val="auto"/>
              </w:rPr>
            </w:pPr>
          </w:p>
        </w:tc>
        <w:tc>
          <w:tcPr>
            <w:tcW w:w="5340" w:type="dxa"/>
            <w:vAlign w:val="bottom"/>
            <w:shd w:val="clear" w:color="auto" w:fill="EEEEEE"/>
          </w:tcPr>
          <w:p>
            <w:pPr>
              <w:ind w:left="340"/>
              <w:spacing w:after="0"/>
              <w:rPr>
                <w:sz w:val="20"/>
                <w:szCs w:val="20"/>
                <w:color w:val="auto"/>
              </w:rPr>
            </w:pPr>
            <w:r>
              <w:rPr>
                <w:rFonts w:ascii="Arial" w:cs="Arial" w:eastAsia="Arial" w:hAnsi="Arial"/>
                <w:sz w:val="18"/>
                <w:szCs w:val="18"/>
                <w:color w:val="auto"/>
              </w:rPr>
              <w:t>Change in amortization life of trade name</w:t>
            </w:r>
          </w:p>
        </w:tc>
        <w:tc>
          <w:tcPr>
            <w:tcW w:w="34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(0.01)</w:t>
            </w: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440" w:type="dxa"/>
            <w:vAlign w:val="bottom"/>
          </w:tcPr>
          <w:p>
            <w:pPr>
              <w:spacing w:after="0"/>
              <w:rPr>
                <w:sz w:val="9"/>
                <w:szCs w:val="9"/>
                <w:color w:val="auto"/>
              </w:rPr>
            </w:pPr>
          </w:p>
        </w:tc>
        <w:tc>
          <w:tcPr>
            <w:tcW w:w="5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82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1440" w:type="dxa"/>
            <w:vAlign w:val="bottom"/>
          </w:tcPr>
          <w:p>
            <w:pPr>
              <w:spacing w:after="0"/>
              <w:rPr>
                <w:sz w:val="24"/>
                <w:szCs w:val="24"/>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Basis and diluted net loss per share — as adjusted</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40"/>
              <w:spacing w:after="0"/>
              <w:rPr>
                <w:sz w:val="20"/>
                <w:szCs w:val="20"/>
                <w:color w:val="auto"/>
              </w:rPr>
            </w:pPr>
            <w:r>
              <w:rPr>
                <w:rFonts w:ascii="Arial" w:cs="Arial" w:eastAsia="Arial" w:hAnsi="Arial"/>
                <w:sz w:val="18"/>
                <w:szCs w:val="18"/>
                <w:color w:val="auto"/>
              </w:rPr>
              <w:t>(0.26)</w:t>
            </w: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(0.19)</w:t>
            </w: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440" w:type="dxa"/>
            <w:vAlign w:val="bottom"/>
          </w:tcPr>
          <w:p>
            <w:pPr>
              <w:spacing w:after="0"/>
              <w:rPr>
                <w:sz w:val="9"/>
                <w:szCs w:val="9"/>
                <w:color w:val="auto"/>
              </w:rPr>
            </w:pPr>
          </w:p>
        </w:tc>
        <w:tc>
          <w:tcPr>
            <w:tcW w:w="5340" w:type="dxa"/>
            <w:vAlign w:val="bottom"/>
            <w:vMerge w:val="restart"/>
          </w:tcPr>
          <w:p>
            <w:pPr>
              <w:ind w:left="4240"/>
              <w:spacing w:after="0"/>
              <w:rPr>
                <w:sz w:val="20"/>
                <w:szCs w:val="20"/>
                <w:color w:val="auto"/>
              </w:rPr>
            </w:pPr>
            <w:r>
              <w:rPr>
                <w:rFonts w:ascii="Arial" w:cs="Arial" w:eastAsia="Arial" w:hAnsi="Arial"/>
                <w:sz w:val="18"/>
                <w:szCs w:val="18"/>
                <w:color w:val="auto"/>
              </w:rPr>
              <w:t>8</w:t>
            </w:r>
          </w:p>
        </w:tc>
        <w:tc>
          <w:tcPr>
            <w:tcW w:w="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8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440" w:type="dxa"/>
            <w:vAlign w:val="bottom"/>
          </w:tcPr>
          <w:p>
            <w:pPr>
              <w:spacing w:after="0"/>
              <w:rPr>
                <w:sz w:val="5"/>
                <w:szCs w:val="5"/>
                <w:color w:val="auto"/>
              </w:rPr>
            </w:pPr>
          </w:p>
        </w:tc>
        <w:tc>
          <w:tcPr>
            <w:tcW w:w="5340" w:type="dxa"/>
            <w:vAlign w:val="bottom"/>
            <w:vMerge w:val="continue"/>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1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440" w:type="dxa"/>
            <w:vAlign w:val="bottom"/>
          </w:tcPr>
          <w:p>
            <w:pPr>
              <w:spacing w:after="0"/>
              <w:rPr>
                <w:sz w:val="24"/>
                <w:szCs w:val="24"/>
                <w:color w:val="auto"/>
              </w:rPr>
            </w:pPr>
          </w:p>
        </w:tc>
        <w:tc>
          <w:tcPr>
            <w:tcW w:w="5340" w:type="dxa"/>
            <w:vAlign w:val="bottom"/>
            <w:vMerge w:val="continue"/>
          </w:tcPr>
          <w:p>
            <w:pPr>
              <w:spacing w:after="0"/>
              <w:rPr>
                <w:sz w:val="24"/>
                <w:szCs w:val="24"/>
                <w:color w:val="auto"/>
              </w:rPr>
            </w:pP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440" w:type="dxa"/>
            <w:vAlign w:val="bottom"/>
            <w:tcBorders>
              <w:bottom w:val="single" w:sz="8" w:color="808080"/>
            </w:tcBorders>
          </w:tcPr>
          <w:p>
            <w:pPr>
              <w:spacing w:after="0"/>
              <w:rPr>
                <w:sz w:val="19"/>
                <w:szCs w:val="19"/>
                <w:color w:val="auto"/>
              </w:rPr>
            </w:pPr>
          </w:p>
        </w:tc>
        <w:tc>
          <w:tcPr>
            <w:tcW w:w="534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400" w:type="dxa"/>
            <w:vAlign w:val="bottom"/>
            <w:tcBorders>
              <w:bottom w:val="single" w:sz="8" w:color="808080"/>
            </w:tcBorders>
          </w:tcPr>
          <w:p>
            <w:pPr>
              <w:spacing w:after="0"/>
              <w:rPr>
                <w:sz w:val="19"/>
                <w:szCs w:val="19"/>
                <w:color w:val="auto"/>
              </w:rPr>
            </w:pPr>
          </w:p>
        </w:tc>
        <w:tc>
          <w:tcPr>
            <w:tcW w:w="420" w:type="dxa"/>
            <w:vAlign w:val="bottom"/>
            <w:tcBorders>
              <w:bottom w:val="single" w:sz="8" w:color="808080"/>
            </w:tcBorders>
          </w:tcPr>
          <w:p>
            <w:pPr>
              <w:spacing w:after="0"/>
              <w:rPr>
                <w:sz w:val="19"/>
                <w:szCs w:val="19"/>
                <w:color w:val="auto"/>
              </w:rPr>
            </w:pPr>
          </w:p>
        </w:tc>
        <w:tc>
          <w:tcPr>
            <w:tcW w:w="640" w:type="dxa"/>
            <w:vAlign w:val="bottom"/>
            <w:tcBorders>
              <w:bottom w:val="single" w:sz="8" w:color="808080"/>
            </w:tcBorders>
          </w:tcPr>
          <w:p>
            <w:pPr>
              <w:spacing w:after="0"/>
              <w:rPr>
                <w:sz w:val="19"/>
                <w:szCs w:val="19"/>
                <w:color w:val="auto"/>
              </w:rPr>
            </w:pPr>
          </w:p>
        </w:tc>
        <w:tc>
          <w:tcPr>
            <w:tcW w:w="460" w:type="dxa"/>
            <w:vAlign w:val="bottom"/>
            <w:tcBorders>
              <w:bottom w:val="single" w:sz="8" w:color="808080"/>
            </w:tcBorders>
          </w:tcPr>
          <w:p>
            <w:pPr>
              <w:spacing w:after="0"/>
              <w:rPr>
                <w:sz w:val="19"/>
                <w:szCs w:val="19"/>
                <w:color w:val="auto"/>
              </w:rPr>
            </w:pPr>
          </w:p>
        </w:tc>
        <w:tc>
          <w:tcPr>
            <w:tcW w:w="14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(Unaudited)</w:t>
      </w:r>
    </w:p>
    <w:p>
      <w:pPr>
        <w:spacing w:after="0" w:line="219"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changes in the carrying amount of the goodwill and intangible assets are as follows (in thousands):</w:t>
      </w:r>
    </w:p>
    <w:p>
      <w:pPr>
        <w:spacing w:after="0" w:line="200" w:lineRule="exact"/>
        <w:rPr>
          <w:sz w:val="20"/>
          <w:szCs w:val="20"/>
          <w:color w:val="auto"/>
        </w:rPr>
      </w:pPr>
    </w:p>
    <w:p>
      <w:pPr>
        <w:spacing w:after="0" w:line="266" w:lineRule="exact"/>
        <w:rPr>
          <w:sz w:val="20"/>
          <w:szCs w:val="20"/>
          <w:color w:val="auto"/>
        </w:rPr>
      </w:pPr>
    </w:p>
    <w:tbl>
      <w:tblPr>
        <w:tblLayout w:type="fixed"/>
        <w:tblInd w:w="860" w:type="dxa"/>
        <w:tblCellMar>
          <w:top w:w="0" w:type="dxa"/>
          <w:left w:w="0" w:type="dxa"/>
          <w:bottom w:w="0" w:type="dxa"/>
          <w:right w:w="0" w:type="dxa"/>
        </w:tblCellMar>
      </w:tblPr>
      <w:tr>
        <w:trPr>
          <w:trHeight w:val="172"/>
        </w:trPr>
        <w:tc>
          <w:tcPr>
            <w:tcW w:w="2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780" w:type="dxa"/>
            <w:vAlign w:val="bottom"/>
            <w:gridSpan w:val="4"/>
          </w:tcPr>
          <w:p>
            <w:pPr>
              <w:jc w:val="right"/>
              <w:spacing w:after="0"/>
              <w:rPr>
                <w:sz w:val="20"/>
                <w:szCs w:val="20"/>
                <w:color w:val="auto"/>
              </w:rPr>
            </w:pPr>
            <w:r>
              <w:rPr>
                <w:rFonts w:ascii="Arial" w:cs="Arial" w:eastAsia="Arial" w:hAnsi="Arial"/>
                <w:sz w:val="14"/>
                <w:szCs w:val="14"/>
                <w:color w:val="auto"/>
              </w:rPr>
              <w:t>As of April 30, 2002</w:t>
            </w:r>
          </w:p>
        </w:tc>
        <w:tc>
          <w:tcPr>
            <w:tcW w:w="6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860" w:type="dxa"/>
            <w:vAlign w:val="bottom"/>
            <w:gridSpan w:val="6"/>
          </w:tcPr>
          <w:p>
            <w:pPr>
              <w:jc w:val="right"/>
              <w:ind w:right="1020"/>
              <w:spacing w:after="0"/>
              <w:rPr>
                <w:sz w:val="20"/>
                <w:szCs w:val="20"/>
                <w:color w:val="auto"/>
              </w:rPr>
            </w:pPr>
            <w:r>
              <w:rPr>
                <w:rFonts w:ascii="Arial" w:cs="Arial" w:eastAsia="Arial" w:hAnsi="Arial"/>
                <w:sz w:val="14"/>
                <w:szCs w:val="14"/>
                <w:color w:val="auto"/>
              </w:rPr>
              <w:t>As of January 31, 2002</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8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288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120" w:type="dxa"/>
            <w:vAlign w:val="bottom"/>
            <w:gridSpan w:val="2"/>
          </w:tcPr>
          <w:p>
            <w:pPr>
              <w:jc w:val="center"/>
              <w:ind w:right="460"/>
              <w:spacing w:after="0"/>
              <w:rPr>
                <w:sz w:val="20"/>
                <w:szCs w:val="20"/>
                <w:color w:val="auto"/>
              </w:rPr>
            </w:pPr>
            <w:r>
              <w:rPr>
                <w:rFonts w:ascii="Arial" w:cs="Arial" w:eastAsia="Arial" w:hAnsi="Arial"/>
                <w:sz w:val="14"/>
                <w:szCs w:val="14"/>
                <w:color w:val="auto"/>
                <w:w w:val="80"/>
              </w:rPr>
              <w:t>Gross</w:t>
            </w:r>
          </w:p>
        </w:tc>
        <w:tc>
          <w:tcPr>
            <w:tcW w:w="2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140" w:type="dxa"/>
            <w:vAlign w:val="bottom"/>
            <w:gridSpan w:val="2"/>
          </w:tcPr>
          <w:p>
            <w:pPr>
              <w:jc w:val="center"/>
              <w:ind w:right="460"/>
              <w:spacing w:after="0"/>
              <w:rPr>
                <w:sz w:val="20"/>
                <w:szCs w:val="20"/>
                <w:color w:val="auto"/>
              </w:rPr>
            </w:pPr>
            <w:r>
              <w:rPr>
                <w:rFonts w:ascii="Arial" w:cs="Arial" w:eastAsia="Arial" w:hAnsi="Arial"/>
                <w:sz w:val="14"/>
                <w:szCs w:val="14"/>
                <w:color w:val="auto"/>
                <w:w w:val="85"/>
              </w:rPr>
              <w:t>Gross</w:t>
            </w:r>
          </w:p>
        </w:tc>
        <w:tc>
          <w:tcPr>
            <w:tcW w:w="2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120" w:type="dxa"/>
            <w:vAlign w:val="bottom"/>
            <w:gridSpan w:val="2"/>
          </w:tcPr>
          <w:p>
            <w:pPr>
              <w:jc w:val="center"/>
              <w:ind w:right="440"/>
              <w:spacing w:after="0" w:line="149" w:lineRule="exact"/>
              <w:rPr>
                <w:sz w:val="20"/>
                <w:szCs w:val="20"/>
                <w:color w:val="auto"/>
              </w:rPr>
            </w:pPr>
            <w:r>
              <w:rPr>
                <w:rFonts w:ascii="Arial" w:cs="Arial" w:eastAsia="Arial" w:hAnsi="Arial"/>
                <w:sz w:val="14"/>
                <w:szCs w:val="14"/>
                <w:color w:val="auto"/>
                <w:w w:val="90"/>
              </w:rPr>
              <w:t>Carrying</w:t>
            </w:r>
          </w:p>
        </w:tc>
        <w:tc>
          <w:tcPr>
            <w:tcW w:w="220" w:type="dxa"/>
            <w:vAlign w:val="bottom"/>
          </w:tcPr>
          <w:p>
            <w:pPr>
              <w:spacing w:after="0"/>
              <w:rPr>
                <w:sz w:val="12"/>
                <w:szCs w:val="12"/>
                <w:color w:val="auto"/>
              </w:rPr>
            </w:pPr>
          </w:p>
        </w:tc>
        <w:tc>
          <w:tcPr>
            <w:tcW w:w="1500" w:type="dxa"/>
            <w:vAlign w:val="bottom"/>
            <w:gridSpan w:val="3"/>
          </w:tcPr>
          <w:p>
            <w:pPr>
              <w:jc w:val="right"/>
              <w:ind w:right="400"/>
              <w:spacing w:after="0" w:line="149" w:lineRule="exact"/>
              <w:rPr>
                <w:sz w:val="20"/>
                <w:szCs w:val="20"/>
                <w:color w:val="auto"/>
              </w:rPr>
            </w:pPr>
            <w:r>
              <w:rPr>
                <w:rFonts w:ascii="Arial" w:cs="Arial" w:eastAsia="Arial" w:hAnsi="Arial"/>
                <w:sz w:val="14"/>
                <w:szCs w:val="14"/>
                <w:color w:val="auto"/>
              </w:rPr>
              <w:t>Accumulated</w:t>
            </w:r>
          </w:p>
        </w:tc>
        <w:tc>
          <w:tcPr>
            <w:tcW w:w="2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140" w:type="dxa"/>
            <w:vAlign w:val="bottom"/>
            <w:gridSpan w:val="2"/>
          </w:tcPr>
          <w:p>
            <w:pPr>
              <w:jc w:val="center"/>
              <w:ind w:right="460"/>
              <w:spacing w:after="0" w:line="149" w:lineRule="exact"/>
              <w:rPr>
                <w:sz w:val="20"/>
                <w:szCs w:val="20"/>
                <w:color w:val="auto"/>
              </w:rPr>
            </w:pPr>
            <w:r>
              <w:rPr>
                <w:rFonts w:ascii="Arial" w:cs="Arial" w:eastAsia="Arial" w:hAnsi="Arial"/>
                <w:sz w:val="14"/>
                <w:szCs w:val="14"/>
                <w:color w:val="auto"/>
                <w:w w:val="90"/>
              </w:rPr>
              <w:t>Carrying</w:t>
            </w:r>
          </w:p>
        </w:tc>
        <w:tc>
          <w:tcPr>
            <w:tcW w:w="220" w:type="dxa"/>
            <w:vAlign w:val="bottom"/>
          </w:tcPr>
          <w:p>
            <w:pPr>
              <w:spacing w:after="0"/>
              <w:rPr>
                <w:sz w:val="12"/>
                <w:szCs w:val="12"/>
                <w:color w:val="auto"/>
              </w:rPr>
            </w:pPr>
          </w:p>
        </w:tc>
        <w:tc>
          <w:tcPr>
            <w:tcW w:w="1500" w:type="dxa"/>
            <w:vAlign w:val="bottom"/>
            <w:gridSpan w:val="3"/>
          </w:tcPr>
          <w:p>
            <w:pPr>
              <w:jc w:val="right"/>
              <w:ind w:right="400"/>
              <w:spacing w:after="0" w:line="149" w:lineRule="exact"/>
              <w:rPr>
                <w:sz w:val="20"/>
                <w:szCs w:val="20"/>
                <w:color w:val="auto"/>
              </w:rPr>
            </w:pPr>
            <w:r>
              <w:rPr>
                <w:rFonts w:ascii="Arial" w:cs="Arial" w:eastAsia="Arial" w:hAnsi="Arial"/>
                <w:sz w:val="14"/>
                <w:szCs w:val="14"/>
                <w:color w:val="auto"/>
              </w:rPr>
              <w:t>Accumulated</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120" w:type="dxa"/>
            <w:vAlign w:val="bottom"/>
            <w:gridSpan w:val="2"/>
          </w:tcPr>
          <w:p>
            <w:pPr>
              <w:jc w:val="center"/>
              <w:ind w:right="440"/>
              <w:spacing w:after="0"/>
              <w:rPr>
                <w:sz w:val="20"/>
                <w:szCs w:val="20"/>
                <w:color w:val="auto"/>
              </w:rPr>
            </w:pPr>
            <w:r>
              <w:rPr>
                <w:rFonts w:ascii="Arial" w:cs="Arial" w:eastAsia="Arial" w:hAnsi="Arial"/>
                <w:sz w:val="14"/>
                <w:szCs w:val="14"/>
                <w:color w:val="auto"/>
                <w:w w:val="91"/>
              </w:rPr>
              <w:t>Amount</w:t>
            </w:r>
          </w:p>
        </w:tc>
        <w:tc>
          <w:tcPr>
            <w:tcW w:w="220" w:type="dxa"/>
            <w:vAlign w:val="bottom"/>
          </w:tcPr>
          <w:p>
            <w:pPr>
              <w:spacing w:after="0"/>
              <w:rPr>
                <w:sz w:val="14"/>
                <w:szCs w:val="14"/>
                <w:color w:val="auto"/>
              </w:rPr>
            </w:pPr>
          </w:p>
        </w:tc>
        <w:tc>
          <w:tcPr>
            <w:tcW w:w="1500" w:type="dxa"/>
            <w:vAlign w:val="bottom"/>
            <w:gridSpan w:val="3"/>
          </w:tcPr>
          <w:p>
            <w:pPr>
              <w:jc w:val="right"/>
              <w:ind w:right="400"/>
              <w:spacing w:after="0"/>
              <w:rPr>
                <w:sz w:val="20"/>
                <w:szCs w:val="20"/>
                <w:color w:val="auto"/>
              </w:rPr>
            </w:pPr>
            <w:r>
              <w:rPr>
                <w:rFonts w:ascii="Arial" w:cs="Arial" w:eastAsia="Arial" w:hAnsi="Arial"/>
                <w:sz w:val="14"/>
                <w:szCs w:val="14"/>
                <w:color w:val="auto"/>
              </w:rPr>
              <w:t>Amortization</w:t>
            </w:r>
          </w:p>
        </w:tc>
        <w:tc>
          <w:tcPr>
            <w:tcW w:w="2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140" w:type="dxa"/>
            <w:vAlign w:val="bottom"/>
            <w:gridSpan w:val="2"/>
          </w:tcPr>
          <w:p>
            <w:pPr>
              <w:jc w:val="center"/>
              <w:ind w:right="460"/>
              <w:spacing w:after="0"/>
              <w:rPr>
                <w:sz w:val="20"/>
                <w:szCs w:val="20"/>
                <w:color w:val="auto"/>
              </w:rPr>
            </w:pPr>
            <w:r>
              <w:rPr>
                <w:rFonts w:ascii="Arial" w:cs="Arial" w:eastAsia="Arial" w:hAnsi="Arial"/>
                <w:sz w:val="14"/>
                <w:szCs w:val="14"/>
                <w:color w:val="auto"/>
                <w:w w:val="91"/>
              </w:rPr>
              <w:t>Amount</w:t>
            </w:r>
          </w:p>
        </w:tc>
        <w:tc>
          <w:tcPr>
            <w:tcW w:w="220" w:type="dxa"/>
            <w:vAlign w:val="bottom"/>
          </w:tcPr>
          <w:p>
            <w:pPr>
              <w:spacing w:after="0"/>
              <w:rPr>
                <w:sz w:val="14"/>
                <w:szCs w:val="14"/>
                <w:color w:val="auto"/>
              </w:rPr>
            </w:pPr>
          </w:p>
        </w:tc>
        <w:tc>
          <w:tcPr>
            <w:tcW w:w="1500" w:type="dxa"/>
            <w:vAlign w:val="bottom"/>
            <w:gridSpan w:val="3"/>
          </w:tcPr>
          <w:p>
            <w:pPr>
              <w:jc w:val="right"/>
              <w:ind w:right="400"/>
              <w:spacing w:after="0"/>
              <w:rPr>
                <w:sz w:val="20"/>
                <w:szCs w:val="20"/>
                <w:color w:val="auto"/>
              </w:rPr>
            </w:pPr>
            <w:r>
              <w:rPr>
                <w:rFonts w:ascii="Arial" w:cs="Arial" w:eastAsia="Arial" w:hAnsi="Arial"/>
                <w:sz w:val="14"/>
                <w:szCs w:val="14"/>
                <w:color w:val="auto"/>
              </w:rPr>
              <w:t>Amortization</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8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8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880" w:type="dxa"/>
            <w:vAlign w:val="bottom"/>
            <w:shd w:val="clear" w:color="auto" w:fill="EEEEEE"/>
          </w:tcPr>
          <w:p>
            <w:pPr>
              <w:spacing w:after="0"/>
              <w:rPr>
                <w:sz w:val="20"/>
                <w:szCs w:val="20"/>
                <w:color w:val="auto"/>
              </w:rPr>
            </w:pPr>
            <w:r>
              <w:rPr>
                <w:rFonts w:ascii="Arial" w:cs="Arial" w:eastAsia="Arial" w:hAnsi="Arial"/>
                <w:sz w:val="18"/>
                <w:szCs w:val="18"/>
                <w:color w:val="auto"/>
              </w:rPr>
              <w:t>Purchased technology</w:t>
            </w:r>
          </w:p>
        </w:tc>
        <w:tc>
          <w:tcPr>
            <w:tcW w:w="4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42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w w:val="98"/>
              </w:rPr>
              <w:t>(98,736)</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42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w w:val="98"/>
              </w:rPr>
              <w:t>(79,288)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880" w:type="dxa"/>
            <w:vAlign w:val="bottom"/>
          </w:tcPr>
          <w:p>
            <w:pPr>
              <w:spacing w:after="0"/>
              <w:rPr>
                <w:sz w:val="20"/>
                <w:szCs w:val="20"/>
                <w:color w:val="auto"/>
              </w:rPr>
            </w:pPr>
            <w:r>
              <w:rPr>
                <w:rFonts w:ascii="Arial" w:cs="Arial" w:eastAsia="Arial" w:hAnsi="Arial"/>
                <w:sz w:val="18"/>
                <w:szCs w:val="18"/>
                <w:color w:val="auto"/>
              </w:rPr>
              <w:t>Trade name</w:t>
            </w:r>
          </w:p>
        </w:tc>
        <w:tc>
          <w:tcPr>
            <w:tcW w:w="4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33,241</w:t>
            </w:r>
          </w:p>
        </w:tc>
        <w:tc>
          <w:tcPr>
            <w:tcW w:w="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rPr>
              <w:t>(5,263)</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33,241</w:t>
            </w:r>
          </w:p>
        </w:tc>
        <w:tc>
          <w:tcPr>
            <w:tcW w:w="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rPr>
              <w:t>(3,388)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880" w:type="dxa"/>
            <w:vAlign w:val="bottom"/>
            <w:shd w:val="clear" w:color="auto" w:fill="EEEEEE"/>
          </w:tcPr>
          <w:p>
            <w:pPr>
              <w:spacing w:after="0"/>
              <w:rPr>
                <w:sz w:val="20"/>
                <w:szCs w:val="20"/>
                <w:color w:val="auto"/>
              </w:rPr>
            </w:pPr>
            <w:r>
              <w:rPr>
                <w:rFonts w:ascii="Arial" w:cs="Arial" w:eastAsia="Arial" w:hAnsi="Arial"/>
                <w:sz w:val="18"/>
                <w:szCs w:val="18"/>
                <w:color w:val="auto"/>
              </w:rPr>
              <w:t>Assembled workforce</w:t>
            </w:r>
          </w:p>
        </w:tc>
        <w:tc>
          <w:tcPr>
            <w:tcW w:w="440" w:type="dxa"/>
            <w:vAlign w:val="bottom"/>
            <w:tcBorders>
              <w:right w:val="single" w:sz="8" w:color="EEEEEE"/>
            </w:tcBorders>
            <w:shd w:val="clear" w:color="auto" w:fill="EEEEEE"/>
          </w:tcPr>
          <w:p>
            <w:pPr>
              <w:spacing w:after="0"/>
              <w:rPr>
                <w:sz w:val="18"/>
                <w:szCs w:val="18"/>
                <w:color w:val="auto"/>
              </w:rPr>
            </w:pPr>
          </w:p>
        </w:tc>
        <w:tc>
          <w:tcPr>
            <w:tcW w:w="112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6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12,532</w:t>
            </w:r>
          </w:p>
        </w:tc>
        <w:tc>
          <w:tcPr>
            <w:tcW w:w="4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6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(2,128)</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44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2880" w:type="dxa"/>
            <w:vAlign w:val="bottom"/>
          </w:tcPr>
          <w:p>
            <w:pPr>
              <w:ind w:left="200"/>
              <w:spacing w:after="0"/>
              <w:rPr>
                <w:sz w:val="20"/>
                <w:szCs w:val="20"/>
                <w:color w:val="auto"/>
              </w:rPr>
            </w:pPr>
            <w:r>
              <w:rPr>
                <w:rFonts w:ascii="Arial" w:cs="Arial" w:eastAsia="Arial" w:hAnsi="Arial"/>
                <w:sz w:val="18"/>
                <w:szCs w:val="18"/>
                <w:color w:val="auto"/>
              </w:rPr>
              <w:t>Total identified intangible assets</w:t>
            </w:r>
          </w:p>
        </w:tc>
        <w:tc>
          <w:tcPr>
            <w:tcW w:w="44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422,196</w:t>
            </w: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w w:val="85"/>
              </w:rPr>
              <w:t>(103,399)</w:t>
            </w:r>
          </w:p>
        </w:tc>
        <w:tc>
          <w:tcPr>
            <w:tcW w:w="2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434,728</w:t>
            </w: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w w:val="98"/>
              </w:rPr>
              <w:t>(84,804)</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44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8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88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4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1,686,674</w:t>
            </w:r>
          </w:p>
        </w:tc>
        <w:tc>
          <w:tcPr>
            <w:tcW w:w="4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6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w w:val="85"/>
              </w:rPr>
              <w:t>(345,454)</w:t>
            </w:r>
          </w:p>
        </w:tc>
        <w:tc>
          <w:tcPr>
            <w:tcW w:w="2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1,674,142</w:t>
            </w:r>
          </w:p>
        </w:tc>
        <w:tc>
          <w:tcPr>
            <w:tcW w:w="4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6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w w:val="85"/>
              </w:rPr>
              <w:t>(343,326)</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44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2880" w:type="dxa"/>
            <w:vAlign w:val="bottom"/>
          </w:tcPr>
          <w:p>
            <w:pPr>
              <w:ind w:left="200"/>
              <w:spacing w:after="0"/>
              <w:rPr>
                <w:sz w:val="20"/>
                <w:szCs w:val="20"/>
                <w:color w:val="auto"/>
              </w:rPr>
            </w:pPr>
            <w:r>
              <w:rPr>
                <w:rFonts w:ascii="Arial" w:cs="Arial" w:eastAsia="Arial" w:hAnsi="Arial"/>
                <w:sz w:val="18"/>
                <w:szCs w:val="18"/>
                <w:color w:val="auto"/>
              </w:rPr>
              <w:t>Total intangible assets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2,108,870</w:t>
            </w:r>
          </w:p>
        </w:tc>
        <w:tc>
          <w:tcPr>
            <w:tcW w:w="420" w:type="dxa"/>
            <w:vAlign w:val="bottom"/>
          </w:tcPr>
          <w:p>
            <w:pPr>
              <w:spacing w:after="0"/>
              <w:rPr>
                <w:sz w:val="24"/>
                <w:szCs w:val="24"/>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w w:val="85"/>
              </w:rPr>
              <w:t>(449,453)</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2,108,870</w:t>
            </w:r>
          </w:p>
        </w:tc>
        <w:tc>
          <w:tcPr>
            <w:tcW w:w="420" w:type="dxa"/>
            <w:vAlign w:val="bottom"/>
          </w:tcPr>
          <w:p>
            <w:pPr>
              <w:spacing w:after="0"/>
              <w:rPr>
                <w:sz w:val="24"/>
                <w:szCs w:val="24"/>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w w:val="85"/>
              </w:rPr>
              <w:t>(428,130)</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44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720" w:type="dxa"/>
            <w:vAlign w:val="bottom"/>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880" w:type="dxa"/>
            <w:vAlign w:val="bottom"/>
          </w:tcPr>
          <w:p>
            <w:pPr>
              <w:spacing w:after="0"/>
              <w:rPr>
                <w:sz w:val="5"/>
                <w:szCs w:val="5"/>
                <w:color w:val="auto"/>
              </w:rPr>
            </w:pPr>
          </w:p>
        </w:tc>
        <w:tc>
          <w:tcPr>
            <w:tcW w:w="44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2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2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2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jc w:val="both"/>
        <w:ind w:firstLine="216"/>
        <w:spacing w:after="0" w:line="259" w:lineRule="auto"/>
        <w:rPr>
          <w:sz w:val="20"/>
          <w:szCs w:val="20"/>
          <w:color w:val="auto"/>
        </w:rPr>
      </w:pPr>
      <w:r>
        <w:rPr>
          <w:rFonts w:ascii="Arial" w:cs="Arial" w:eastAsia="Arial" w:hAnsi="Arial"/>
          <w:sz w:val="18"/>
          <w:szCs w:val="18"/>
          <w:color w:val="auto"/>
        </w:rPr>
        <w:t>The aggregate amortization expense of identified intangible assets was $21.3 million and $20.8 million in the first quarter of 2003 and 2002, respectively. The estimated total amortization expenses of acquired intangible assets is $85.3 million for fiscal years 2003, 2004, and 2005, respectively and $83.6 million for fiscal year 2006.</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loss per share</w:t>
      </w:r>
    </w:p>
    <w:p>
      <w:pPr>
        <w:spacing w:after="0" w:line="231" w:lineRule="exact"/>
        <w:rPr>
          <w:sz w:val="20"/>
          <w:szCs w:val="20"/>
          <w:color w:val="auto"/>
        </w:rPr>
      </w:pPr>
    </w:p>
    <w:p>
      <w:pPr>
        <w:jc w:val="both"/>
        <w:ind w:right="60" w:firstLine="216"/>
        <w:spacing w:after="0" w:line="335" w:lineRule="auto"/>
        <w:rPr>
          <w:sz w:val="20"/>
          <w:szCs w:val="20"/>
          <w:color w:val="auto"/>
        </w:rPr>
      </w:pPr>
      <w:r>
        <w:rPr>
          <w:rFonts w:ascii="Arial" w:cs="Arial" w:eastAsia="Arial" w:hAnsi="Arial"/>
          <w:sz w:val="15"/>
          <w:szCs w:val="15"/>
          <w:color w:val="auto"/>
        </w:rPr>
        <w:t>The Company reports both basic net loss per share, which is based upon the weighted average number of common shares outstanding excluding contingently issuable or returnable shares, and diluted net loss per share, which is based on the weighted average number of common shares outstanding and dilutive potential common shares. The computations of basic and diluted net loss per share are presented in the following table (in thousands, except per share amounts):</w:t>
      </w:r>
    </w:p>
    <w:p>
      <w:pPr>
        <w:spacing w:after="0" w:line="370"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2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160" w:type="dxa"/>
            <w:vAlign w:val="bottom"/>
            <w:gridSpan w:val="5"/>
          </w:tcPr>
          <w:p>
            <w:pPr>
              <w:jc w:val="right"/>
              <w:ind w:right="1020"/>
              <w:spacing w:after="0"/>
              <w:rPr>
                <w:sz w:val="20"/>
                <w:szCs w:val="20"/>
                <w:color w:val="auto"/>
              </w:rPr>
            </w:pPr>
            <w:r>
              <w:rPr>
                <w:rFonts w:ascii="Arial" w:cs="Arial" w:eastAsia="Arial" w:hAnsi="Arial"/>
                <w:sz w:val="14"/>
                <w:szCs w:val="14"/>
                <w:color w:val="auto"/>
                <w:w w:val="85"/>
              </w:rPr>
              <w:t>Three Months Ended</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2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4"/>
                <w:szCs w:val="14"/>
                <w:color w:val="auto"/>
                <w:w w:val="93"/>
              </w:rPr>
              <w:t>April 30,</w:t>
            </w:r>
          </w:p>
        </w:tc>
        <w:tc>
          <w:tcPr>
            <w:tcW w:w="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22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80" w:type="dxa"/>
            <w:vAlign w:val="bottom"/>
          </w:tcPr>
          <w:p>
            <w:pPr>
              <w:jc w:val="right"/>
              <w:ind w:right="74"/>
              <w:spacing w:after="0"/>
              <w:rPr>
                <w:sz w:val="20"/>
                <w:szCs w:val="20"/>
                <w:color w:val="auto"/>
              </w:rPr>
            </w:pPr>
            <w:r>
              <w:rPr>
                <w:rFonts w:ascii="Arial" w:cs="Arial" w:eastAsia="Arial" w:hAnsi="Arial"/>
                <w:sz w:val="14"/>
                <w:szCs w:val="14"/>
                <w:color w:val="auto"/>
              </w:rPr>
              <w:t>2002</w:t>
            </w:r>
          </w:p>
        </w:tc>
        <w:tc>
          <w:tcPr>
            <w:tcW w:w="6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40" w:type="dxa"/>
            <w:vAlign w:val="bottom"/>
          </w:tcPr>
          <w:p>
            <w:pPr>
              <w:jc w:val="right"/>
              <w:ind w:right="94"/>
              <w:spacing w:after="0"/>
              <w:rPr>
                <w:sz w:val="20"/>
                <w:szCs w:val="20"/>
                <w:color w:val="auto"/>
              </w:rPr>
            </w:pPr>
            <w:r>
              <w:rPr>
                <w:rFonts w:ascii="Arial" w:cs="Arial" w:eastAsia="Arial" w:hAnsi="Arial"/>
                <w:sz w:val="14"/>
                <w:szCs w:val="14"/>
                <w:color w:val="auto"/>
              </w:rPr>
              <w:t>2001</w:t>
            </w:r>
          </w:p>
        </w:tc>
        <w:tc>
          <w:tcPr>
            <w:tcW w:w="4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22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320" w:type="dxa"/>
            <w:vAlign w:val="bottom"/>
          </w:tcPr>
          <w:p>
            <w:pPr>
              <w:spacing w:after="0"/>
              <w:rPr>
                <w:sz w:val="8"/>
                <w:szCs w:val="8"/>
                <w:color w:val="auto"/>
              </w:rPr>
            </w:pPr>
          </w:p>
        </w:tc>
        <w:tc>
          <w:tcPr>
            <w:tcW w:w="32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Net loss</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(30,934)</w:t>
            </w: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380"/>
              <w:spacing w:after="0"/>
              <w:rPr>
                <w:sz w:val="20"/>
                <w:szCs w:val="20"/>
                <w:color w:val="auto"/>
              </w:rPr>
            </w:pPr>
            <w:r>
              <w:rPr>
                <w:rFonts w:ascii="Arial" w:cs="Arial" w:eastAsia="Arial" w:hAnsi="Arial"/>
                <w:sz w:val="18"/>
                <w:szCs w:val="18"/>
                <w:color w:val="auto"/>
                <w:w w:val="88"/>
              </w:rPr>
              <w:t>(104,966)</w:t>
            </w: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4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320" w:type="dxa"/>
            <w:vAlign w:val="bottom"/>
          </w:tcPr>
          <w:p>
            <w:pPr>
              <w:spacing w:after="0"/>
              <w:rPr>
                <w:sz w:val="8"/>
                <w:szCs w:val="8"/>
                <w:color w:val="auto"/>
              </w:rPr>
            </w:pPr>
          </w:p>
        </w:tc>
        <w:tc>
          <w:tcPr>
            <w:tcW w:w="32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Pr>
          <w:p>
            <w:pPr>
              <w:spacing w:after="0"/>
              <w:rPr>
                <w:sz w:val="9"/>
                <w:szCs w:val="9"/>
                <w:color w:val="auto"/>
              </w:rPr>
            </w:pPr>
          </w:p>
        </w:tc>
        <w:tc>
          <w:tcPr>
            <w:tcW w:w="3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tcPr>
          <w:p>
            <w:pPr>
              <w:spacing w:after="0"/>
              <w:rPr>
                <w:sz w:val="20"/>
                <w:szCs w:val="20"/>
                <w:color w:val="auto"/>
              </w:rPr>
            </w:pPr>
            <w:r>
              <w:rPr>
                <w:rFonts w:ascii="Arial" w:cs="Arial" w:eastAsia="Arial" w:hAnsi="Arial"/>
                <w:sz w:val="18"/>
                <w:szCs w:val="18"/>
                <w:color w:val="auto"/>
                <w:w w:val="94"/>
              </w:rPr>
              <w:t>Weighted average shares of common stock outstanding</w:t>
            </w:r>
          </w:p>
        </w:tc>
        <w:tc>
          <w:tcPr>
            <w:tcW w:w="3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119,040</w:t>
            </w: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115,342</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w w:val="97"/>
              </w:rPr>
              <w:t>Less: unvested common shares subject to repurchase</w:t>
            </w:r>
          </w:p>
        </w:tc>
        <w:tc>
          <w:tcPr>
            <w:tcW w:w="3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(951)</w:t>
            </w: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8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(2,825)</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Pr>
          <w:p>
            <w:pPr>
              <w:spacing w:after="0"/>
              <w:rPr>
                <w:sz w:val="9"/>
                <w:szCs w:val="9"/>
                <w:color w:val="auto"/>
              </w:rPr>
            </w:pPr>
          </w:p>
        </w:tc>
        <w:tc>
          <w:tcPr>
            <w:tcW w:w="3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220" w:type="dxa"/>
            <w:vAlign w:val="bottom"/>
          </w:tcPr>
          <w:p>
            <w:pPr>
              <w:ind w:left="300"/>
              <w:spacing w:after="0"/>
              <w:rPr>
                <w:sz w:val="20"/>
                <w:szCs w:val="20"/>
                <w:color w:val="auto"/>
              </w:rPr>
            </w:pPr>
            <w:r>
              <w:rPr>
                <w:rFonts w:ascii="Arial" w:cs="Arial" w:eastAsia="Arial" w:hAnsi="Arial"/>
                <w:sz w:val="18"/>
                <w:szCs w:val="18"/>
                <w:color w:val="auto"/>
              </w:rPr>
              <w:t>Weighted average shares — basic</w:t>
            </w:r>
          </w:p>
        </w:tc>
        <w:tc>
          <w:tcPr>
            <w:tcW w:w="3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118,089</w:t>
            </w: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112,517</w:t>
            </w:r>
          </w:p>
        </w:tc>
        <w:tc>
          <w:tcPr>
            <w:tcW w:w="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Pr>
          <w:p>
            <w:pPr>
              <w:spacing w:after="0"/>
              <w:rPr>
                <w:sz w:val="9"/>
                <w:szCs w:val="9"/>
                <w:color w:val="auto"/>
              </w:rPr>
            </w:pPr>
          </w:p>
        </w:tc>
        <w:tc>
          <w:tcPr>
            <w:tcW w:w="3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320" w:type="dxa"/>
            <w:vAlign w:val="bottom"/>
          </w:tcPr>
          <w:p>
            <w:pPr>
              <w:spacing w:after="0"/>
              <w:rPr>
                <w:sz w:val="8"/>
                <w:szCs w:val="8"/>
                <w:color w:val="auto"/>
              </w:rPr>
            </w:pPr>
          </w:p>
        </w:tc>
        <w:tc>
          <w:tcPr>
            <w:tcW w:w="32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38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3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8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Pr>
          <w:p>
            <w:pPr>
              <w:spacing w:after="0"/>
              <w:rPr>
                <w:sz w:val="9"/>
                <w:szCs w:val="9"/>
                <w:color w:val="auto"/>
              </w:rPr>
            </w:pPr>
          </w:p>
        </w:tc>
        <w:tc>
          <w:tcPr>
            <w:tcW w:w="3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220" w:type="dxa"/>
            <w:vAlign w:val="bottom"/>
          </w:tcPr>
          <w:p>
            <w:pPr>
              <w:ind w:left="300"/>
              <w:spacing w:after="0"/>
              <w:rPr>
                <w:sz w:val="20"/>
                <w:szCs w:val="20"/>
                <w:color w:val="auto"/>
              </w:rPr>
            </w:pPr>
            <w:r>
              <w:rPr>
                <w:rFonts w:ascii="Arial" w:cs="Arial" w:eastAsia="Arial" w:hAnsi="Arial"/>
                <w:sz w:val="18"/>
                <w:szCs w:val="18"/>
                <w:color w:val="auto"/>
              </w:rPr>
              <w:t>Weighted average shares — diluted</w:t>
            </w:r>
          </w:p>
        </w:tc>
        <w:tc>
          <w:tcPr>
            <w:tcW w:w="3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118,089</w:t>
            </w: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112,517</w:t>
            </w:r>
          </w:p>
        </w:tc>
        <w:tc>
          <w:tcPr>
            <w:tcW w:w="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Pr>
          <w:p>
            <w:pPr>
              <w:spacing w:after="0"/>
              <w:rPr>
                <w:sz w:val="9"/>
                <w:szCs w:val="9"/>
                <w:color w:val="auto"/>
              </w:rPr>
            </w:pPr>
          </w:p>
        </w:tc>
        <w:tc>
          <w:tcPr>
            <w:tcW w:w="3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Pr>
          <w:p>
            <w:pPr>
              <w:spacing w:after="0"/>
              <w:rPr>
                <w:sz w:val="9"/>
                <w:szCs w:val="9"/>
                <w:color w:val="auto"/>
              </w:rPr>
            </w:pPr>
          </w:p>
        </w:tc>
        <w:tc>
          <w:tcPr>
            <w:tcW w:w="3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Basic net loss per share</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(0.26)</w:t>
            </w:r>
          </w:p>
        </w:tc>
        <w:tc>
          <w:tcPr>
            <w:tcW w:w="10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(0.93)</w:t>
            </w:r>
          </w:p>
        </w:tc>
        <w:tc>
          <w:tcPr>
            <w:tcW w:w="0" w:type="dxa"/>
            <w:vAlign w:val="bottom"/>
          </w:tcPr>
          <w:p>
            <w:pPr>
              <w:spacing w:after="0"/>
              <w:rPr>
                <w:sz w:val="1"/>
                <w:szCs w:val="1"/>
                <w:color w:val="auto"/>
              </w:rPr>
            </w:pPr>
          </w:p>
        </w:tc>
      </w:tr>
      <w:tr>
        <w:trPr>
          <w:trHeight w:val="105"/>
        </w:trPr>
        <w:tc>
          <w:tcPr>
            <w:tcW w:w="4240" w:type="dxa"/>
            <w:vAlign w:val="bottom"/>
            <w:gridSpan w:val="2"/>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1080" w:type="dxa"/>
            <w:vAlign w:val="bottom"/>
            <w:gridSpan w:val="3"/>
          </w:tcPr>
          <w:p>
            <w:pPr>
              <w:spacing w:after="0"/>
              <w:rPr>
                <w:sz w:val="9"/>
                <w:szCs w:val="9"/>
                <w:color w:val="auto"/>
              </w:rPr>
            </w:pPr>
          </w:p>
        </w:tc>
        <w:tc>
          <w:tcPr>
            <w:tcW w:w="108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240" w:type="dxa"/>
            <w:vAlign w:val="bottom"/>
            <w:gridSpan w:val="2"/>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1080" w:type="dxa"/>
            <w:vAlign w:val="bottom"/>
            <w:gridSpan w:val="3"/>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4240" w:type="dxa"/>
            <w:vAlign w:val="bottom"/>
            <w:gridSpan w:val="2"/>
          </w:tcPr>
          <w:p>
            <w:pPr>
              <w:spacing w:after="0"/>
              <w:rPr>
                <w:sz w:val="20"/>
                <w:szCs w:val="20"/>
                <w:color w:val="auto"/>
              </w:rPr>
            </w:pPr>
            <w:r>
              <w:rPr>
                <w:rFonts w:ascii="Arial" w:cs="Arial" w:eastAsia="Arial" w:hAnsi="Arial"/>
                <w:sz w:val="18"/>
                <w:szCs w:val="18"/>
                <w:color w:val="auto"/>
              </w:rPr>
              <w:t>Diluted net loss per share</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(0.26)</w:t>
            </w: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380"/>
              <w:spacing w:after="0"/>
              <w:rPr>
                <w:sz w:val="20"/>
                <w:szCs w:val="20"/>
                <w:color w:val="auto"/>
              </w:rPr>
            </w:pPr>
            <w:r>
              <w:rPr>
                <w:rFonts w:ascii="Arial" w:cs="Arial" w:eastAsia="Arial" w:hAnsi="Arial"/>
                <w:sz w:val="18"/>
                <w:szCs w:val="18"/>
                <w:color w:val="auto"/>
              </w:rPr>
              <w:t>(0.93)</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Pr>
          <w:p>
            <w:pPr>
              <w:spacing w:after="0"/>
              <w:rPr>
                <w:sz w:val="9"/>
                <w:szCs w:val="9"/>
                <w:color w:val="auto"/>
              </w:rPr>
            </w:pPr>
          </w:p>
        </w:tc>
        <w:tc>
          <w:tcPr>
            <w:tcW w:w="32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firstLine="220"/>
        <w:spacing w:after="0" w:line="294" w:lineRule="auto"/>
        <w:rPr>
          <w:sz w:val="20"/>
          <w:szCs w:val="20"/>
          <w:color w:val="auto"/>
        </w:rPr>
      </w:pPr>
      <w:r>
        <w:rPr>
          <w:rFonts w:ascii="Arial" w:cs="Arial" w:eastAsia="Arial" w:hAnsi="Arial"/>
          <w:sz w:val="16"/>
          <w:szCs w:val="16"/>
          <w:color w:val="auto"/>
        </w:rPr>
        <w:t>Options to purchase 13,410,429 common shares at a weighted average exercise price of $14.52 per share have been excluded from the computations of diluted net loss per share for the three months ended April 30, 2002, and options to purchase 9,813,972 common shares at a weighted average exercise price of $6.36 per share have been excluded from the computations of diluted net loss per shares for the three months ended April 30, 2001, as their effect would have been anti-dilutive. Additionally, 950,660 and 2,824,882 common shares subject to repurchase by the Company have been excluded from the computations of diluted net loss per share for the three months ended April 30, 2002 and 2001, respectively, as their effect would have been anti-dilutive.</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loss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components of comprehensive loss, net of tax, are presented in the following table (in thousands):</w:t>
      </w:r>
    </w:p>
    <w:p>
      <w:pPr>
        <w:spacing w:after="0" w:line="200" w:lineRule="exact"/>
        <w:rPr>
          <w:sz w:val="20"/>
          <w:szCs w:val="20"/>
          <w:color w:val="auto"/>
        </w:rPr>
      </w:pPr>
    </w:p>
    <w:p>
      <w:pPr>
        <w:spacing w:after="0" w:line="253"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5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60" w:type="dxa"/>
            <w:vAlign w:val="bottom"/>
            <w:gridSpan w:val="5"/>
          </w:tcPr>
          <w:p>
            <w:pPr>
              <w:jc w:val="right"/>
              <w:ind w:right="880"/>
              <w:spacing w:after="0"/>
              <w:rPr>
                <w:sz w:val="20"/>
                <w:szCs w:val="20"/>
                <w:color w:val="auto"/>
              </w:rPr>
            </w:pPr>
            <w:r>
              <w:rPr>
                <w:rFonts w:ascii="Arial" w:cs="Arial" w:eastAsia="Arial" w:hAnsi="Arial"/>
                <w:sz w:val="14"/>
                <w:szCs w:val="14"/>
                <w:color w:val="auto"/>
                <w:w w:val="88"/>
              </w:rPr>
              <w:t>Three Months Ended</w:t>
            </w:r>
          </w:p>
        </w:tc>
      </w:tr>
      <w:tr>
        <w:trPr>
          <w:trHeight w:val="172"/>
        </w:trPr>
        <w:tc>
          <w:tcPr>
            <w:tcW w:w="5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760" w:type="dxa"/>
            <w:vAlign w:val="bottom"/>
            <w:gridSpan w:val="4"/>
          </w:tcPr>
          <w:p>
            <w:pPr>
              <w:jc w:val="right"/>
              <w:ind w:right="1220"/>
              <w:spacing w:after="0"/>
              <w:rPr>
                <w:sz w:val="20"/>
                <w:szCs w:val="20"/>
                <w:color w:val="auto"/>
              </w:rPr>
            </w:pPr>
            <w:r>
              <w:rPr>
                <w:rFonts w:ascii="Arial" w:cs="Arial" w:eastAsia="Arial" w:hAnsi="Arial"/>
                <w:sz w:val="14"/>
                <w:szCs w:val="14"/>
                <w:color w:val="auto"/>
              </w:rPr>
              <w:t>April 30,</w:t>
            </w:r>
          </w:p>
        </w:tc>
      </w:tr>
      <w:tr>
        <w:trPr>
          <w:trHeight w:val="95"/>
        </w:trPr>
        <w:tc>
          <w:tcPr>
            <w:tcW w:w="56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r>
      <w:tr>
        <w:trPr>
          <w:trHeight w:val="263"/>
        </w:trPr>
        <w:tc>
          <w:tcPr>
            <w:tcW w:w="5620" w:type="dxa"/>
            <w:vAlign w:val="bottom"/>
          </w:tcPr>
          <w:p>
            <w:pPr>
              <w:spacing w:after="0"/>
              <w:rPr>
                <w:sz w:val="22"/>
                <w:szCs w:val="22"/>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4"/>
                <w:szCs w:val="14"/>
                <w:color w:val="auto"/>
              </w:rPr>
              <w:t>2002</w:t>
            </w:r>
          </w:p>
        </w:tc>
        <w:tc>
          <w:tcPr>
            <w:tcW w:w="300" w:type="dxa"/>
            <w:vAlign w:val="bottom"/>
          </w:tcPr>
          <w:p>
            <w:pPr>
              <w:spacing w:after="0"/>
              <w:rPr>
                <w:sz w:val="22"/>
                <w:szCs w:val="22"/>
                <w:color w:val="auto"/>
              </w:rPr>
            </w:pPr>
          </w:p>
        </w:tc>
        <w:tc>
          <w:tcPr>
            <w:tcW w:w="1400" w:type="dxa"/>
            <w:vAlign w:val="bottom"/>
            <w:gridSpan w:val="3"/>
          </w:tcPr>
          <w:p>
            <w:pPr>
              <w:jc w:val="right"/>
              <w:ind w:right="200"/>
              <w:spacing w:after="0"/>
              <w:rPr>
                <w:sz w:val="20"/>
                <w:szCs w:val="20"/>
                <w:color w:val="auto"/>
              </w:rPr>
            </w:pPr>
            <w:r>
              <w:rPr>
                <w:rFonts w:ascii="Arial" w:cs="Arial" w:eastAsia="Arial" w:hAnsi="Arial"/>
                <w:sz w:val="14"/>
                <w:szCs w:val="14"/>
                <w:color w:val="auto"/>
              </w:rPr>
              <w:t>2001</w:t>
            </w:r>
          </w:p>
        </w:tc>
        <w:tc>
          <w:tcPr>
            <w:tcW w:w="360" w:type="dxa"/>
            <w:vAlign w:val="bottom"/>
          </w:tcPr>
          <w:p>
            <w:pPr>
              <w:spacing w:after="0"/>
              <w:rPr>
                <w:sz w:val="22"/>
                <w:szCs w:val="22"/>
                <w:color w:val="auto"/>
              </w:rPr>
            </w:pPr>
          </w:p>
        </w:tc>
      </w:tr>
      <w:tr>
        <w:trPr>
          <w:trHeight w:val="95"/>
        </w:trPr>
        <w:tc>
          <w:tcPr>
            <w:tcW w:w="56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r>
      <w:tr>
        <w:trPr>
          <w:trHeight w:val="102"/>
        </w:trPr>
        <w:tc>
          <w:tcPr>
            <w:tcW w:w="5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r>
      <w:tr>
        <w:trPr>
          <w:trHeight w:val="216"/>
        </w:trPr>
        <w:tc>
          <w:tcPr>
            <w:tcW w:w="5620" w:type="dxa"/>
            <w:vAlign w:val="bottom"/>
            <w:shd w:val="clear" w:color="auto" w:fill="EEEEEE"/>
          </w:tcPr>
          <w:p>
            <w:pPr>
              <w:spacing w:after="0"/>
              <w:rPr>
                <w:sz w:val="20"/>
                <w:szCs w:val="20"/>
                <w:color w:val="auto"/>
              </w:rPr>
            </w:pPr>
            <w:r>
              <w:rPr>
                <w:rFonts w:ascii="Arial" w:cs="Arial" w:eastAsia="Arial" w:hAnsi="Arial"/>
                <w:sz w:val="18"/>
                <w:szCs w:val="18"/>
                <w:color w:val="auto"/>
              </w:rPr>
              <w:t>Net loss</w:t>
            </w:r>
          </w:p>
        </w:tc>
        <w:tc>
          <w:tcPr>
            <w:tcW w:w="1160" w:type="dxa"/>
            <w:vAlign w:val="bottom"/>
            <w:gridSpan w:val="3"/>
            <w:shd w:val="clear" w:color="auto" w:fill="EEEEEE"/>
          </w:tcPr>
          <w:p>
            <w:pPr>
              <w:jc w:val="right"/>
              <w:ind w:right="172"/>
              <w:spacing w:after="0"/>
              <w:rPr>
                <w:sz w:val="20"/>
                <w:szCs w:val="20"/>
                <w:color w:val="auto"/>
              </w:rPr>
            </w:pPr>
            <w:r>
              <w:rPr>
                <w:rFonts w:ascii="Arial" w:cs="Arial" w:eastAsia="Arial" w:hAnsi="Arial"/>
                <w:sz w:val="18"/>
                <w:szCs w:val="18"/>
                <w:color w:val="auto"/>
              </w:rPr>
              <w:t>$(30,934)</w:t>
            </w:r>
          </w:p>
        </w:tc>
        <w:tc>
          <w:tcPr>
            <w:tcW w:w="1760" w:type="dxa"/>
            <w:vAlign w:val="bottom"/>
            <w:gridSpan w:val="4"/>
            <w:shd w:val="clear" w:color="auto" w:fill="EEEEEE"/>
          </w:tcPr>
          <w:p>
            <w:pPr>
              <w:jc w:val="right"/>
              <w:ind w:right="320"/>
              <w:spacing w:after="0"/>
              <w:rPr>
                <w:sz w:val="20"/>
                <w:szCs w:val="20"/>
                <w:color w:val="auto"/>
              </w:rPr>
            </w:pPr>
            <w:r>
              <w:rPr>
                <w:rFonts w:ascii="Arial" w:cs="Arial" w:eastAsia="Arial" w:hAnsi="Arial"/>
                <w:sz w:val="18"/>
                <w:szCs w:val="18"/>
                <w:color w:val="auto"/>
              </w:rPr>
              <w:t>$(104,966)</w:t>
            </w:r>
          </w:p>
        </w:tc>
      </w:tr>
      <w:tr>
        <w:trPr>
          <w:trHeight w:val="216"/>
        </w:trPr>
        <w:tc>
          <w:tcPr>
            <w:tcW w:w="562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3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60" w:type="dxa"/>
            <w:vAlign w:val="bottom"/>
          </w:tcPr>
          <w:p>
            <w:pPr>
              <w:spacing w:after="0"/>
              <w:rPr>
                <w:sz w:val="18"/>
                <w:szCs w:val="18"/>
                <w:color w:val="auto"/>
              </w:rPr>
            </w:pPr>
          </w:p>
        </w:tc>
      </w:tr>
      <w:tr>
        <w:trPr>
          <w:trHeight w:val="216"/>
        </w:trPr>
        <w:tc>
          <w:tcPr>
            <w:tcW w:w="5620" w:type="dxa"/>
            <w:vAlign w:val="bottom"/>
            <w:shd w:val="clear" w:color="auto" w:fill="EEEEEE"/>
          </w:tcPr>
          <w:p>
            <w:pPr>
              <w:spacing w:after="0"/>
              <w:rPr>
                <w:sz w:val="20"/>
                <w:szCs w:val="20"/>
                <w:color w:val="auto"/>
              </w:rPr>
            </w:pPr>
            <w:r>
              <w:rPr>
                <w:rFonts w:ascii="Arial" w:cs="Arial" w:eastAsia="Arial" w:hAnsi="Arial"/>
                <w:sz w:val="18"/>
                <w:szCs w:val="18"/>
                <w:color w:val="auto"/>
              </w:rPr>
              <w:t>Unrealized gains (losses) on available-for-sale investments</w:t>
            </w:r>
          </w:p>
        </w:tc>
        <w:tc>
          <w:tcPr>
            <w:tcW w:w="1160" w:type="dxa"/>
            <w:vAlign w:val="bottom"/>
            <w:gridSpan w:val="3"/>
            <w:shd w:val="clear" w:color="auto" w:fill="EEEEEE"/>
          </w:tcPr>
          <w:p>
            <w:pPr>
              <w:jc w:val="right"/>
              <w:ind w:right="172"/>
              <w:spacing w:after="0"/>
              <w:rPr>
                <w:sz w:val="20"/>
                <w:szCs w:val="20"/>
                <w:color w:val="auto"/>
              </w:rPr>
            </w:pPr>
            <w:r>
              <w:rPr>
                <w:rFonts w:ascii="Arial" w:cs="Arial" w:eastAsia="Arial" w:hAnsi="Arial"/>
                <w:sz w:val="18"/>
                <w:szCs w:val="18"/>
                <w:color w:val="auto"/>
              </w:rPr>
              <w:t>(558)</w:t>
            </w:r>
          </w:p>
        </w:tc>
        <w:tc>
          <w:tcPr>
            <w:tcW w:w="14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21</w:t>
            </w:r>
          </w:p>
        </w:tc>
        <w:tc>
          <w:tcPr>
            <w:tcW w:w="360" w:type="dxa"/>
            <w:vAlign w:val="bottom"/>
            <w:shd w:val="clear" w:color="auto" w:fill="EEEEEE"/>
          </w:tcPr>
          <w:p>
            <w:pPr>
              <w:spacing w:after="0"/>
              <w:rPr>
                <w:sz w:val="18"/>
                <w:szCs w:val="18"/>
                <w:color w:val="auto"/>
              </w:rPr>
            </w:pPr>
          </w:p>
        </w:tc>
      </w:tr>
      <w:tr>
        <w:trPr>
          <w:trHeight w:val="108"/>
        </w:trPr>
        <w:tc>
          <w:tcPr>
            <w:tcW w:w="562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76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r>
      <w:tr>
        <w:trPr>
          <w:trHeight w:val="316"/>
        </w:trPr>
        <w:tc>
          <w:tcPr>
            <w:tcW w:w="5620" w:type="dxa"/>
            <w:vAlign w:val="bottom"/>
          </w:tcPr>
          <w:p>
            <w:pPr>
              <w:spacing w:after="0"/>
              <w:rPr>
                <w:sz w:val="20"/>
                <w:szCs w:val="20"/>
                <w:color w:val="auto"/>
              </w:rPr>
            </w:pPr>
            <w:r>
              <w:rPr>
                <w:rFonts w:ascii="Arial" w:cs="Arial" w:eastAsia="Arial" w:hAnsi="Arial"/>
                <w:sz w:val="18"/>
                <w:szCs w:val="18"/>
                <w:color w:val="auto"/>
              </w:rPr>
              <w:t>Total comprehensive loss</w:t>
            </w:r>
          </w:p>
        </w:tc>
        <w:tc>
          <w:tcPr>
            <w:tcW w:w="1160" w:type="dxa"/>
            <w:vAlign w:val="bottom"/>
            <w:gridSpan w:val="3"/>
          </w:tcPr>
          <w:p>
            <w:pPr>
              <w:jc w:val="right"/>
              <w:ind w:right="172"/>
              <w:spacing w:after="0"/>
              <w:rPr>
                <w:sz w:val="20"/>
                <w:szCs w:val="20"/>
                <w:color w:val="auto"/>
              </w:rPr>
            </w:pPr>
            <w:r>
              <w:rPr>
                <w:rFonts w:ascii="Arial" w:cs="Arial" w:eastAsia="Arial" w:hAnsi="Arial"/>
                <w:sz w:val="18"/>
                <w:szCs w:val="18"/>
                <w:color w:val="auto"/>
              </w:rPr>
              <w:t>$(31,492)</w:t>
            </w:r>
          </w:p>
        </w:tc>
        <w:tc>
          <w:tcPr>
            <w:tcW w:w="1760" w:type="dxa"/>
            <w:vAlign w:val="bottom"/>
            <w:gridSpan w:val="4"/>
          </w:tcPr>
          <w:p>
            <w:pPr>
              <w:jc w:val="right"/>
              <w:ind w:right="320"/>
              <w:spacing w:after="0"/>
              <w:rPr>
                <w:sz w:val="20"/>
                <w:szCs w:val="20"/>
                <w:color w:val="auto"/>
              </w:rPr>
            </w:pPr>
            <w:r>
              <w:rPr>
                <w:rFonts w:ascii="Arial" w:cs="Arial" w:eastAsia="Arial" w:hAnsi="Arial"/>
                <w:sz w:val="18"/>
                <w:szCs w:val="18"/>
                <w:color w:val="auto"/>
              </w:rPr>
              <w:t>$(104,945)</w:t>
            </w:r>
          </w:p>
        </w:tc>
      </w:tr>
      <w:tr>
        <w:trPr>
          <w:trHeight w:val="107"/>
        </w:trPr>
        <w:tc>
          <w:tcPr>
            <w:tcW w:w="562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r>
      <w:tr>
        <w:trPr>
          <w:trHeight w:val="61"/>
        </w:trPr>
        <w:tc>
          <w:tcPr>
            <w:tcW w:w="5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r>
    </w:tbl>
    <w:p>
      <w:pPr>
        <w:spacing w:after="0" w:line="313" w:lineRule="exact"/>
        <w:rPr>
          <w:sz w:val="20"/>
          <w:szCs w:val="20"/>
          <w:color w:val="auto"/>
        </w:rPr>
      </w:pPr>
    </w:p>
    <w:p>
      <w:pPr>
        <w:ind w:right="160" w:firstLine="210"/>
        <w:spacing w:after="0" w:line="268" w:lineRule="auto"/>
        <w:rPr>
          <w:sz w:val="20"/>
          <w:szCs w:val="20"/>
          <w:color w:val="auto"/>
        </w:rPr>
      </w:pPr>
      <w:r>
        <w:rPr>
          <w:rFonts w:ascii="Arial" w:cs="Arial" w:eastAsia="Arial" w:hAnsi="Arial"/>
          <w:sz w:val="18"/>
          <w:szCs w:val="18"/>
          <w:color w:val="auto"/>
        </w:rPr>
        <w:t>Accumulated other comprehensive income (loss), as presented on the accompanying condensed consolidated balance sheets, consists of the unrealized gains and losses on available-for-sale investments, net of tax.</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Facilities Consolidation Charge</w:t>
      </w:r>
    </w:p>
    <w:p>
      <w:pPr>
        <w:spacing w:after="0" w:line="231" w:lineRule="exact"/>
        <w:rPr>
          <w:sz w:val="20"/>
          <w:szCs w:val="20"/>
          <w:color w:val="auto"/>
        </w:rPr>
      </w:pPr>
    </w:p>
    <w:p>
      <w:pPr>
        <w:ind w:firstLine="220"/>
        <w:spacing w:after="0" w:line="289" w:lineRule="auto"/>
        <w:rPr>
          <w:sz w:val="20"/>
          <w:szCs w:val="20"/>
          <w:color w:val="auto"/>
        </w:rPr>
      </w:pPr>
      <w:r>
        <w:rPr>
          <w:rFonts w:ascii="Arial" w:cs="Arial" w:eastAsia="Arial" w:hAnsi="Arial"/>
          <w:sz w:val="16"/>
          <w:szCs w:val="16"/>
          <w:color w:val="auto"/>
        </w:rPr>
        <w:t>During the three months ended April 30, 2002, the Company recorded a $17.8 million charge associated with costs of consolidation of its facilities. This charge included $10.8 million in lease abandonment charges relating to the consolidation of the Company’s three facilities in the Silicon Valley into one single corporate location. This charge includes the remaining lease commitments of these facilities reduced by the estimated sublease income throughout the duration of the lease term. Facilities consolidation charge also includes $6.0 million consisting of the write-down of certain property and leasehold improvements associated with the abandoned facilities. Additionally, the Company incurred charges of $1.0 million through April 30, 2002 as a result of duplicate lease and other costs associated with the dual occupation of its current and abandoned facilities. The facilities consolidation charge is an estimate as of April 30, 2002 and may change as the Company obtains subleases for the abandoned facilities and sublease income is known. At April 30, 2002, payments of $1.2 million had been made in connection with this charge, and $16.6 million had been accrued and is payable through 2010.</w:t>
      </w:r>
    </w:p>
    <w:p>
      <w:pPr>
        <w:spacing w:after="0" w:line="17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A summary of the facilities consolidation charge is as follows (in thousands):</w:t>
      </w:r>
    </w:p>
    <w:p>
      <w:pPr>
        <w:spacing w:after="0" w:line="200" w:lineRule="exact"/>
        <w:rPr>
          <w:sz w:val="20"/>
          <w:szCs w:val="20"/>
          <w:color w:val="auto"/>
        </w:rPr>
      </w:pPr>
    </w:p>
    <w:p>
      <w:pPr>
        <w:spacing w:after="0" w:line="277" w:lineRule="exact"/>
        <w:rPr>
          <w:sz w:val="20"/>
          <w:szCs w:val="20"/>
          <w:color w:val="auto"/>
        </w:rPr>
      </w:pPr>
    </w:p>
    <w:tbl>
      <w:tblPr>
        <w:tblLayout w:type="fixed"/>
        <w:tblInd w:w="2000" w:type="dxa"/>
        <w:tblCellMar>
          <w:top w:w="0" w:type="dxa"/>
          <w:left w:w="0" w:type="dxa"/>
          <w:bottom w:w="0" w:type="dxa"/>
          <w:right w:w="0" w:type="dxa"/>
        </w:tblCellMar>
      </w:tblPr>
      <w:tr>
        <w:trPr>
          <w:trHeight w:val="216"/>
        </w:trPr>
        <w:tc>
          <w:tcPr>
            <w:tcW w:w="4920" w:type="dxa"/>
            <w:vAlign w:val="bottom"/>
            <w:shd w:val="clear" w:color="auto" w:fill="EEEEEE"/>
          </w:tcPr>
          <w:p>
            <w:pPr>
              <w:spacing w:after="0"/>
              <w:rPr>
                <w:sz w:val="20"/>
                <w:szCs w:val="20"/>
                <w:color w:val="auto"/>
              </w:rPr>
            </w:pPr>
            <w:r>
              <w:rPr>
                <w:rFonts w:ascii="Arial" w:cs="Arial" w:eastAsia="Arial" w:hAnsi="Arial"/>
                <w:sz w:val="18"/>
                <w:szCs w:val="18"/>
                <w:color w:val="auto"/>
              </w:rPr>
              <w:t>Accrued losses on abandoned leased facilities:</w:t>
            </w:r>
          </w:p>
        </w:tc>
        <w:tc>
          <w:tcPr>
            <w:tcW w:w="174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r>
      <w:tr>
        <w:trPr>
          <w:trHeight w:val="216"/>
        </w:trPr>
        <w:tc>
          <w:tcPr>
            <w:tcW w:w="4920" w:type="dxa"/>
            <w:vAlign w:val="bottom"/>
          </w:tcPr>
          <w:p>
            <w:pPr>
              <w:ind w:left="340"/>
              <w:spacing w:after="0"/>
              <w:rPr>
                <w:sz w:val="20"/>
                <w:szCs w:val="20"/>
                <w:color w:val="auto"/>
              </w:rPr>
            </w:pPr>
            <w:r>
              <w:rPr>
                <w:rFonts w:ascii="Arial" w:cs="Arial" w:eastAsia="Arial" w:hAnsi="Arial"/>
                <w:sz w:val="18"/>
                <w:szCs w:val="18"/>
                <w:color w:val="auto"/>
              </w:rPr>
              <w:t>Non-cancelable lease commitments</w:t>
            </w:r>
          </w:p>
        </w:tc>
        <w:tc>
          <w:tcPr>
            <w:tcW w:w="2240" w:type="dxa"/>
            <w:vAlign w:val="bottom"/>
            <w:gridSpan w:val="2"/>
          </w:tcPr>
          <w:p>
            <w:pPr>
              <w:jc w:val="right"/>
              <w:spacing w:after="0"/>
              <w:rPr>
                <w:sz w:val="20"/>
                <w:szCs w:val="20"/>
                <w:color w:val="auto"/>
              </w:rPr>
            </w:pPr>
            <w:r>
              <w:rPr>
                <w:rFonts w:ascii="Arial" w:cs="Arial" w:eastAsia="Arial" w:hAnsi="Arial"/>
                <w:sz w:val="18"/>
                <w:szCs w:val="18"/>
                <w:color w:val="auto"/>
              </w:rPr>
              <w:t>$10,847</w:t>
            </w:r>
          </w:p>
        </w:tc>
        <w:tc>
          <w:tcPr>
            <w:tcW w:w="260" w:type="dxa"/>
            <w:vAlign w:val="bottom"/>
          </w:tcPr>
          <w:p>
            <w:pPr>
              <w:spacing w:after="0"/>
              <w:rPr>
                <w:sz w:val="18"/>
                <w:szCs w:val="18"/>
                <w:color w:val="auto"/>
              </w:rPr>
            </w:pPr>
          </w:p>
        </w:tc>
      </w:tr>
      <w:tr>
        <w:trPr>
          <w:trHeight w:val="216"/>
        </w:trPr>
        <w:tc>
          <w:tcPr>
            <w:tcW w:w="4920" w:type="dxa"/>
            <w:vAlign w:val="bottom"/>
            <w:shd w:val="clear" w:color="auto" w:fill="EEEEEE"/>
          </w:tcPr>
          <w:p>
            <w:pPr>
              <w:ind w:left="340"/>
              <w:spacing w:after="0"/>
              <w:rPr>
                <w:sz w:val="20"/>
                <w:szCs w:val="20"/>
                <w:color w:val="auto"/>
              </w:rPr>
            </w:pPr>
            <w:r>
              <w:rPr>
                <w:rFonts w:ascii="Arial" w:cs="Arial" w:eastAsia="Arial" w:hAnsi="Arial"/>
                <w:sz w:val="18"/>
                <w:szCs w:val="18"/>
                <w:color w:val="auto"/>
              </w:rPr>
              <w:t>Property and leasehold improvements</w:t>
            </w:r>
          </w:p>
        </w:tc>
        <w:tc>
          <w:tcPr>
            <w:tcW w:w="22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5,999</w:t>
            </w:r>
          </w:p>
        </w:tc>
        <w:tc>
          <w:tcPr>
            <w:tcW w:w="260" w:type="dxa"/>
            <w:vAlign w:val="bottom"/>
            <w:shd w:val="clear" w:color="auto" w:fill="EEEEEE"/>
          </w:tcPr>
          <w:p>
            <w:pPr>
              <w:spacing w:after="0"/>
              <w:rPr>
                <w:sz w:val="18"/>
                <w:szCs w:val="18"/>
                <w:color w:val="auto"/>
              </w:rPr>
            </w:pPr>
          </w:p>
        </w:tc>
      </w:tr>
      <w:tr>
        <w:trPr>
          <w:trHeight w:val="222"/>
        </w:trPr>
        <w:tc>
          <w:tcPr>
            <w:tcW w:w="4920" w:type="dxa"/>
            <w:vAlign w:val="bottom"/>
          </w:tcPr>
          <w:p>
            <w:pPr>
              <w:spacing w:after="0"/>
              <w:rPr>
                <w:sz w:val="20"/>
                <w:szCs w:val="20"/>
                <w:color w:val="auto"/>
              </w:rPr>
            </w:pPr>
            <w:r>
              <w:rPr>
                <w:rFonts w:ascii="Arial" w:cs="Arial" w:eastAsia="Arial" w:hAnsi="Arial"/>
                <w:sz w:val="18"/>
                <w:szCs w:val="18"/>
                <w:color w:val="auto"/>
              </w:rPr>
              <w:t>Duplicate facility lease costs and other</w:t>
            </w:r>
          </w:p>
        </w:tc>
        <w:tc>
          <w:tcPr>
            <w:tcW w:w="2240" w:type="dxa"/>
            <w:vAlign w:val="bottom"/>
            <w:gridSpan w:val="2"/>
          </w:tcPr>
          <w:p>
            <w:pPr>
              <w:jc w:val="right"/>
              <w:spacing w:after="0"/>
              <w:rPr>
                <w:sz w:val="20"/>
                <w:szCs w:val="20"/>
                <w:color w:val="auto"/>
              </w:rPr>
            </w:pPr>
            <w:r>
              <w:rPr>
                <w:rFonts w:ascii="Arial" w:cs="Arial" w:eastAsia="Arial" w:hAnsi="Arial"/>
                <w:sz w:val="18"/>
                <w:szCs w:val="18"/>
                <w:color w:val="auto"/>
              </w:rPr>
              <w:t>953</w:t>
            </w:r>
          </w:p>
        </w:tc>
        <w:tc>
          <w:tcPr>
            <w:tcW w:w="260" w:type="dxa"/>
            <w:vAlign w:val="bottom"/>
          </w:tcPr>
          <w:p>
            <w:pPr>
              <w:spacing w:after="0"/>
              <w:rPr>
                <w:sz w:val="19"/>
                <w:szCs w:val="19"/>
                <w:color w:val="auto"/>
              </w:rPr>
            </w:pPr>
          </w:p>
        </w:tc>
      </w:tr>
      <w:tr>
        <w:trPr>
          <w:trHeight w:val="102"/>
        </w:trPr>
        <w:tc>
          <w:tcPr>
            <w:tcW w:w="4920" w:type="dxa"/>
            <w:vAlign w:val="bottom"/>
          </w:tcPr>
          <w:p>
            <w:pPr>
              <w:spacing w:after="0"/>
              <w:rPr>
                <w:sz w:val="8"/>
                <w:szCs w:val="8"/>
                <w:color w:val="auto"/>
              </w:rPr>
            </w:pPr>
          </w:p>
        </w:tc>
        <w:tc>
          <w:tcPr>
            <w:tcW w:w="17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r>
      <w:tr>
        <w:trPr>
          <w:trHeight w:val="102"/>
        </w:trPr>
        <w:tc>
          <w:tcPr>
            <w:tcW w:w="4920" w:type="dxa"/>
            <w:vAlign w:val="bottom"/>
          </w:tcPr>
          <w:p>
            <w:pPr>
              <w:spacing w:after="0"/>
              <w:rPr>
                <w:sz w:val="8"/>
                <w:szCs w:val="8"/>
                <w:color w:val="auto"/>
              </w:rPr>
            </w:pPr>
          </w:p>
        </w:tc>
        <w:tc>
          <w:tcPr>
            <w:tcW w:w="1740" w:type="dxa"/>
            <w:vAlign w:val="bottom"/>
          </w:tcPr>
          <w:p>
            <w:pPr>
              <w:spacing w:after="0"/>
              <w:rPr>
                <w:sz w:val="8"/>
                <w:szCs w:val="8"/>
                <w:color w:val="auto"/>
              </w:rPr>
            </w:pPr>
          </w:p>
        </w:tc>
        <w:tc>
          <w:tcPr>
            <w:tcW w:w="500" w:type="dxa"/>
            <w:vAlign w:val="bottom"/>
          </w:tcPr>
          <w:p>
            <w:pPr>
              <w:spacing w:after="0"/>
              <w:rPr>
                <w:sz w:val="8"/>
                <w:szCs w:val="8"/>
                <w:color w:val="auto"/>
              </w:rPr>
            </w:pPr>
          </w:p>
        </w:tc>
        <w:tc>
          <w:tcPr>
            <w:tcW w:w="260" w:type="dxa"/>
            <w:vAlign w:val="bottom"/>
          </w:tcPr>
          <w:p>
            <w:pPr>
              <w:spacing w:after="0"/>
              <w:rPr>
                <w:sz w:val="8"/>
                <w:szCs w:val="8"/>
                <w:color w:val="auto"/>
              </w:rPr>
            </w:pPr>
          </w:p>
        </w:tc>
      </w:tr>
      <w:tr>
        <w:trPr>
          <w:trHeight w:val="216"/>
        </w:trPr>
        <w:tc>
          <w:tcPr>
            <w:tcW w:w="4920" w:type="dxa"/>
            <w:vAlign w:val="bottom"/>
            <w:shd w:val="clear" w:color="auto" w:fill="EEEEEE"/>
          </w:tcPr>
          <w:p>
            <w:pPr>
              <w:spacing w:after="0"/>
              <w:rPr>
                <w:sz w:val="18"/>
                <w:szCs w:val="18"/>
                <w:color w:val="auto"/>
              </w:rPr>
            </w:pPr>
          </w:p>
        </w:tc>
        <w:tc>
          <w:tcPr>
            <w:tcW w:w="22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$17,799</w:t>
            </w:r>
          </w:p>
        </w:tc>
        <w:tc>
          <w:tcPr>
            <w:tcW w:w="260" w:type="dxa"/>
            <w:vAlign w:val="bottom"/>
            <w:shd w:val="clear" w:color="auto" w:fill="EEEEEE"/>
          </w:tcPr>
          <w:p>
            <w:pPr>
              <w:spacing w:after="0"/>
              <w:rPr>
                <w:sz w:val="18"/>
                <w:szCs w:val="18"/>
                <w:color w:val="auto"/>
              </w:rPr>
            </w:pPr>
          </w:p>
        </w:tc>
      </w:tr>
      <w:tr>
        <w:trPr>
          <w:trHeight w:val="105"/>
        </w:trPr>
        <w:tc>
          <w:tcPr>
            <w:tcW w:w="4920" w:type="dxa"/>
            <w:vAlign w:val="bottom"/>
          </w:tcPr>
          <w:p>
            <w:pPr>
              <w:spacing w:after="0"/>
              <w:rPr>
                <w:sz w:val="9"/>
                <w:szCs w:val="9"/>
                <w:color w:val="auto"/>
              </w:rPr>
            </w:pPr>
          </w:p>
        </w:tc>
        <w:tc>
          <w:tcPr>
            <w:tcW w:w="1740" w:type="dxa"/>
            <w:vAlign w:val="bottom"/>
          </w:tcPr>
          <w:p>
            <w:pPr>
              <w:spacing w:after="0"/>
              <w:rPr>
                <w:sz w:val="9"/>
                <w:szCs w:val="9"/>
                <w:color w:val="auto"/>
              </w:rPr>
            </w:pPr>
          </w:p>
        </w:tc>
        <w:tc>
          <w:tcPr>
            <w:tcW w:w="500" w:type="dxa"/>
            <w:vAlign w:val="bottom"/>
          </w:tcPr>
          <w:p>
            <w:pPr>
              <w:spacing w:after="0"/>
              <w:rPr>
                <w:sz w:val="9"/>
                <w:szCs w:val="9"/>
                <w:color w:val="auto"/>
              </w:rPr>
            </w:pPr>
          </w:p>
        </w:tc>
        <w:tc>
          <w:tcPr>
            <w:tcW w:w="260" w:type="dxa"/>
            <w:vAlign w:val="bottom"/>
          </w:tcPr>
          <w:p>
            <w:pPr>
              <w:spacing w:after="0"/>
              <w:rPr>
                <w:sz w:val="9"/>
                <w:szCs w:val="9"/>
                <w:color w:val="auto"/>
              </w:rPr>
            </w:pPr>
          </w:p>
        </w:tc>
      </w:tr>
      <w:tr>
        <w:trPr>
          <w:trHeight w:val="61"/>
        </w:trPr>
        <w:tc>
          <w:tcPr>
            <w:tcW w:w="4920" w:type="dxa"/>
            <w:vAlign w:val="bottom"/>
          </w:tcPr>
          <w:p>
            <w:pPr>
              <w:spacing w:after="0"/>
              <w:rPr>
                <w:sz w:val="5"/>
                <w:szCs w:val="5"/>
                <w:color w:val="auto"/>
              </w:rPr>
            </w:pPr>
          </w:p>
        </w:tc>
        <w:tc>
          <w:tcPr>
            <w:tcW w:w="174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Net Revenue</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following table presents net revenues for groups of similar products (in thousands):</w:t>
      </w:r>
    </w:p>
    <w:p>
      <w:pPr>
        <w:spacing w:after="0" w:line="200" w:lineRule="exact"/>
        <w:rPr>
          <w:sz w:val="20"/>
          <w:szCs w:val="20"/>
          <w:color w:val="auto"/>
        </w:rPr>
      </w:pPr>
    </w:p>
    <w:p>
      <w:pPr>
        <w:spacing w:after="0" w:line="253"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300" w:type="dxa"/>
            <w:vAlign w:val="bottom"/>
            <w:gridSpan w:val="6"/>
          </w:tcPr>
          <w:p>
            <w:pPr>
              <w:jc w:val="center"/>
              <w:ind w:right="360"/>
              <w:spacing w:after="0"/>
              <w:rPr>
                <w:sz w:val="20"/>
                <w:szCs w:val="20"/>
                <w:color w:val="auto"/>
              </w:rPr>
            </w:pPr>
            <w:r>
              <w:rPr>
                <w:rFonts w:ascii="Arial" w:cs="Arial" w:eastAsia="Arial" w:hAnsi="Arial"/>
                <w:sz w:val="14"/>
                <w:szCs w:val="14"/>
                <w:color w:val="auto"/>
                <w:w w:val="87"/>
              </w:rPr>
              <w:t>Three Months Ended</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820" w:type="dxa"/>
            <w:vAlign w:val="bottom"/>
            <w:gridSpan w:val="5"/>
          </w:tcPr>
          <w:p>
            <w:pPr>
              <w:jc w:val="center"/>
              <w:ind w:right="820"/>
              <w:spacing w:after="0"/>
              <w:rPr>
                <w:sz w:val="20"/>
                <w:szCs w:val="20"/>
                <w:color w:val="auto"/>
              </w:rPr>
            </w:pPr>
            <w:r>
              <w:rPr>
                <w:rFonts w:ascii="Arial" w:cs="Arial" w:eastAsia="Arial" w:hAnsi="Arial"/>
                <w:sz w:val="14"/>
                <w:szCs w:val="14"/>
                <w:color w:val="auto"/>
                <w:w w:val="93"/>
              </w:rPr>
              <w:t>April 30,</w:t>
            </w:r>
          </w:p>
        </w:tc>
        <w:tc>
          <w:tcPr>
            <w:tcW w:w="0" w:type="dxa"/>
            <w:vAlign w:val="bottom"/>
          </w:tcPr>
          <w:p>
            <w:pPr>
              <w:spacing w:after="0"/>
              <w:rPr>
                <w:sz w:val="1"/>
                <w:szCs w:val="1"/>
                <w:color w:val="auto"/>
              </w:rPr>
            </w:pPr>
          </w:p>
        </w:tc>
      </w:tr>
      <w:tr>
        <w:trPr>
          <w:trHeight w:val="95"/>
        </w:trPr>
        <w:tc>
          <w:tcPr>
            <w:tcW w:w="3380" w:type="dxa"/>
            <w:vAlign w:val="bottom"/>
            <w:gridSpan w:val="2"/>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3660" w:type="dxa"/>
            <w:vAlign w:val="bottom"/>
            <w:gridSpan w:val="3"/>
          </w:tcPr>
          <w:p>
            <w:pPr>
              <w:spacing w:after="0"/>
              <w:rPr>
                <w:sz w:val="20"/>
                <w:szCs w:val="20"/>
                <w:color w:val="auto"/>
              </w:rPr>
            </w:pPr>
            <w:r>
              <w:rPr>
                <w:rFonts w:ascii="Arial" w:cs="Arial" w:eastAsia="Arial" w:hAnsi="Arial"/>
                <w:sz w:val="14"/>
                <w:szCs w:val="14"/>
                <w:color w:val="auto"/>
              </w:rPr>
              <w:t>Net Revenue:</w:t>
            </w:r>
          </w:p>
        </w:tc>
        <w:tc>
          <w:tcPr>
            <w:tcW w:w="800" w:type="dxa"/>
            <w:vAlign w:val="bottom"/>
            <w:gridSpan w:val="2"/>
          </w:tcPr>
          <w:p>
            <w:pPr>
              <w:jc w:val="right"/>
              <w:ind w:right="32"/>
              <w:spacing w:after="0"/>
              <w:rPr>
                <w:sz w:val="20"/>
                <w:szCs w:val="20"/>
                <w:color w:val="auto"/>
              </w:rPr>
            </w:pPr>
            <w:r>
              <w:rPr>
                <w:rFonts w:ascii="Arial" w:cs="Arial" w:eastAsia="Arial" w:hAnsi="Arial"/>
                <w:sz w:val="14"/>
                <w:szCs w:val="14"/>
                <w:color w:val="auto"/>
              </w:rPr>
              <w:t>2003</w:t>
            </w:r>
          </w:p>
        </w:tc>
        <w:tc>
          <w:tcPr>
            <w:tcW w:w="1460" w:type="dxa"/>
            <w:vAlign w:val="bottom"/>
            <w:gridSpan w:val="4"/>
          </w:tcPr>
          <w:p>
            <w:pPr>
              <w:jc w:val="right"/>
              <w:ind w:right="100"/>
              <w:spacing w:after="0"/>
              <w:rPr>
                <w:sz w:val="20"/>
                <w:szCs w:val="20"/>
                <w:color w:val="auto"/>
              </w:rPr>
            </w:pPr>
            <w:r>
              <w:rPr>
                <w:rFonts w:ascii="Arial" w:cs="Arial" w:eastAsia="Arial" w:hAnsi="Arial"/>
                <w:sz w:val="14"/>
                <w:szCs w:val="14"/>
                <w:color w:val="auto"/>
              </w:rPr>
              <w:t>2002</w:t>
            </w: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4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Storage products</w:t>
            </w:r>
          </w:p>
        </w:tc>
        <w:tc>
          <w:tcPr>
            <w:tcW w:w="8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$63,768</w:t>
            </w:r>
          </w:p>
        </w:tc>
        <w:tc>
          <w:tcPr>
            <w:tcW w:w="1460" w:type="dxa"/>
            <w:vAlign w:val="bottom"/>
            <w:tcBorders>
              <w:right w:val="single" w:sz="8" w:color="EEEEEE"/>
            </w:tcBorders>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$28,588</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40" w:type="dxa"/>
            <w:vAlign w:val="bottom"/>
            <w:gridSpan w:val="2"/>
          </w:tcPr>
          <w:p>
            <w:pPr>
              <w:spacing w:after="0"/>
              <w:rPr>
                <w:sz w:val="20"/>
                <w:szCs w:val="20"/>
                <w:color w:val="auto"/>
              </w:rPr>
            </w:pPr>
            <w:r>
              <w:rPr>
                <w:rFonts w:ascii="Arial" w:cs="Arial" w:eastAsia="Arial" w:hAnsi="Arial"/>
                <w:sz w:val="18"/>
                <w:szCs w:val="18"/>
                <w:color w:val="auto"/>
              </w:rPr>
              <w:t>Communications products</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35,032</w:t>
            </w:r>
          </w:p>
        </w:tc>
        <w:tc>
          <w:tcPr>
            <w:tcW w:w="1460" w:type="dxa"/>
            <w:vAlign w:val="bottom"/>
            <w:gridSpan w:val="4"/>
          </w:tcPr>
          <w:p>
            <w:pPr>
              <w:jc w:val="right"/>
              <w:ind w:right="20"/>
              <w:spacing w:after="0"/>
              <w:rPr>
                <w:sz w:val="20"/>
                <w:szCs w:val="20"/>
                <w:color w:val="auto"/>
              </w:rPr>
            </w:pPr>
            <w:r>
              <w:rPr>
                <w:rFonts w:ascii="Arial" w:cs="Arial" w:eastAsia="Arial" w:hAnsi="Arial"/>
                <w:sz w:val="18"/>
                <w:szCs w:val="18"/>
                <w:color w:val="auto"/>
              </w:rPr>
              <w:t>35,642</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$98,800</w:t>
            </w:r>
          </w:p>
        </w:tc>
        <w:tc>
          <w:tcPr>
            <w:tcW w:w="1460" w:type="dxa"/>
            <w:vAlign w:val="bottom"/>
            <w:tcBorders>
              <w:right w:val="single" w:sz="8" w:color="EEEEEE"/>
            </w:tcBorders>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$64,230</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4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360"/>
          </w:cols>
          <w:pgMar w:left="240" w:top="419" w:right="299" w:bottom="1440" w:gutter="0" w:footer="0" w:header="0"/>
        </w:sectPr>
      </w:pPr>
    </w:p>
    <w:p>
      <w:pPr>
        <w:spacing w:after="0" w:line="113" w:lineRule="exact"/>
        <w:rPr>
          <w:sz w:val="20"/>
          <w:szCs w:val="20"/>
          <w:color w:val="auto"/>
        </w:rPr>
      </w:pPr>
    </w:p>
    <w:p>
      <w:pPr>
        <w:jc w:val="center"/>
        <w:ind w:right="-59"/>
        <w:spacing w:after="0"/>
        <w:rPr>
          <w:sz w:val="20"/>
          <w:szCs w:val="20"/>
          <w:color w:val="auto"/>
        </w:rPr>
      </w:pPr>
      <w:r>
        <w:rPr>
          <w:rFonts w:ascii="Arial" w:cs="Arial" w:eastAsia="Arial" w:hAnsi="Arial"/>
          <w:sz w:val="16"/>
          <w:szCs w:val="16"/>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type w:val="continuous"/>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Recent Accounting Pronouncements</w:t>
      </w:r>
    </w:p>
    <w:p>
      <w:pPr>
        <w:spacing w:after="0" w:line="231" w:lineRule="exact"/>
        <w:rPr>
          <w:sz w:val="20"/>
          <w:szCs w:val="20"/>
          <w:color w:val="auto"/>
        </w:rPr>
      </w:pPr>
    </w:p>
    <w:p>
      <w:pPr>
        <w:ind w:right="20" w:firstLine="220"/>
        <w:spacing w:after="0" w:line="288" w:lineRule="auto"/>
        <w:rPr>
          <w:sz w:val="20"/>
          <w:szCs w:val="20"/>
          <w:color w:val="auto"/>
        </w:rPr>
      </w:pPr>
      <w:r>
        <w:rPr>
          <w:rFonts w:ascii="Arial" w:cs="Arial" w:eastAsia="Arial" w:hAnsi="Arial"/>
          <w:sz w:val="16"/>
          <w:szCs w:val="16"/>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The Company adopted SFAS 144 on February 1, 2002, and the adoption did not have a significant impact on its financial position and results of operations.</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Legal Proceedings</w:t>
      </w:r>
    </w:p>
    <w:p>
      <w:pPr>
        <w:spacing w:after="0" w:line="231" w:lineRule="exact"/>
        <w:rPr>
          <w:sz w:val="20"/>
          <w:szCs w:val="20"/>
          <w:color w:val="auto"/>
        </w:rPr>
      </w:pPr>
    </w:p>
    <w:p>
      <w:pPr>
        <w:ind w:firstLine="220"/>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mid-2002. The Company believes that the claims asserted against it and its officers are without merit and intends to defend these claims vigorously. Based on currently available information, the Company does not believe that the ultimate disposition of the lawsuit naming the Company and its officers will have a material adverse impact on its business or financial condition.</w:t>
      </w:r>
    </w:p>
    <w:p>
      <w:pPr>
        <w:spacing w:after="0" w:line="182" w:lineRule="exact"/>
        <w:rPr>
          <w:sz w:val="20"/>
          <w:szCs w:val="20"/>
          <w:color w:val="auto"/>
        </w:rPr>
      </w:pPr>
    </w:p>
    <w:p>
      <w:pPr>
        <w:ind w:right="60" w:firstLine="220"/>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Jasmine by the Company. The lawsuit claims that Company officers improperly obtained and used such information and technologies after the Company signed a non-disclosure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or financial condition.</w:t>
      </w:r>
    </w:p>
    <w:p>
      <w:pPr>
        <w:spacing w:after="0" w:line="174" w:lineRule="exact"/>
        <w:rPr>
          <w:sz w:val="20"/>
          <w:szCs w:val="20"/>
          <w:color w:val="auto"/>
        </w:rPr>
      </w:pPr>
    </w:p>
    <w:p>
      <w:pPr>
        <w:ind w:right="160" w:firstLine="216"/>
        <w:spacing w:after="0" w:line="256"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31" w:lineRule="exact"/>
        <w:rPr>
          <w:sz w:val="20"/>
          <w:szCs w:val="20"/>
          <w:color w:val="auto"/>
        </w:rPr>
      </w:pPr>
    </w:p>
    <w:p>
      <w:pPr>
        <w:ind w:right="40" w:firstLine="220"/>
        <w:spacing w:after="0" w:line="289"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2002 Annual Report on Form 10-K, that attempt to advise you of the risks and factors that may affect our business.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right="20" w:firstLine="216"/>
        <w:spacing w:after="0" w:line="288" w:lineRule="auto"/>
        <w:rPr>
          <w:sz w:val="20"/>
          <w:szCs w:val="20"/>
          <w:color w:val="auto"/>
        </w:rPr>
      </w:pPr>
      <w:r>
        <w:rPr>
          <w:rFonts w:ascii="Arial" w:cs="Arial" w:eastAsia="Arial" w:hAnsi="Arial"/>
          <w:sz w:val="16"/>
          <w:szCs w:val="16"/>
          <w:color w:val="auto"/>
        </w:rPr>
        <w:t>We design, develop and market integrated circuits utilizing proprietary communications mixed-signal and digital signal processing technology for communications-related markets. Our products provide the critical interface between analog signals and the digital information used in computing and communications systems and enable our customers to store and transmit digital information reliably and at high speeds. We were founded in 1995, and our business has grown rapidly since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in a stock-for-stock transaction for aggregate consideration of approximately $2.5 billion. Galileo develops high-performance internetworking and switching products for the broadband communications market. The acquisition was accounted for using the purchase method of accounting, and the operating results of Galileo have been included in our consolidated financial statements from the date of acquisition.</w:t>
      </w:r>
    </w:p>
    <w:p>
      <w:pPr>
        <w:spacing w:after="0" w:line="174" w:lineRule="exact"/>
        <w:rPr>
          <w:sz w:val="20"/>
          <w:szCs w:val="20"/>
          <w:color w:val="auto"/>
        </w:rPr>
      </w:pPr>
    </w:p>
    <w:p>
      <w:pPr>
        <w:ind w:right="360" w:firstLine="220"/>
        <w:spacing w:after="0" w:line="332" w:lineRule="auto"/>
        <w:rPr>
          <w:sz w:val="20"/>
          <w:szCs w:val="20"/>
          <w:color w:val="auto"/>
        </w:rPr>
      </w:pPr>
      <w:r>
        <w:rPr>
          <w:rFonts w:ascii="Arial" w:cs="Arial" w:eastAsia="Arial" w:hAnsi="Arial"/>
          <w:sz w:val="16"/>
          <w:szCs w:val="16"/>
          <w:color w:val="auto"/>
        </w:rPr>
        <w:t>In the communications market, we offer transceiver products, switching products, internetworking products and wireless local area network products. Our primary customers for our communications products are leading manufacturers of high speed networking equipment.</w:t>
      </w:r>
    </w:p>
    <w:p>
      <w:pPr>
        <w:spacing w:after="0" w:line="139"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In the storage market, our products include read channel devices, System-On-Chip or SOCs, and preamplifiers. Our customers for our storage products are manufacturers of hard disk drives for the enterprise, desktop and mobile computer markets and the emerging consumer applications market. The storage market is highly competitive and is comprised of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67" w:lineRule="exact"/>
        <w:rPr>
          <w:sz w:val="20"/>
          <w:szCs w:val="20"/>
          <w:color w:val="auto"/>
        </w:rPr>
      </w:pPr>
    </w:p>
    <w:p>
      <w:pPr>
        <w:ind w:right="20" w:firstLine="220"/>
        <w:spacing w:after="0" w:line="290"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three months ended April 30, 2002, approximately 60% of our net revenue was derived from sales to four significant customers, each of whom individually accounted for 10% or more of our net revenue during this period. We expect to continue to experience significant customer concentration in future periods. In addition, a significant portion of our sales is made to customers located outside of the United States, primarily in Asia. Sales to customers in Asia represented approximately 86% of our net revenue for the three months ended April 30, 2002. Because many manufacturers and manufacturing subcontractors of communications and storage devices are located in Asia, we expect that a significant portion of our revenue will continue to be represented by sales to customers in that region. All of our sales to date have been denominated in United States dollars.</w:t>
      </w:r>
    </w:p>
    <w:p>
      <w:pPr>
        <w:spacing w:after="0" w:line="172" w:lineRule="exact"/>
        <w:rPr>
          <w:sz w:val="20"/>
          <w:szCs w:val="20"/>
          <w:color w:val="auto"/>
        </w:rPr>
      </w:pPr>
    </w:p>
    <w:p>
      <w:pPr>
        <w:jc w:val="both"/>
        <w:ind w:right="140" w:firstLine="220"/>
        <w:spacing w:after="0" w:line="306" w:lineRule="auto"/>
        <w:rPr>
          <w:sz w:val="20"/>
          <w:szCs w:val="20"/>
          <w:color w:val="auto"/>
        </w:rPr>
      </w:pPr>
      <w:r>
        <w:rPr>
          <w:rFonts w:ascii="Arial" w:cs="Arial" w:eastAsia="Arial" w:hAnsi="Arial"/>
          <w:sz w:val="16"/>
          <w:szCs w:val="16"/>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w:t>
      </w:r>
    </w:p>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4" w:lineRule="exact"/>
        <w:rPr>
          <w:sz w:val="20"/>
          <w:szCs w:val="20"/>
          <w:color w:val="auto"/>
        </w:rPr>
      </w:pPr>
    </w:p>
    <w:p>
      <w:pPr>
        <w:ind w:right="180" w:firstLine="220"/>
        <w:spacing w:after="0" w:line="298" w:lineRule="auto"/>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2003 will be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following table sets forth information derived from our condensed consolidated statements of operations expressed as a percentage of net revenue:</w:t>
      </w:r>
    </w:p>
    <w:p>
      <w:pPr>
        <w:spacing w:after="0" w:line="200" w:lineRule="exact"/>
        <w:rPr>
          <w:sz w:val="20"/>
          <w:szCs w:val="20"/>
          <w:color w:val="auto"/>
        </w:rPr>
      </w:pPr>
    </w:p>
    <w:p>
      <w:pPr>
        <w:spacing w:after="0" w:line="274"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6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6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r>
      <w:tr>
        <w:trPr>
          <w:trHeight w:val="174"/>
        </w:trPr>
        <w:tc>
          <w:tcPr>
            <w:tcW w:w="64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320" w:type="dxa"/>
            <w:vAlign w:val="bottom"/>
            <w:gridSpan w:val="4"/>
          </w:tcPr>
          <w:p>
            <w:pPr>
              <w:jc w:val="right"/>
              <w:ind w:right="800"/>
              <w:spacing w:after="0"/>
              <w:rPr>
                <w:sz w:val="20"/>
                <w:szCs w:val="20"/>
                <w:color w:val="auto"/>
              </w:rPr>
            </w:pPr>
            <w:r>
              <w:rPr>
                <w:rFonts w:ascii="Arial" w:cs="Arial" w:eastAsia="Arial" w:hAnsi="Arial"/>
                <w:sz w:val="14"/>
                <w:szCs w:val="14"/>
                <w:b w:val="1"/>
                <w:bCs w:val="1"/>
                <w:color w:val="auto"/>
                <w:w w:val="90"/>
              </w:rPr>
              <w:t>April 30,</w:t>
            </w:r>
          </w:p>
        </w:tc>
      </w:tr>
      <w:tr>
        <w:trPr>
          <w:trHeight w:val="95"/>
        </w:trPr>
        <w:tc>
          <w:tcPr>
            <w:tcW w:w="64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r>
      <w:tr>
        <w:trPr>
          <w:trHeight w:val="263"/>
        </w:trPr>
        <w:tc>
          <w:tcPr>
            <w:tcW w:w="6420" w:type="dxa"/>
            <w:vAlign w:val="bottom"/>
          </w:tcPr>
          <w:p>
            <w:pPr>
              <w:spacing w:after="0"/>
              <w:rPr>
                <w:sz w:val="22"/>
                <w:szCs w:val="22"/>
                <w:color w:val="auto"/>
              </w:rPr>
            </w:pPr>
          </w:p>
        </w:tc>
        <w:tc>
          <w:tcPr>
            <w:tcW w:w="5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2002</w:t>
            </w:r>
          </w:p>
        </w:tc>
        <w:tc>
          <w:tcPr>
            <w:tcW w:w="240" w:type="dxa"/>
            <w:vAlign w:val="bottom"/>
          </w:tcPr>
          <w:p>
            <w:pPr>
              <w:spacing w:after="0"/>
              <w:rPr>
                <w:sz w:val="22"/>
                <w:szCs w:val="22"/>
                <w:color w:val="auto"/>
              </w:rPr>
            </w:pPr>
          </w:p>
        </w:tc>
        <w:tc>
          <w:tcPr>
            <w:tcW w:w="108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2001</w:t>
            </w:r>
          </w:p>
        </w:tc>
        <w:tc>
          <w:tcPr>
            <w:tcW w:w="240" w:type="dxa"/>
            <w:vAlign w:val="bottom"/>
          </w:tcPr>
          <w:p>
            <w:pPr>
              <w:spacing w:after="0"/>
              <w:rPr>
                <w:sz w:val="22"/>
                <w:szCs w:val="22"/>
                <w:color w:val="auto"/>
              </w:rPr>
            </w:pPr>
          </w:p>
        </w:tc>
      </w:tr>
      <w:tr>
        <w:trPr>
          <w:trHeight w:val="95"/>
        </w:trPr>
        <w:tc>
          <w:tcPr>
            <w:tcW w:w="64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r>
      <w:tr>
        <w:trPr>
          <w:trHeight w:val="102"/>
        </w:trPr>
        <w:tc>
          <w:tcPr>
            <w:tcW w:w="6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40" w:type="dxa"/>
            <w:vAlign w:val="bottom"/>
          </w:tcPr>
          <w:p>
            <w:pPr>
              <w:spacing w:after="0"/>
              <w:rPr>
                <w:sz w:val="8"/>
                <w:szCs w:val="8"/>
                <w:color w:val="auto"/>
              </w:rPr>
            </w:pPr>
          </w:p>
        </w:tc>
      </w:tr>
      <w:tr>
        <w:trPr>
          <w:trHeight w:val="216"/>
        </w:trPr>
        <w:tc>
          <w:tcPr>
            <w:tcW w:w="64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800" w:type="dxa"/>
            <w:vAlign w:val="bottom"/>
            <w:gridSpan w:val="3"/>
            <w:shd w:val="clear" w:color="auto" w:fill="EEEEEE"/>
          </w:tcPr>
          <w:p>
            <w:pPr>
              <w:jc w:val="right"/>
              <w:ind w:right="100"/>
              <w:spacing w:after="0"/>
              <w:rPr>
                <w:sz w:val="20"/>
                <w:szCs w:val="20"/>
                <w:color w:val="auto"/>
              </w:rPr>
            </w:pPr>
            <w:r>
              <w:rPr>
                <w:rFonts w:ascii="Arial" w:cs="Arial" w:eastAsia="Arial" w:hAnsi="Arial"/>
                <w:sz w:val="18"/>
                <w:szCs w:val="18"/>
                <w:color w:val="auto"/>
              </w:rPr>
              <w:t>100.0%</w:t>
            </w:r>
          </w:p>
        </w:tc>
        <w:tc>
          <w:tcPr>
            <w:tcW w:w="1320" w:type="dxa"/>
            <w:vAlign w:val="bottom"/>
            <w:gridSpan w:val="4"/>
            <w:shd w:val="clear" w:color="auto" w:fill="EEEEEE"/>
          </w:tcPr>
          <w:p>
            <w:pPr>
              <w:jc w:val="right"/>
              <w:ind w:right="80"/>
              <w:spacing w:after="0"/>
              <w:rPr>
                <w:sz w:val="20"/>
                <w:szCs w:val="20"/>
                <w:color w:val="auto"/>
              </w:rPr>
            </w:pPr>
            <w:r>
              <w:rPr>
                <w:rFonts w:ascii="Arial" w:cs="Arial" w:eastAsia="Arial" w:hAnsi="Arial"/>
                <w:sz w:val="18"/>
                <w:szCs w:val="18"/>
                <w:color w:val="auto"/>
              </w:rPr>
              <w:t>100.0%</w:t>
            </w:r>
          </w:p>
        </w:tc>
      </w:tr>
      <w:tr>
        <w:trPr>
          <w:trHeight w:val="216"/>
        </w:trPr>
        <w:tc>
          <w:tcPr>
            <w:tcW w:w="64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40" w:type="dxa"/>
            <w:vAlign w:val="bottom"/>
          </w:tcPr>
          <w:p>
            <w:pPr>
              <w:spacing w:after="0"/>
              <w:rPr>
                <w:sz w:val="18"/>
                <w:szCs w:val="18"/>
                <w:color w:val="auto"/>
              </w:rPr>
            </w:pPr>
          </w:p>
        </w:tc>
      </w:tr>
      <w:tr>
        <w:trPr>
          <w:trHeight w:val="216"/>
        </w:trPr>
        <w:tc>
          <w:tcPr>
            <w:tcW w:w="6420" w:type="dxa"/>
            <w:vAlign w:val="bottom"/>
            <w:shd w:val="clear" w:color="auto" w:fill="EEEEEE"/>
          </w:tcPr>
          <w:p>
            <w:pPr>
              <w:ind w:left="360"/>
              <w:spacing w:after="0"/>
              <w:rPr>
                <w:sz w:val="20"/>
                <w:szCs w:val="20"/>
                <w:color w:val="auto"/>
              </w:rPr>
            </w:pPr>
            <w:r>
              <w:rPr>
                <w:rFonts w:ascii="Arial" w:cs="Arial" w:eastAsia="Arial" w:hAnsi="Arial"/>
                <w:sz w:val="18"/>
                <w:szCs w:val="18"/>
                <w:color w:val="auto"/>
              </w:rPr>
              <w:t>Cost of goods sold</w:t>
            </w:r>
          </w:p>
        </w:tc>
        <w:tc>
          <w:tcPr>
            <w:tcW w:w="800" w:type="dxa"/>
            <w:vAlign w:val="bottom"/>
            <w:gridSpan w:val="3"/>
            <w:shd w:val="clear" w:color="auto" w:fill="EEEEEE"/>
          </w:tcPr>
          <w:p>
            <w:pPr>
              <w:jc w:val="right"/>
              <w:ind w:right="240"/>
              <w:spacing w:after="0"/>
              <w:rPr>
                <w:sz w:val="20"/>
                <w:szCs w:val="20"/>
                <w:color w:val="auto"/>
              </w:rPr>
            </w:pPr>
            <w:r>
              <w:rPr>
                <w:rFonts w:ascii="Arial" w:cs="Arial" w:eastAsia="Arial" w:hAnsi="Arial"/>
                <w:sz w:val="18"/>
                <w:szCs w:val="18"/>
                <w:color w:val="auto"/>
              </w:rPr>
              <w:t>44.3</w:t>
            </w:r>
          </w:p>
        </w:tc>
        <w:tc>
          <w:tcPr>
            <w:tcW w:w="13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47.0</w:t>
            </w:r>
          </w:p>
        </w:tc>
      </w:tr>
      <w:tr>
        <w:trPr>
          <w:trHeight w:val="216"/>
        </w:trPr>
        <w:tc>
          <w:tcPr>
            <w:tcW w:w="6420" w:type="dxa"/>
            <w:vAlign w:val="bottom"/>
          </w:tcPr>
          <w:p>
            <w:pPr>
              <w:ind w:left="360"/>
              <w:spacing w:after="0"/>
              <w:rPr>
                <w:sz w:val="20"/>
                <w:szCs w:val="20"/>
                <w:color w:val="auto"/>
              </w:rPr>
            </w:pPr>
            <w:r>
              <w:rPr>
                <w:rFonts w:ascii="Arial" w:cs="Arial" w:eastAsia="Arial" w:hAnsi="Arial"/>
                <w:sz w:val="18"/>
                <w:szCs w:val="18"/>
                <w:color w:val="auto"/>
              </w:rPr>
              <w:t>Research and development</w:t>
            </w:r>
          </w:p>
        </w:tc>
        <w:tc>
          <w:tcPr>
            <w:tcW w:w="800" w:type="dxa"/>
            <w:vAlign w:val="bottom"/>
            <w:gridSpan w:val="3"/>
          </w:tcPr>
          <w:p>
            <w:pPr>
              <w:jc w:val="right"/>
              <w:ind w:right="240"/>
              <w:spacing w:after="0"/>
              <w:rPr>
                <w:sz w:val="20"/>
                <w:szCs w:val="20"/>
                <w:color w:val="auto"/>
              </w:rPr>
            </w:pPr>
            <w:r>
              <w:rPr>
                <w:rFonts w:ascii="Arial" w:cs="Arial" w:eastAsia="Arial" w:hAnsi="Arial"/>
                <w:sz w:val="18"/>
                <w:szCs w:val="18"/>
                <w:color w:val="auto"/>
              </w:rPr>
              <w:t>31.0</w:t>
            </w:r>
          </w:p>
        </w:tc>
        <w:tc>
          <w:tcPr>
            <w:tcW w:w="1320" w:type="dxa"/>
            <w:vAlign w:val="bottom"/>
            <w:gridSpan w:val="4"/>
          </w:tcPr>
          <w:p>
            <w:pPr>
              <w:jc w:val="right"/>
              <w:ind w:right="240"/>
              <w:spacing w:after="0"/>
              <w:rPr>
                <w:sz w:val="20"/>
                <w:szCs w:val="20"/>
                <w:color w:val="auto"/>
              </w:rPr>
            </w:pPr>
            <w:r>
              <w:rPr>
                <w:rFonts w:ascii="Arial" w:cs="Arial" w:eastAsia="Arial" w:hAnsi="Arial"/>
                <w:sz w:val="18"/>
                <w:szCs w:val="18"/>
                <w:color w:val="auto"/>
              </w:rPr>
              <w:t>31.2</w:t>
            </w:r>
          </w:p>
        </w:tc>
      </w:tr>
      <w:tr>
        <w:trPr>
          <w:trHeight w:val="216"/>
        </w:trPr>
        <w:tc>
          <w:tcPr>
            <w:tcW w:w="6420" w:type="dxa"/>
            <w:vAlign w:val="bottom"/>
            <w:shd w:val="clear" w:color="auto" w:fill="EEEEEE"/>
          </w:tcPr>
          <w:p>
            <w:pPr>
              <w:ind w:left="360"/>
              <w:spacing w:after="0"/>
              <w:rPr>
                <w:sz w:val="20"/>
                <w:szCs w:val="20"/>
                <w:color w:val="auto"/>
              </w:rPr>
            </w:pPr>
            <w:r>
              <w:rPr>
                <w:rFonts w:ascii="Arial" w:cs="Arial" w:eastAsia="Arial" w:hAnsi="Arial"/>
                <w:sz w:val="18"/>
                <w:szCs w:val="18"/>
                <w:color w:val="auto"/>
              </w:rPr>
              <w:t>Selling and marketing</w:t>
            </w:r>
          </w:p>
        </w:tc>
        <w:tc>
          <w:tcPr>
            <w:tcW w:w="800" w:type="dxa"/>
            <w:vAlign w:val="bottom"/>
            <w:gridSpan w:val="3"/>
            <w:shd w:val="clear" w:color="auto" w:fill="EEEEEE"/>
          </w:tcPr>
          <w:p>
            <w:pPr>
              <w:jc w:val="right"/>
              <w:ind w:right="240"/>
              <w:spacing w:after="0"/>
              <w:rPr>
                <w:sz w:val="20"/>
                <w:szCs w:val="20"/>
                <w:color w:val="auto"/>
              </w:rPr>
            </w:pPr>
            <w:r>
              <w:rPr>
                <w:rFonts w:ascii="Arial" w:cs="Arial" w:eastAsia="Arial" w:hAnsi="Arial"/>
                <w:sz w:val="18"/>
                <w:szCs w:val="18"/>
                <w:color w:val="auto"/>
              </w:rPr>
              <w:t>11.1</w:t>
            </w:r>
          </w:p>
        </w:tc>
        <w:tc>
          <w:tcPr>
            <w:tcW w:w="13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14.9</w:t>
            </w:r>
          </w:p>
        </w:tc>
      </w:tr>
      <w:tr>
        <w:trPr>
          <w:trHeight w:val="216"/>
        </w:trPr>
        <w:tc>
          <w:tcPr>
            <w:tcW w:w="6420" w:type="dxa"/>
            <w:vAlign w:val="bottom"/>
          </w:tcPr>
          <w:p>
            <w:pPr>
              <w:ind w:left="360"/>
              <w:spacing w:after="0"/>
              <w:rPr>
                <w:sz w:val="20"/>
                <w:szCs w:val="20"/>
                <w:color w:val="auto"/>
              </w:rPr>
            </w:pPr>
            <w:r>
              <w:rPr>
                <w:rFonts w:ascii="Arial" w:cs="Arial" w:eastAsia="Arial" w:hAnsi="Arial"/>
                <w:sz w:val="18"/>
                <w:szCs w:val="18"/>
                <w:color w:val="auto"/>
              </w:rPr>
              <w:t>General and administrative</w:t>
            </w:r>
          </w:p>
        </w:tc>
        <w:tc>
          <w:tcPr>
            <w:tcW w:w="800" w:type="dxa"/>
            <w:vAlign w:val="bottom"/>
            <w:gridSpan w:val="3"/>
          </w:tcPr>
          <w:p>
            <w:pPr>
              <w:jc w:val="right"/>
              <w:ind w:right="240"/>
              <w:spacing w:after="0"/>
              <w:rPr>
                <w:sz w:val="20"/>
                <w:szCs w:val="20"/>
                <w:color w:val="auto"/>
              </w:rPr>
            </w:pPr>
            <w:r>
              <w:rPr>
                <w:rFonts w:ascii="Arial" w:cs="Arial" w:eastAsia="Arial" w:hAnsi="Arial"/>
                <w:sz w:val="18"/>
                <w:szCs w:val="18"/>
                <w:color w:val="auto"/>
              </w:rPr>
              <w:t>3.7</w:t>
            </w:r>
          </w:p>
        </w:tc>
        <w:tc>
          <w:tcPr>
            <w:tcW w:w="1320" w:type="dxa"/>
            <w:vAlign w:val="bottom"/>
            <w:gridSpan w:val="4"/>
          </w:tcPr>
          <w:p>
            <w:pPr>
              <w:jc w:val="right"/>
              <w:ind w:right="240"/>
              <w:spacing w:after="0"/>
              <w:rPr>
                <w:sz w:val="20"/>
                <w:szCs w:val="20"/>
                <w:color w:val="auto"/>
              </w:rPr>
            </w:pPr>
            <w:r>
              <w:rPr>
                <w:rFonts w:ascii="Arial" w:cs="Arial" w:eastAsia="Arial" w:hAnsi="Arial"/>
                <w:sz w:val="18"/>
                <w:szCs w:val="18"/>
                <w:color w:val="auto"/>
              </w:rPr>
              <w:t>4.6</w:t>
            </w:r>
          </w:p>
        </w:tc>
      </w:tr>
      <w:tr>
        <w:trPr>
          <w:trHeight w:val="216"/>
        </w:trPr>
        <w:tc>
          <w:tcPr>
            <w:tcW w:w="6420" w:type="dxa"/>
            <w:vAlign w:val="bottom"/>
            <w:shd w:val="clear" w:color="auto" w:fill="EEEEEE"/>
          </w:tcPr>
          <w:p>
            <w:pPr>
              <w:ind w:left="360"/>
              <w:spacing w:after="0"/>
              <w:rPr>
                <w:sz w:val="20"/>
                <w:szCs w:val="20"/>
                <w:color w:val="auto"/>
              </w:rPr>
            </w:pPr>
            <w:r>
              <w:rPr>
                <w:rFonts w:ascii="Arial" w:cs="Arial" w:eastAsia="Arial" w:hAnsi="Arial"/>
                <w:sz w:val="18"/>
                <w:szCs w:val="18"/>
                <w:color w:val="auto"/>
              </w:rPr>
              <w:t>Amortization of stock-based compensation</w:t>
            </w:r>
          </w:p>
        </w:tc>
        <w:tc>
          <w:tcPr>
            <w:tcW w:w="800" w:type="dxa"/>
            <w:vAlign w:val="bottom"/>
            <w:gridSpan w:val="3"/>
            <w:shd w:val="clear" w:color="auto" w:fill="EEEEEE"/>
          </w:tcPr>
          <w:p>
            <w:pPr>
              <w:jc w:val="right"/>
              <w:ind w:right="240"/>
              <w:spacing w:after="0"/>
              <w:rPr>
                <w:sz w:val="20"/>
                <w:szCs w:val="20"/>
                <w:color w:val="auto"/>
              </w:rPr>
            </w:pPr>
            <w:r>
              <w:rPr>
                <w:rFonts w:ascii="Arial" w:cs="Arial" w:eastAsia="Arial" w:hAnsi="Arial"/>
                <w:sz w:val="18"/>
                <w:szCs w:val="18"/>
                <w:color w:val="auto"/>
              </w:rPr>
              <w:t>2.3</w:t>
            </w:r>
          </w:p>
        </w:tc>
        <w:tc>
          <w:tcPr>
            <w:tcW w:w="13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6.4</w:t>
            </w:r>
          </w:p>
        </w:tc>
      </w:tr>
      <w:tr>
        <w:trPr>
          <w:trHeight w:val="216"/>
        </w:trPr>
        <w:tc>
          <w:tcPr>
            <w:tcW w:w="6420" w:type="dxa"/>
            <w:vAlign w:val="bottom"/>
          </w:tcPr>
          <w:p>
            <w:pPr>
              <w:ind w:left="360"/>
              <w:spacing w:after="0"/>
              <w:rPr>
                <w:sz w:val="20"/>
                <w:szCs w:val="20"/>
                <w:color w:val="auto"/>
              </w:rPr>
            </w:pPr>
            <w:r>
              <w:rPr>
                <w:rFonts w:ascii="Arial" w:cs="Arial" w:eastAsia="Arial" w:hAnsi="Arial"/>
                <w:sz w:val="18"/>
                <w:szCs w:val="18"/>
                <w:color w:val="auto"/>
              </w:rPr>
              <w:t>Amortization of goodwill and acquired intangible assets</w:t>
            </w:r>
          </w:p>
        </w:tc>
        <w:tc>
          <w:tcPr>
            <w:tcW w:w="800" w:type="dxa"/>
            <w:vAlign w:val="bottom"/>
            <w:gridSpan w:val="3"/>
          </w:tcPr>
          <w:p>
            <w:pPr>
              <w:jc w:val="right"/>
              <w:ind w:right="240"/>
              <w:spacing w:after="0"/>
              <w:rPr>
                <w:sz w:val="20"/>
                <w:szCs w:val="20"/>
                <w:color w:val="auto"/>
              </w:rPr>
            </w:pPr>
            <w:r>
              <w:rPr>
                <w:rFonts w:ascii="Arial" w:cs="Arial" w:eastAsia="Arial" w:hAnsi="Arial"/>
                <w:sz w:val="18"/>
                <w:szCs w:val="18"/>
                <w:color w:val="auto"/>
              </w:rPr>
              <w:t>21.6</w:t>
            </w:r>
          </w:p>
        </w:tc>
        <w:tc>
          <w:tcPr>
            <w:tcW w:w="1320" w:type="dxa"/>
            <w:vAlign w:val="bottom"/>
            <w:gridSpan w:val="4"/>
          </w:tcPr>
          <w:p>
            <w:pPr>
              <w:jc w:val="right"/>
              <w:ind w:right="240"/>
              <w:spacing w:after="0"/>
              <w:rPr>
                <w:sz w:val="20"/>
                <w:szCs w:val="20"/>
                <w:color w:val="auto"/>
              </w:rPr>
            </w:pPr>
            <w:r>
              <w:rPr>
                <w:rFonts w:ascii="Arial" w:cs="Arial" w:eastAsia="Arial" w:hAnsi="Arial"/>
                <w:sz w:val="18"/>
                <w:szCs w:val="18"/>
                <w:color w:val="auto"/>
              </w:rPr>
              <w:t>162.7</w:t>
            </w:r>
          </w:p>
        </w:tc>
      </w:tr>
      <w:tr>
        <w:trPr>
          <w:trHeight w:val="216"/>
        </w:trPr>
        <w:tc>
          <w:tcPr>
            <w:tcW w:w="6420" w:type="dxa"/>
            <w:vAlign w:val="bottom"/>
            <w:shd w:val="clear" w:color="auto" w:fill="EEEEEE"/>
          </w:tcPr>
          <w:p>
            <w:pPr>
              <w:ind w:left="360"/>
              <w:spacing w:after="0"/>
              <w:rPr>
                <w:sz w:val="20"/>
                <w:szCs w:val="20"/>
                <w:color w:val="auto"/>
              </w:rPr>
            </w:pPr>
            <w:r>
              <w:rPr>
                <w:rFonts w:ascii="Arial" w:cs="Arial" w:eastAsia="Arial" w:hAnsi="Arial"/>
                <w:sz w:val="18"/>
                <w:szCs w:val="18"/>
                <w:color w:val="auto"/>
              </w:rPr>
              <w:t>Facilities consolidation charge</w:t>
            </w:r>
          </w:p>
        </w:tc>
        <w:tc>
          <w:tcPr>
            <w:tcW w:w="800" w:type="dxa"/>
            <w:vAlign w:val="bottom"/>
            <w:gridSpan w:val="3"/>
            <w:shd w:val="clear" w:color="auto" w:fill="EEEEEE"/>
          </w:tcPr>
          <w:p>
            <w:pPr>
              <w:jc w:val="right"/>
              <w:ind w:right="240"/>
              <w:spacing w:after="0"/>
              <w:rPr>
                <w:sz w:val="20"/>
                <w:szCs w:val="20"/>
                <w:color w:val="auto"/>
              </w:rPr>
            </w:pPr>
            <w:r>
              <w:rPr>
                <w:rFonts w:ascii="Arial" w:cs="Arial" w:eastAsia="Arial" w:hAnsi="Arial"/>
                <w:sz w:val="18"/>
                <w:szCs w:val="18"/>
                <w:color w:val="auto"/>
              </w:rPr>
              <w:t>18.0</w:t>
            </w:r>
          </w:p>
        </w:tc>
        <w:tc>
          <w:tcPr>
            <w:tcW w:w="4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r>
      <w:tr>
        <w:trPr>
          <w:trHeight w:val="108"/>
        </w:trPr>
        <w:tc>
          <w:tcPr>
            <w:tcW w:w="64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r>
      <w:tr>
        <w:trPr>
          <w:trHeight w:val="316"/>
        </w:trPr>
        <w:tc>
          <w:tcPr>
            <w:tcW w:w="6420" w:type="dxa"/>
            <w:vAlign w:val="bottom"/>
          </w:tcPr>
          <w:p>
            <w:pPr>
              <w:ind w:left="760"/>
              <w:spacing w:after="0"/>
              <w:rPr>
                <w:sz w:val="20"/>
                <w:szCs w:val="20"/>
                <w:color w:val="auto"/>
              </w:rPr>
            </w:pPr>
            <w:r>
              <w:rPr>
                <w:rFonts w:ascii="Arial" w:cs="Arial" w:eastAsia="Arial" w:hAnsi="Arial"/>
                <w:sz w:val="18"/>
                <w:szCs w:val="18"/>
                <w:color w:val="auto"/>
              </w:rPr>
              <w:t>Total operating costs and expenses</w:t>
            </w:r>
          </w:p>
        </w:tc>
        <w:tc>
          <w:tcPr>
            <w:tcW w:w="800" w:type="dxa"/>
            <w:vAlign w:val="bottom"/>
            <w:gridSpan w:val="3"/>
          </w:tcPr>
          <w:p>
            <w:pPr>
              <w:jc w:val="right"/>
              <w:ind w:right="240"/>
              <w:spacing w:after="0"/>
              <w:rPr>
                <w:sz w:val="20"/>
                <w:szCs w:val="20"/>
                <w:color w:val="auto"/>
              </w:rPr>
            </w:pPr>
            <w:r>
              <w:rPr>
                <w:rFonts w:ascii="Arial" w:cs="Arial" w:eastAsia="Arial" w:hAnsi="Arial"/>
                <w:sz w:val="18"/>
                <w:szCs w:val="18"/>
                <w:color w:val="auto"/>
              </w:rPr>
              <w:t>132.0</w:t>
            </w:r>
          </w:p>
        </w:tc>
        <w:tc>
          <w:tcPr>
            <w:tcW w:w="1320" w:type="dxa"/>
            <w:vAlign w:val="bottom"/>
            <w:gridSpan w:val="4"/>
          </w:tcPr>
          <w:p>
            <w:pPr>
              <w:jc w:val="right"/>
              <w:ind w:right="240"/>
              <w:spacing w:after="0"/>
              <w:rPr>
                <w:sz w:val="20"/>
                <w:szCs w:val="20"/>
                <w:color w:val="auto"/>
              </w:rPr>
            </w:pPr>
            <w:r>
              <w:rPr>
                <w:rFonts w:ascii="Arial" w:cs="Arial" w:eastAsia="Arial" w:hAnsi="Arial"/>
                <w:sz w:val="18"/>
                <w:szCs w:val="18"/>
                <w:color w:val="auto"/>
              </w:rPr>
              <w:t>266.8</w:t>
            </w:r>
          </w:p>
        </w:tc>
      </w:tr>
      <w:tr>
        <w:trPr>
          <w:trHeight w:val="110"/>
        </w:trPr>
        <w:tc>
          <w:tcPr>
            <w:tcW w:w="64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r>
      <w:tr>
        <w:trPr>
          <w:trHeight w:val="102"/>
        </w:trPr>
        <w:tc>
          <w:tcPr>
            <w:tcW w:w="6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40" w:type="dxa"/>
            <w:vAlign w:val="bottom"/>
          </w:tcPr>
          <w:p>
            <w:pPr>
              <w:spacing w:after="0"/>
              <w:rPr>
                <w:sz w:val="8"/>
                <w:szCs w:val="8"/>
                <w:color w:val="auto"/>
              </w:rPr>
            </w:pPr>
          </w:p>
        </w:tc>
      </w:tr>
      <w:tr>
        <w:trPr>
          <w:trHeight w:val="216"/>
        </w:trPr>
        <w:tc>
          <w:tcPr>
            <w:tcW w:w="6420" w:type="dxa"/>
            <w:vAlign w:val="bottom"/>
            <w:shd w:val="clear" w:color="auto" w:fill="EEEEEE"/>
          </w:tcPr>
          <w:p>
            <w:pPr>
              <w:spacing w:after="0"/>
              <w:rPr>
                <w:sz w:val="20"/>
                <w:szCs w:val="20"/>
                <w:color w:val="auto"/>
              </w:rPr>
            </w:pPr>
            <w:r>
              <w:rPr>
                <w:rFonts w:ascii="Arial" w:cs="Arial" w:eastAsia="Arial" w:hAnsi="Arial"/>
                <w:sz w:val="18"/>
                <w:szCs w:val="18"/>
                <w:color w:val="auto"/>
              </w:rPr>
              <w:t>Operating loss</w:t>
            </w:r>
          </w:p>
        </w:tc>
        <w:tc>
          <w:tcPr>
            <w:tcW w:w="800" w:type="dxa"/>
            <w:vAlign w:val="bottom"/>
            <w:gridSpan w:val="3"/>
            <w:shd w:val="clear" w:color="auto" w:fill="EEEEEE"/>
          </w:tcPr>
          <w:p>
            <w:pPr>
              <w:jc w:val="right"/>
              <w:ind w:right="180"/>
              <w:spacing w:after="0"/>
              <w:rPr>
                <w:sz w:val="20"/>
                <w:szCs w:val="20"/>
                <w:color w:val="auto"/>
              </w:rPr>
            </w:pPr>
            <w:r>
              <w:rPr>
                <w:rFonts w:ascii="Arial" w:cs="Arial" w:eastAsia="Arial" w:hAnsi="Arial"/>
                <w:sz w:val="18"/>
                <w:szCs w:val="18"/>
                <w:color w:val="auto"/>
              </w:rPr>
              <w:t>(32.0)</w:t>
            </w:r>
          </w:p>
        </w:tc>
        <w:tc>
          <w:tcPr>
            <w:tcW w:w="1320" w:type="dxa"/>
            <w:vAlign w:val="bottom"/>
            <w:gridSpan w:val="4"/>
            <w:shd w:val="clear" w:color="auto" w:fill="EEEEEE"/>
          </w:tcPr>
          <w:p>
            <w:pPr>
              <w:jc w:val="right"/>
              <w:ind w:right="180"/>
              <w:spacing w:after="0"/>
              <w:rPr>
                <w:sz w:val="20"/>
                <w:szCs w:val="20"/>
                <w:color w:val="auto"/>
              </w:rPr>
            </w:pPr>
            <w:r>
              <w:rPr>
                <w:rFonts w:ascii="Arial" w:cs="Arial" w:eastAsia="Arial" w:hAnsi="Arial"/>
                <w:sz w:val="18"/>
                <w:szCs w:val="18"/>
                <w:color w:val="auto"/>
              </w:rPr>
              <w:t>(166.8)</w:t>
            </w:r>
          </w:p>
        </w:tc>
      </w:tr>
      <w:tr>
        <w:trPr>
          <w:trHeight w:val="222"/>
        </w:trPr>
        <w:tc>
          <w:tcPr>
            <w:tcW w:w="64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800" w:type="dxa"/>
            <w:vAlign w:val="bottom"/>
            <w:gridSpan w:val="3"/>
          </w:tcPr>
          <w:p>
            <w:pPr>
              <w:jc w:val="right"/>
              <w:ind w:right="240"/>
              <w:spacing w:after="0"/>
              <w:rPr>
                <w:sz w:val="20"/>
                <w:szCs w:val="20"/>
                <w:color w:val="auto"/>
              </w:rPr>
            </w:pPr>
            <w:r>
              <w:rPr>
                <w:rFonts w:ascii="Arial" w:cs="Arial" w:eastAsia="Arial" w:hAnsi="Arial"/>
                <w:sz w:val="18"/>
                <w:szCs w:val="18"/>
                <w:color w:val="auto"/>
              </w:rPr>
              <w:t>2.2</w:t>
            </w:r>
          </w:p>
        </w:tc>
        <w:tc>
          <w:tcPr>
            <w:tcW w:w="1320" w:type="dxa"/>
            <w:vAlign w:val="bottom"/>
            <w:gridSpan w:val="4"/>
          </w:tcPr>
          <w:p>
            <w:pPr>
              <w:jc w:val="right"/>
              <w:ind w:right="240"/>
              <w:spacing w:after="0"/>
              <w:rPr>
                <w:sz w:val="20"/>
                <w:szCs w:val="20"/>
                <w:color w:val="auto"/>
              </w:rPr>
            </w:pPr>
            <w:r>
              <w:rPr>
                <w:rFonts w:ascii="Arial" w:cs="Arial" w:eastAsia="Arial" w:hAnsi="Arial"/>
                <w:sz w:val="18"/>
                <w:szCs w:val="18"/>
                <w:color w:val="auto"/>
              </w:rPr>
              <w:t>4.6</w:t>
            </w:r>
          </w:p>
        </w:tc>
      </w:tr>
      <w:tr>
        <w:trPr>
          <w:trHeight w:val="102"/>
        </w:trPr>
        <w:tc>
          <w:tcPr>
            <w:tcW w:w="6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r>
      <w:tr>
        <w:trPr>
          <w:trHeight w:val="102"/>
        </w:trPr>
        <w:tc>
          <w:tcPr>
            <w:tcW w:w="6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40" w:type="dxa"/>
            <w:vAlign w:val="bottom"/>
          </w:tcPr>
          <w:p>
            <w:pPr>
              <w:spacing w:after="0"/>
              <w:rPr>
                <w:sz w:val="8"/>
                <w:szCs w:val="8"/>
                <w:color w:val="auto"/>
              </w:rPr>
            </w:pPr>
          </w:p>
        </w:tc>
      </w:tr>
      <w:tr>
        <w:trPr>
          <w:trHeight w:val="216"/>
        </w:trPr>
        <w:tc>
          <w:tcPr>
            <w:tcW w:w="6420" w:type="dxa"/>
            <w:vAlign w:val="bottom"/>
            <w:shd w:val="clear" w:color="auto" w:fill="EEEEEE"/>
          </w:tcPr>
          <w:p>
            <w:pPr>
              <w:spacing w:after="0"/>
              <w:rPr>
                <w:sz w:val="20"/>
                <w:szCs w:val="20"/>
                <w:color w:val="auto"/>
              </w:rPr>
            </w:pPr>
            <w:r>
              <w:rPr>
                <w:rFonts w:ascii="Arial" w:cs="Arial" w:eastAsia="Arial" w:hAnsi="Arial"/>
                <w:sz w:val="18"/>
                <w:szCs w:val="18"/>
                <w:color w:val="auto"/>
              </w:rPr>
              <w:t>Loss before income taxes</w:t>
            </w:r>
          </w:p>
        </w:tc>
        <w:tc>
          <w:tcPr>
            <w:tcW w:w="800" w:type="dxa"/>
            <w:vAlign w:val="bottom"/>
            <w:gridSpan w:val="3"/>
            <w:shd w:val="clear" w:color="auto" w:fill="EEEEEE"/>
          </w:tcPr>
          <w:p>
            <w:pPr>
              <w:jc w:val="right"/>
              <w:ind w:right="180"/>
              <w:spacing w:after="0"/>
              <w:rPr>
                <w:sz w:val="20"/>
                <w:szCs w:val="20"/>
                <w:color w:val="auto"/>
              </w:rPr>
            </w:pPr>
            <w:r>
              <w:rPr>
                <w:rFonts w:ascii="Arial" w:cs="Arial" w:eastAsia="Arial" w:hAnsi="Arial"/>
                <w:sz w:val="18"/>
                <w:szCs w:val="18"/>
                <w:color w:val="auto"/>
              </w:rPr>
              <w:t>(29.8)</w:t>
            </w:r>
          </w:p>
        </w:tc>
        <w:tc>
          <w:tcPr>
            <w:tcW w:w="1320" w:type="dxa"/>
            <w:vAlign w:val="bottom"/>
            <w:gridSpan w:val="4"/>
            <w:shd w:val="clear" w:color="auto" w:fill="EEEEEE"/>
          </w:tcPr>
          <w:p>
            <w:pPr>
              <w:jc w:val="right"/>
              <w:ind w:right="180"/>
              <w:spacing w:after="0"/>
              <w:rPr>
                <w:sz w:val="20"/>
                <w:szCs w:val="20"/>
                <w:color w:val="auto"/>
              </w:rPr>
            </w:pPr>
            <w:r>
              <w:rPr>
                <w:rFonts w:ascii="Arial" w:cs="Arial" w:eastAsia="Arial" w:hAnsi="Arial"/>
                <w:sz w:val="18"/>
                <w:szCs w:val="18"/>
                <w:color w:val="auto"/>
              </w:rPr>
              <w:t>(162.2)</w:t>
            </w:r>
          </w:p>
        </w:tc>
      </w:tr>
      <w:tr>
        <w:trPr>
          <w:trHeight w:val="222"/>
        </w:trPr>
        <w:tc>
          <w:tcPr>
            <w:tcW w:w="64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800" w:type="dxa"/>
            <w:vAlign w:val="bottom"/>
            <w:gridSpan w:val="3"/>
          </w:tcPr>
          <w:p>
            <w:pPr>
              <w:jc w:val="right"/>
              <w:ind w:right="180"/>
              <w:spacing w:after="0"/>
              <w:rPr>
                <w:sz w:val="20"/>
                <w:szCs w:val="20"/>
                <w:color w:val="auto"/>
              </w:rPr>
            </w:pPr>
            <w:r>
              <w:rPr>
                <w:rFonts w:ascii="Arial" w:cs="Arial" w:eastAsia="Arial" w:hAnsi="Arial"/>
                <w:sz w:val="18"/>
                <w:szCs w:val="18"/>
                <w:color w:val="auto"/>
              </w:rPr>
              <w:t>(1.4)</w:t>
            </w:r>
          </w:p>
        </w:tc>
        <w:tc>
          <w:tcPr>
            <w:tcW w:w="1320" w:type="dxa"/>
            <w:vAlign w:val="bottom"/>
            <w:gridSpan w:val="4"/>
          </w:tcPr>
          <w:p>
            <w:pPr>
              <w:jc w:val="right"/>
              <w:ind w:right="180"/>
              <w:spacing w:after="0"/>
              <w:rPr>
                <w:sz w:val="20"/>
                <w:szCs w:val="20"/>
                <w:color w:val="auto"/>
              </w:rPr>
            </w:pPr>
            <w:r>
              <w:rPr>
                <w:rFonts w:ascii="Arial" w:cs="Arial" w:eastAsia="Arial" w:hAnsi="Arial"/>
                <w:sz w:val="18"/>
                <w:szCs w:val="18"/>
                <w:color w:val="auto"/>
              </w:rPr>
              <w:t>(1.2)</w:t>
            </w:r>
          </w:p>
        </w:tc>
      </w:tr>
      <w:tr>
        <w:trPr>
          <w:trHeight w:val="102"/>
        </w:trPr>
        <w:tc>
          <w:tcPr>
            <w:tcW w:w="6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r>
      <w:tr>
        <w:trPr>
          <w:trHeight w:val="102"/>
        </w:trPr>
        <w:tc>
          <w:tcPr>
            <w:tcW w:w="6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40" w:type="dxa"/>
            <w:vAlign w:val="bottom"/>
          </w:tcPr>
          <w:p>
            <w:pPr>
              <w:spacing w:after="0"/>
              <w:rPr>
                <w:sz w:val="8"/>
                <w:szCs w:val="8"/>
                <w:color w:val="auto"/>
              </w:rPr>
            </w:pPr>
          </w:p>
        </w:tc>
      </w:tr>
      <w:tr>
        <w:trPr>
          <w:trHeight w:val="216"/>
        </w:trPr>
        <w:tc>
          <w:tcPr>
            <w:tcW w:w="6420" w:type="dxa"/>
            <w:vAlign w:val="bottom"/>
            <w:shd w:val="clear" w:color="auto" w:fill="EEEEEE"/>
          </w:tcPr>
          <w:p>
            <w:pPr>
              <w:spacing w:after="0"/>
              <w:rPr>
                <w:sz w:val="20"/>
                <w:szCs w:val="20"/>
                <w:color w:val="auto"/>
              </w:rPr>
            </w:pPr>
            <w:r>
              <w:rPr>
                <w:rFonts w:ascii="Arial" w:cs="Arial" w:eastAsia="Arial" w:hAnsi="Arial"/>
                <w:sz w:val="18"/>
                <w:szCs w:val="18"/>
                <w:color w:val="auto"/>
              </w:rPr>
              <w:t>Net loss</w:t>
            </w:r>
          </w:p>
        </w:tc>
        <w:tc>
          <w:tcPr>
            <w:tcW w:w="800" w:type="dxa"/>
            <w:vAlign w:val="bottom"/>
            <w:gridSpan w:val="3"/>
            <w:shd w:val="clear" w:color="auto" w:fill="EEEEEE"/>
          </w:tcPr>
          <w:p>
            <w:pPr>
              <w:jc w:val="right"/>
              <w:ind w:right="40"/>
              <w:spacing w:after="0"/>
              <w:rPr>
                <w:sz w:val="20"/>
                <w:szCs w:val="20"/>
                <w:color w:val="auto"/>
              </w:rPr>
            </w:pPr>
            <w:r>
              <w:rPr>
                <w:rFonts w:ascii="Arial" w:cs="Arial" w:eastAsia="Arial" w:hAnsi="Arial"/>
                <w:sz w:val="18"/>
                <w:szCs w:val="18"/>
                <w:color w:val="auto"/>
              </w:rPr>
              <w:t>(31.2)%</w:t>
            </w:r>
          </w:p>
        </w:tc>
        <w:tc>
          <w:tcPr>
            <w:tcW w:w="1320" w:type="dxa"/>
            <w:vAlign w:val="bottom"/>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(163.4)%</w:t>
            </w:r>
          </w:p>
        </w:tc>
      </w:tr>
      <w:tr>
        <w:trPr>
          <w:trHeight w:val="108"/>
        </w:trPr>
        <w:tc>
          <w:tcPr>
            <w:tcW w:w="64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r>
    </w:tbl>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April 30, 2002 and 2001</w:t>
      </w:r>
    </w:p>
    <w:p>
      <w:pPr>
        <w:spacing w:after="0" w:line="231"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b w:val="1"/>
          <w:bCs w:val="1"/>
          <w:i w:val="1"/>
          <w:iCs w:val="1"/>
          <w:color w:val="auto"/>
        </w:rPr>
        <w:t xml:space="preserve">Net Revenue. </w:t>
      </w:r>
      <w:r>
        <w:rPr>
          <w:rFonts w:ascii="Arial" w:cs="Arial" w:eastAsia="Arial" w:hAnsi="Arial"/>
          <w:sz w:val="16"/>
          <w:szCs w:val="16"/>
          <w:color w:val="auto"/>
        </w:rPr>
        <w:t>Net revenue consists primarily of product revenue from sales of our semiconductor devices, and to a much lesser extent, development revenue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derived from development contracts with our customers. Net revenue was $98.8 million for the three months ended April 30, 2002 compared to $64.2 million for the three months ended April 30, 2001. The increases in net revenue reflect a significant increase in volume shipments of our storage products during the three months ended April 30, 2002, primarily due to increased acceptance of our SOC storage products which began shipping in volume in the second half of fiscal 2002. Revenue from storage products totaled $63.8 million in the first quarter of fiscal 2003 compared to $28.6 million in the first quarter of fiscal 2002. Revenue from communications products was $35.0 million in the first quarter of fiscal 2003 compared to $35.6 million in the first quarter of fiscal 2002. Revenue derived from development contracts increased in absolute dollars during the first quarter of fiscal 2003 compared to the first quarter of fiscal 2002, but represented less than 10% of net revenues for each quarter. We expect that revenue from storage products for fiscal 2003 will increase from the level of revenue from storage products we reported in fiscal 2002 due in part to increases in shipments of our storage SOCs, which have been widely adopted by the mobile computer sector and which we expect to be adopted by the desktop computer sector during this fiscal year. In addition, we expect growth in revenue from communications products in fiscal 2003 compared to fiscal 2002 primarily due to increases in shipments of our Gigabit Ethernet products, which we expect will continue to be adopted as the replacement for Fast Ethernet products.</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220"/>
        <w:spacing w:after="0" w:line="287" w:lineRule="auto"/>
        <w:rPr>
          <w:sz w:val="20"/>
          <w:szCs w:val="20"/>
          <w:color w:val="auto"/>
        </w:rPr>
      </w:pPr>
      <w:r>
        <w:rPr>
          <w:rFonts w:ascii="Arial" w:cs="Arial" w:eastAsia="Arial" w:hAnsi="Arial"/>
          <w:sz w:val="16"/>
          <w:szCs w:val="16"/>
          <w:b w:val="1"/>
          <w:bCs w:val="1"/>
          <w:i w:val="1"/>
          <w:iCs w:val="1"/>
          <w:color w:val="auto"/>
        </w:rPr>
        <w:t xml:space="preserve">Cost of Goods Sold. </w:t>
      </w:r>
      <w:r>
        <w:rPr>
          <w:rFonts w:ascii="Arial" w:cs="Arial" w:eastAsia="Arial" w:hAnsi="Arial"/>
          <w:sz w:val="16"/>
          <w:szCs w:val="16"/>
          <w:color w:val="auto"/>
        </w:rPr>
        <w:t>Cost of goods sold consists primarily of the costs of manufacturing, assembly and test of integrated circuit devices and related overhead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costs, and compensation and associated costs relating to manufacturing support, logistics and quality assurance personnel. Gross margin, which is calculated as net revenue less cost of goods sold, as a percentage of net revenue, increased to 55.7% in the three months ended April 30, 2002 from 53.0% in the three months ended April 30, 2001. The increase in gross margin was primarily due to higher margins on our storage products which resulted from a shift in product mix to newer, higher-margin products, and to a lesser extent due to an increase in the amount of development revenue recognized in the first quarter of fiscal 2003 compared to the first quarter of fiscal 2002. The costs associated with contracted development work are included in research and development expense. Our gross margins are primarily driven by product mix; however, our margins may fluctuate in future periods due to, among other things, changes in the mix of products sold, increased pricing pressures from our customers and competitors, and changes in the amount development revenue recognized. We expect that our gross margin as a percentage of net revenue will decrease during fiscal 2003 due to the anticipated production ramps of large volume design wins in lower margin businesses such as the desktop computer sector.</w:t>
      </w:r>
    </w:p>
    <w:p>
      <w:pPr>
        <w:spacing w:after="0" w:line="177" w:lineRule="exact"/>
        <w:rPr>
          <w:sz w:val="20"/>
          <w:szCs w:val="20"/>
          <w:color w:val="auto"/>
        </w:rPr>
      </w:pPr>
    </w:p>
    <w:p>
      <w:pPr>
        <w:ind w:right="160" w:firstLine="220"/>
        <w:spacing w:after="0" w:line="305" w:lineRule="auto"/>
        <w:rPr>
          <w:sz w:val="20"/>
          <w:szCs w:val="20"/>
          <w:color w:val="auto"/>
        </w:rPr>
      </w:pPr>
      <w:r>
        <w:rPr>
          <w:rFonts w:ascii="Arial" w:cs="Arial" w:eastAsia="Arial" w:hAnsi="Arial"/>
          <w:sz w:val="15"/>
          <w:szCs w:val="15"/>
          <w:b w:val="1"/>
          <w:bCs w:val="1"/>
          <w:i w:val="1"/>
          <w:iCs w:val="1"/>
          <w:color w:val="auto"/>
        </w:rPr>
        <w:t xml:space="preserve">Research and Development. </w:t>
      </w:r>
      <w:r>
        <w:rPr>
          <w:rFonts w:ascii="Arial" w:cs="Arial" w:eastAsia="Arial" w:hAnsi="Arial"/>
          <w:sz w:val="15"/>
          <w:szCs w:val="15"/>
          <w:color w:val="auto"/>
        </w:rPr>
        <w:t>Research and development expense consists primarily of compensation and associated costs relating to development personnel,</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prototype costs, depreciation and amortization expense, and allocated occupancy costs for these operations. Research and development expense was</w:t>
      </w:r>
    </w:p>
    <w:p>
      <w:pPr>
        <w:spacing w:after="0" w:line="288" w:lineRule="auto"/>
        <w:rPr>
          <w:sz w:val="20"/>
          <w:szCs w:val="20"/>
          <w:color w:val="auto"/>
        </w:rPr>
      </w:pPr>
      <w:r>
        <w:rPr>
          <w:rFonts w:ascii="Arial" w:cs="Arial" w:eastAsia="Arial" w:hAnsi="Arial"/>
          <w:sz w:val="16"/>
          <w:szCs w:val="16"/>
          <w:color w:val="auto"/>
        </w:rPr>
        <w:t>$30.6 million, or 31.0% of net revenue, for the three months ended April 30, 2002 compared to $20.1 million, or 31.2% of net revenue, for the three months ended April 30, 2001. The increase in research and development expense in absolute dollars in the first quarter of fiscal 2003 compared to the first quarter of fiscal 2002 was primarily due to the hiring of additional development personnel which resulted in an increase in salary and related costs of $4.2 million, increased costs of $1.6 million for prototype and related product tape-out costs for new product initiatives, increased depreciation and amortization expense of $1.0 million arising from purchases of property, equipment and technology licenses, and increased facility and other allocated expenses of $2.2 million related to our expanding operations. We expect that research and development expense will increase in absolute dollars in future periods as we develop new products, expand into new markets and technologies, and hire additional personnel.</w:t>
      </w:r>
    </w:p>
    <w:p>
      <w:pPr>
        <w:spacing w:after="0" w:line="177" w:lineRule="exact"/>
        <w:rPr>
          <w:sz w:val="20"/>
          <w:szCs w:val="20"/>
          <w:color w:val="auto"/>
        </w:rPr>
      </w:pPr>
    </w:p>
    <w:p>
      <w:pPr>
        <w:ind w:left="220"/>
        <w:spacing w:after="0"/>
        <w:rPr>
          <w:sz w:val="20"/>
          <w:szCs w:val="20"/>
          <w:color w:val="auto"/>
        </w:rPr>
      </w:pPr>
      <w:r>
        <w:rPr>
          <w:rFonts w:ascii="Arial" w:cs="Arial" w:eastAsia="Arial" w:hAnsi="Arial"/>
          <w:sz w:val="16"/>
          <w:szCs w:val="16"/>
          <w:b w:val="1"/>
          <w:bCs w:val="1"/>
          <w:i w:val="1"/>
          <w:iCs w:val="1"/>
          <w:color w:val="auto"/>
        </w:rPr>
        <w:t xml:space="preserve">Selling and Marketing. </w:t>
      </w:r>
      <w:r>
        <w:rPr>
          <w:rFonts w:ascii="Arial" w:cs="Arial" w:eastAsia="Arial" w:hAnsi="Arial"/>
          <w:sz w:val="16"/>
          <w:szCs w:val="16"/>
          <w:color w:val="auto"/>
        </w:rPr>
        <w:t>Selling and marketing expense consists primarily of compensation and associated costs relating to sales and marketing personnel,</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sales commissions, promotional and other marketing expenses, and allocated occupancy costs for these operations. Selling and marketing expense was $11.0</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million, or 11.1% of net revenue, for the three months ended April 30, 2002 compared to $9.5 million, or 14.9% of net revenue, for the three months ended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April 30, 2001. The increase in selling and marketing expense in absolute dollars in the first quarter of fiscal 2003 compared to the first quarter of fiscal 2002 was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primarily due to the hiring of additional sales and marketing personnel which resulted in an increase in salary and related costs of $1.3 million, and increased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facility and other allocated expenses of $0.5 million related to our expanding operations, offset by a reduction in commission expense of $0.5 million.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reduction in commission expense was because we have transitioned all of our storage customers to a direct selling basis as of the end of the first quarter of fiscal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2003 instead of using outside sales representatives. We expect that selling and marketing expense will increase in absolute dollars in future periods as we hire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additional sales and marketing personnel and expand our sales and marketing efforts.</w:t>
      </w:r>
    </w:p>
    <w:p>
      <w:pPr>
        <w:spacing w:after="0" w:line="219" w:lineRule="exact"/>
        <w:rPr>
          <w:sz w:val="20"/>
          <w:szCs w:val="20"/>
          <w:color w:val="auto"/>
        </w:rPr>
      </w:pPr>
    </w:p>
    <w:p>
      <w:pPr>
        <w:ind w:right="40" w:firstLine="220"/>
        <w:spacing w:after="0" w:line="289" w:lineRule="auto"/>
        <w:rPr>
          <w:sz w:val="20"/>
          <w:szCs w:val="20"/>
          <w:color w:val="auto"/>
        </w:rPr>
      </w:pPr>
      <w:r>
        <w:rPr>
          <w:rFonts w:ascii="Arial" w:cs="Arial" w:eastAsia="Arial" w:hAnsi="Arial"/>
          <w:sz w:val="16"/>
          <w:szCs w:val="16"/>
          <w:b w:val="1"/>
          <w:bCs w:val="1"/>
          <w:i w:val="1"/>
          <w:iCs w:val="1"/>
          <w:color w:val="auto"/>
        </w:rPr>
        <w:t xml:space="preserve">General and Administrative. </w:t>
      </w:r>
      <w:r>
        <w:rPr>
          <w:rFonts w:ascii="Arial" w:cs="Arial" w:eastAsia="Arial" w:hAnsi="Arial"/>
          <w:sz w:val="16"/>
          <w:szCs w:val="16"/>
          <w:color w:val="auto"/>
        </w:rPr>
        <w:t>General and administrative expense consists primarily of compensation and associated costs relating to general and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administrative personnel, fees for professional services and allocated occupancy costs for these operations. General and administrative expense was $3.6 million, or 3.7% of net revenue, for the three months ended April 30, 2002 compared to $3.0 million, or 4.6% of net revenue, for the three months ended April 30, 2001. The increase in general and administrative expense in absolute dollars in the first quarter of fiscal 2003 compared to the first quarter of fiscal 2002 was primarily due to the hiring of additional administrative personnel which resulted in an increase in salary and related costs of $0.1 million and increased legal and other professional fees of $0.6 million due to our expanding operations and attorney fees associated with our on-going legal proceedings. We expect that general and administrative expense will remain relatively constant in absolute dollars in future quarters this year compared to the first quarter of fiscal 2003 as we continue to focus on cost saving measures.</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220"/>
        <w:spacing w:after="0" w:line="290" w:lineRule="auto"/>
        <w:rPr>
          <w:sz w:val="20"/>
          <w:szCs w:val="20"/>
          <w:color w:val="auto"/>
        </w:rPr>
      </w:pPr>
      <w:r>
        <w:rPr>
          <w:rFonts w:ascii="Arial" w:cs="Arial" w:eastAsia="Arial" w:hAnsi="Arial"/>
          <w:sz w:val="16"/>
          <w:szCs w:val="16"/>
          <w:b w:val="1"/>
          <w:bCs w:val="1"/>
          <w:i w:val="1"/>
          <w:iCs w:val="1"/>
          <w:color w:val="auto"/>
        </w:rPr>
        <w:t xml:space="preserve">Amortization of Stock-Based Compensation. </w:t>
      </w:r>
      <w:r>
        <w:rPr>
          <w:rFonts w:ascii="Arial" w:cs="Arial" w:eastAsia="Arial" w:hAnsi="Arial"/>
          <w:sz w:val="16"/>
          <w:szCs w:val="16"/>
          <w:color w:val="auto"/>
        </w:rPr>
        <w:t>We have recorded deferred stock-based compensation in connection with the grant of stock options to our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employees and directors prior to our initial public offering of common stock and in connection with the assumption of stock options as a result of our acquisition of Galileo. Deferred stock-based compensation is being amortized using an accelerated method over the remaining option vesting period. Amortization of stock-based compensation was $2.3 million, or 2.3% of net revenue, for the three months ended April 30, 2002 compared to $4.1 million, or 6.4% of net revenue, for the three months ended April 30, 2001. The decrease in amortization expense in absolute dollars in the first quarter of fiscal 2003 compared to the first quarter of fiscal 2002 primarily resulted from a reduced balance of deferred stock-based compensation being amortized in the first quarter of fiscal 2003 compared to the first quarter of fiscal 2002.</w:t>
      </w:r>
    </w:p>
    <w:p>
      <w:pPr>
        <w:spacing w:after="0" w:line="172" w:lineRule="exact"/>
        <w:rPr>
          <w:sz w:val="20"/>
          <w:szCs w:val="20"/>
          <w:color w:val="auto"/>
        </w:rPr>
      </w:pPr>
    </w:p>
    <w:p>
      <w:pPr>
        <w:ind w:right="120" w:firstLine="220"/>
        <w:spacing w:after="0" w:line="255" w:lineRule="auto"/>
        <w:rPr>
          <w:sz w:val="20"/>
          <w:szCs w:val="20"/>
          <w:color w:val="auto"/>
        </w:rPr>
      </w:pPr>
      <w:r>
        <w:rPr>
          <w:rFonts w:ascii="Arial" w:cs="Arial" w:eastAsia="Arial" w:hAnsi="Arial"/>
          <w:sz w:val="18"/>
          <w:szCs w:val="18"/>
          <w:b w:val="1"/>
          <w:bCs w:val="1"/>
          <w:i w:val="1"/>
          <w:iCs w:val="1"/>
          <w:color w:val="auto"/>
        </w:rPr>
        <w:t xml:space="preserve">Amortization of Goodwill and Acquired Intangible Assets. </w:t>
      </w:r>
      <w:r>
        <w:rPr>
          <w:rFonts w:ascii="Arial" w:cs="Arial" w:eastAsia="Arial" w:hAnsi="Arial"/>
          <w:sz w:val="18"/>
          <w:szCs w:val="18"/>
          <w:color w:val="auto"/>
        </w:rPr>
        <w:t>In connection with the acquisition of Galileo in the fourth quarter of fiscal 2001, we recorded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$1.7 billion of goodwill and $434.7 million of acquired intangible assets. Goodwill was being amortized over its estimated economic life of five years through January 31, 2002, and acquired intangible assets are being amortized over their estimated economic lives of five to ten years. Goodwill and acquired intangible asset amortization expense was $21.3 million, or 21.6% of net revenue, for the three months ended April 30, 2002 compared to $104.5 million, or 162.7% of net revenue, for the three months ended April 30, 2001.</w:t>
      </w:r>
    </w:p>
    <w:p>
      <w:pPr>
        <w:spacing w:after="0" w:line="197"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color w:val="auto"/>
        </w:rPr>
        <w:t>In July 2001, the FASB issued Statement of Financial Accounting Standards No. 142 (“SFAS 142”), Goodwill and Other Intangible Assets. SFAS 142 requires, among other things, a goodwill impairment test within six months of adoption and annual impairment tests thereafter. We adopted SFAS 142 in February 2002. As required by SFAS 142, we ceased amortizing goodwill of $1.3 billion beginning February 1, 2002 and have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Also as part of the adoption of SFAS 142, we reassessed the useful lives of our two remaining acquisition-related intangible assets, developed technology and trade name, and determined that the useful life of the Galileo trade name should be five years from the date of acquisition instead of its previously estimated useful life of ten years. This change in useful life, which was based on our expected future use of the Galileo trade name in our selling and marketing activities as well as our expected contribution to future cash flows, will increase our trade name amortization expense to $7.5 million per year in fiscal 2003 compared to the $3.3 million it recorded in fiscal 2002. We have begun performing the first step of the two-step goodwill impairment test prescribed by SFAS 142. We have not yet completed this analysis and expect to complete it within the required time frame of the first six months of fiscal 2003.</w:t>
      </w:r>
    </w:p>
    <w:p>
      <w:pPr>
        <w:spacing w:after="0" w:line="181" w:lineRule="exact"/>
        <w:rPr>
          <w:sz w:val="20"/>
          <w:szCs w:val="20"/>
          <w:color w:val="auto"/>
        </w:rPr>
      </w:pPr>
    </w:p>
    <w:p>
      <w:pPr>
        <w:ind w:right="40" w:firstLine="220"/>
        <w:spacing w:after="0" w:line="289" w:lineRule="auto"/>
        <w:rPr>
          <w:sz w:val="20"/>
          <w:szCs w:val="20"/>
          <w:color w:val="auto"/>
        </w:rPr>
      </w:pPr>
      <w:r>
        <w:rPr>
          <w:rFonts w:ascii="Arial" w:cs="Arial" w:eastAsia="Arial" w:hAnsi="Arial"/>
          <w:sz w:val="16"/>
          <w:szCs w:val="16"/>
          <w:b w:val="1"/>
          <w:bCs w:val="1"/>
          <w:i w:val="1"/>
          <w:iCs w:val="1"/>
          <w:color w:val="auto"/>
        </w:rPr>
        <w:t xml:space="preserve">Facilities Consolidation Charge. </w:t>
      </w:r>
      <w:r>
        <w:rPr>
          <w:rFonts w:ascii="Arial" w:cs="Arial" w:eastAsia="Arial" w:hAnsi="Arial"/>
          <w:sz w:val="16"/>
          <w:szCs w:val="16"/>
          <w:color w:val="auto"/>
        </w:rPr>
        <w:t>During the three months ended April 30, 2002, we recorded a $17.8 million charge associated with costs of consolidation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our facilities. This charge included $10.8 million in lease abandonment charges relating to the consolidation of our three facilities in the Silicon Valley into one single corporate location. This charge includes the remaining lease commitments of these facilities reduced by the estimated sublease income throughout the duration of the lease term. Facilities consolidation charge also includes $6.0 million consisting of the write-down of certain property and leasehold improvements associated with the abandoned facilities. We also incurred charges of $1.0 million through April 30, 2002 as a result of duplicate lease and other costs associated with the dual occupation of our current and abandoned facilities. The facilities consolidation charge is an estimate as of April 30, 2002 and may change as we obtain subleases for the abandoned facilities and sublease income is known. At April 30, 2002, payments of $1.2 million had been made in connection with this charge, and $16.6 million had been accrued and is payable through 2010.</w:t>
      </w:r>
    </w:p>
    <w:p>
      <w:pPr>
        <w:spacing w:after="0" w:line="166" w:lineRule="exact"/>
        <w:rPr>
          <w:sz w:val="20"/>
          <w:szCs w:val="20"/>
          <w:color w:val="auto"/>
        </w:rPr>
      </w:pPr>
    </w:p>
    <w:p>
      <w:pPr>
        <w:ind w:right="100" w:firstLine="220"/>
        <w:spacing w:after="0" w:line="296" w:lineRule="auto"/>
        <w:rPr>
          <w:sz w:val="20"/>
          <w:szCs w:val="20"/>
          <w:color w:val="auto"/>
        </w:rPr>
      </w:pPr>
      <w:r>
        <w:rPr>
          <w:rFonts w:ascii="Arial" w:cs="Arial" w:eastAsia="Arial" w:hAnsi="Arial"/>
          <w:sz w:val="16"/>
          <w:szCs w:val="16"/>
          <w:b w:val="1"/>
          <w:bCs w:val="1"/>
          <w:i w:val="1"/>
          <w:iCs w:val="1"/>
          <w:color w:val="auto"/>
        </w:rPr>
        <w:t>Interest and Other Income, Net</w:t>
      </w:r>
      <w:r>
        <w:rPr>
          <w:rFonts w:ascii="Arial" w:cs="Arial" w:eastAsia="Arial" w:hAnsi="Arial"/>
          <w:sz w:val="16"/>
          <w:szCs w:val="16"/>
          <w:b w:val="1"/>
          <w:bCs w:val="1"/>
          <w:color w:val="auto"/>
        </w:rPr>
        <w: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Interest and other income, net consists primarily of interest earned on cash, cash equivalent and short-term investment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balances, offset by interest paid on capital lease obligations. Interest and other income, net was $2.1 million for the three months ended April 30, 2002 compared to $3.0 million for the three months ended April 30, 2001. The decrease in interest and other income, net in the first quarter of fiscal 2003 compared to the first quarter of fiscal 2002 was due to an overall decline in interest rates on comparable invested cash balances and an increase in interest expense on capital lease obligations, partially offset by realized gains of $0.7 million in the first quarter of fiscal 2003.</w:t>
      </w:r>
    </w:p>
    <w:p>
      <w:pPr>
        <w:spacing w:after="0" w:line="168" w:lineRule="exact"/>
        <w:rPr>
          <w:sz w:val="20"/>
          <w:szCs w:val="20"/>
          <w:color w:val="auto"/>
        </w:rPr>
      </w:pPr>
    </w:p>
    <w:p>
      <w:pPr>
        <w:ind w:right="240" w:firstLine="220"/>
        <w:spacing w:after="0" w:line="268" w:lineRule="auto"/>
        <w:rPr>
          <w:sz w:val="20"/>
          <w:szCs w:val="20"/>
          <w:color w:val="auto"/>
        </w:rPr>
      </w:pPr>
      <w:r>
        <w:rPr>
          <w:rFonts w:ascii="Arial" w:cs="Arial" w:eastAsia="Arial" w:hAnsi="Arial"/>
          <w:sz w:val="18"/>
          <w:szCs w:val="18"/>
          <w:b w:val="1"/>
          <w:bCs w:val="1"/>
          <w:i w:val="1"/>
          <w:iCs w:val="1"/>
          <w:color w:val="auto"/>
        </w:rPr>
        <w:t xml:space="preserve">Provision for Income Taxes. </w:t>
      </w:r>
      <w:r>
        <w:rPr>
          <w:rFonts w:ascii="Arial" w:cs="Arial" w:eastAsia="Arial" w:hAnsi="Arial"/>
          <w:sz w:val="18"/>
          <w:szCs w:val="18"/>
          <w:color w:val="auto"/>
        </w:rPr>
        <w:t>Our effective tax rate was (5)% for the three months ended April 30, 2002 compared to (1)% for the three months ended April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30, 2001. Our effective rates for the first quarter of fiscal</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94" w:lineRule="auto"/>
        <w:rPr>
          <w:sz w:val="20"/>
          <w:szCs w:val="20"/>
          <w:color w:val="auto"/>
        </w:rPr>
      </w:pPr>
      <w:r>
        <w:rPr>
          <w:rFonts w:ascii="Arial" w:cs="Arial" w:eastAsia="Arial" w:hAnsi="Arial"/>
          <w:sz w:val="16"/>
          <w:szCs w:val="16"/>
          <w:color w:val="auto"/>
        </w:rPr>
        <w:t>2003 and 2002 were affected by stock-based compensation expense as well as non-deductible expenses relating to our acquisition of Galileo in the fourth quarter of fiscal 2001, which was recorded using the purchase method of accounting. Excluding the effect of stock-based compensation expense, non-deductible, acquisition-related expenses, and costs associated with facilities consolidation, our adjusted effective tax rate for the first quarter of fiscal 2003 was 12%, compared to 15% for the first quarter of fiscal 2002. Our adjusted effective tax rate has decreased to 12% in the first quarter of fiscal 2003 from 15% in the first quarter of fiscal 2002 as a result of a relative increase in pretax profits in jurisdictions with lower tax rates.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31"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Our principal source of liquidity as of April 30, 2002 consisted of $257.0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Galileo in January 2001.</w:t>
      </w:r>
    </w:p>
    <w:p>
      <w:pPr>
        <w:spacing w:after="0" w:line="194" w:lineRule="exact"/>
        <w:rPr>
          <w:sz w:val="20"/>
          <w:szCs w:val="20"/>
          <w:color w:val="auto"/>
        </w:rPr>
      </w:pPr>
    </w:p>
    <w:p>
      <w:pPr>
        <w:ind w:right="20" w:firstLine="220"/>
        <w:spacing w:after="0" w:line="286" w:lineRule="auto"/>
        <w:rPr>
          <w:sz w:val="20"/>
          <w:szCs w:val="20"/>
          <w:color w:val="auto"/>
        </w:rPr>
      </w:pPr>
      <w:r>
        <w:rPr>
          <w:rFonts w:ascii="Arial" w:cs="Arial" w:eastAsia="Arial" w:hAnsi="Arial"/>
          <w:sz w:val="16"/>
          <w:szCs w:val="16"/>
          <w:color w:val="auto"/>
        </w:rPr>
        <w:t>Net cash provided by operating activities was $9.5 million for the three months ended April 30, 2002 and $10.1 million for the three months ended April 30, 2001. The cash inflow from operations in the first three months of fiscal 2003 was primarily a result of our generation of income during the period (excluding the non-cash impact of depreciation and amortization expenses), a decrease in inventory and increases in accounts payable and accrued facility consolidation charge, partially offset by an increase in accounts receivable and a decrease in accrued liabilities. The cash inflow from operations in the first three months of fiscal 2002 was primarily due to our generation of income during the period (excluding the non-cash impact of depreciation and amortization expenses) and a decrease in inventory, partially offset by decreases in accounts payable and accrued liabilities. Due to the nature of our business, we experience working capital needs for accounts receivable and inventory. We typically bill customers on an open account basis with net 30-day payment terms. If our sales levels were to increase,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178"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Net cash used in investing activities was $18.4 million for the three months ended April 30, 2002 and $33.9 million for the three months ended April 30, 2002. The net cash used in investing activities in the first three months of fiscal 2003 was due to purchases of property and equipment of $10.8 million and purchases of short-term investments of $20.5 million, partially offset by the proceeds from maturities of short-term investments of $12.5 million. The net cash used in investing activities in the first three months of fiscal 2002 was primarily due to the payment of $29.1 million of accrued acquisition costs relating to our acquisition of Galileo, purchases of property and equipment of $7.1 million, and purchases of short-term investments of $8.0 million, partially offset by the proceeds from maturities of short-term investments of $11.0 million.</w:t>
      </w:r>
    </w:p>
    <w:p>
      <w:pPr>
        <w:spacing w:after="0" w:line="174" w:lineRule="exact"/>
        <w:rPr>
          <w:sz w:val="20"/>
          <w:szCs w:val="20"/>
          <w:color w:val="auto"/>
        </w:rPr>
      </w:pPr>
    </w:p>
    <w:p>
      <w:pPr>
        <w:ind w:right="60" w:firstLine="220"/>
        <w:spacing w:after="0" w:line="306" w:lineRule="auto"/>
        <w:rPr>
          <w:sz w:val="20"/>
          <w:szCs w:val="20"/>
          <w:color w:val="auto"/>
        </w:rPr>
      </w:pPr>
      <w:r>
        <w:rPr>
          <w:rFonts w:ascii="Arial" w:cs="Arial" w:eastAsia="Arial" w:hAnsi="Arial"/>
          <w:sz w:val="16"/>
          <w:szCs w:val="16"/>
          <w:color w:val="auto"/>
        </w:rPr>
        <w:t>Net cash provided by financing activities was $8.7 million for the three months ended April 30, 2002 and $0.9 million for the three months ended April 30, 2002. In the first three months of fiscal 2003 and 2002, net cash provided by financing activities was attributable to proceeds from the issuance of common stock under our stock option plans and our employee stock purchase plan, partially offset by principal payments on capital lease obligations.</w:t>
      </w:r>
    </w:p>
    <w:p>
      <w:pPr>
        <w:spacing w:after="0" w:line="161" w:lineRule="exact"/>
        <w:rPr>
          <w:sz w:val="20"/>
          <w:szCs w:val="20"/>
          <w:color w:val="auto"/>
        </w:rPr>
      </w:pPr>
    </w:p>
    <w:p>
      <w:pPr>
        <w:ind w:firstLine="220"/>
        <w:spacing w:after="0" w:line="259" w:lineRule="auto"/>
        <w:rPr>
          <w:sz w:val="20"/>
          <w:szCs w:val="20"/>
          <w:color w:val="auto"/>
        </w:rPr>
      </w:pPr>
      <w:r>
        <w:rPr>
          <w:rFonts w:ascii="Arial" w:cs="Arial" w:eastAsia="Arial" w:hAnsi="Arial"/>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April 30, 2002, our foundries had incurred approximately $46.2 million of manufacturing expenses on our outstanding purchase orders.</w:t>
      </w:r>
    </w:p>
    <w:p>
      <w:pPr>
        <w:spacing w:after="0" w:line="194" w:lineRule="exact"/>
        <w:rPr>
          <w:sz w:val="20"/>
          <w:szCs w:val="20"/>
          <w:color w:val="auto"/>
        </w:rPr>
      </w:pPr>
    </w:p>
    <w:p>
      <w:pPr>
        <w:ind w:right="60" w:firstLine="220"/>
        <w:spacing w:after="0" w:line="259" w:lineRule="auto"/>
        <w:rPr>
          <w:sz w:val="20"/>
          <w:szCs w:val="20"/>
          <w:color w:val="auto"/>
        </w:rPr>
      </w:pPr>
      <w:r>
        <w:rPr>
          <w:rFonts w:ascii="Arial" w:cs="Arial" w:eastAsia="Arial" w:hAnsi="Arial"/>
          <w:sz w:val="18"/>
          <w:szCs w:val="18"/>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February 2002, we consolidated our three existing facilities in California into this new building. The lease on one of our former facilities expired in February 2002, but we have ongoing, non-cancelable leases for the 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In the first quarter of fiscal 2003, we recorded a $17.8 million charge associated with costs of consolidation of our facilities. This charge includes the remaining lease commitments of these facilities reduced by the estimated sublease income throughout the duration of the lease term. The facilities consolidation charge is an estimate as of April 30, 2002 and may change as we obtain subleases for the abandoned facilities and sublease income is known. At April 20, 2002, payments of $1.2 million had been made in connection with this charge, and $16.6 million had been accrued and is payable through 2010.</w:t>
      </w:r>
    </w:p>
    <w:p>
      <w:pPr>
        <w:spacing w:after="0" w:line="172" w:lineRule="exact"/>
        <w:rPr>
          <w:sz w:val="20"/>
          <w:szCs w:val="20"/>
          <w:color w:val="auto"/>
        </w:rPr>
      </w:pPr>
    </w:p>
    <w:p>
      <w:pPr>
        <w:ind w:right="60" w:firstLine="216"/>
        <w:spacing w:after="0" w:line="290" w:lineRule="auto"/>
        <w:rPr>
          <w:sz w:val="20"/>
          <w:szCs w:val="20"/>
          <w:color w:val="auto"/>
        </w:rPr>
      </w:pPr>
      <w:r>
        <w:rPr>
          <w:rFonts w:ascii="Arial" w:cs="Arial" w:eastAsia="Arial" w:hAnsi="Arial"/>
          <w:sz w:val="16"/>
          <w:szCs w:val="16"/>
          <w:color w:val="auto"/>
        </w:rPr>
        <w:t>We intend to fund our capital requirements, as well as our liquidity needs, with existing cash, cash equivalent and short-term investment balances as well as cash generated by operations. However,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Although we are not a party to any definitive agreement regarding an acquisition or other strategic arrangement, we may thereafter enter into an acquisition or other strategic arrangement that could require us to seek additional debt or equity financing. Additional funds may not be available on terms favorable to us or at all.</w:t>
      </w:r>
    </w:p>
    <w:p>
      <w:pPr>
        <w:spacing w:after="0" w:line="172" w:lineRule="exact"/>
        <w:rPr>
          <w:sz w:val="20"/>
          <w:szCs w:val="20"/>
          <w:color w:val="auto"/>
        </w:rPr>
      </w:pPr>
    </w:p>
    <w:p>
      <w:pPr>
        <w:ind w:right="40" w:firstLine="216"/>
        <w:spacing w:after="0" w:line="268" w:lineRule="auto"/>
        <w:rPr>
          <w:sz w:val="20"/>
          <w:szCs w:val="20"/>
          <w:color w:val="auto"/>
        </w:rPr>
      </w:pPr>
      <w:r>
        <w:rPr>
          <w:rFonts w:ascii="Arial" w:cs="Arial" w:eastAsia="Arial" w:hAnsi="Arial"/>
          <w:sz w:val="18"/>
          <w:szCs w:val="18"/>
          <w:color w:val="auto"/>
        </w:rPr>
        <w:t>The following table summarizes our contractual obligations as of April 30, 2002 and the effect such obligations are expected to have on our liquidity and cash flow in future periods (in thousands):</w:t>
      </w:r>
    </w:p>
    <w:p>
      <w:pPr>
        <w:spacing w:after="0" w:line="200" w:lineRule="exact"/>
        <w:rPr>
          <w:sz w:val="20"/>
          <w:szCs w:val="20"/>
          <w:color w:val="auto"/>
        </w:rPr>
      </w:pPr>
    </w:p>
    <w:p>
      <w:pPr>
        <w:spacing w:after="0" w:line="225"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3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160" w:type="dxa"/>
            <w:vAlign w:val="bottom"/>
            <w:gridSpan w:val="6"/>
          </w:tcPr>
          <w:p>
            <w:pPr>
              <w:ind w:left="160"/>
              <w:spacing w:after="0"/>
              <w:rPr>
                <w:sz w:val="20"/>
                <w:szCs w:val="20"/>
                <w:color w:val="auto"/>
              </w:rPr>
            </w:pPr>
            <w:r>
              <w:rPr>
                <w:rFonts w:ascii="Arial" w:cs="Arial" w:eastAsia="Arial" w:hAnsi="Arial"/>
                <w:sz w:val="14"/>
                <w:szCs w:val="14"/>
                <w:b w:val="1"/>
                <w:bCs w:val="1"/>
                <w:color w:val="auto"/>
              </w:rPr>
              <w:t>Payments Due by Period</w:t>
            </w: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4380" w:type="dxa"/>
            <w:vAlign w:val="bottom"/>
          </w:tcPr>
          <w:p>
            <w:pPr>
              <w:spacing w:after="0"/>
              <w:rPr>
                <w:sz w:val="20"/>
                <w:szCs w:val="20"/>
                <w:color w:val="auto"/>
              </w:rPr>
            </w:pPr>
          </w:p>
        </w:tc>
        <w:tc>
          <w:tcPr>
            <w:tcW w:w="122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5"/>
              </w:rPr>
              <w:t>Less than</w:t>
            </w:r>
          </w:p>
        </w:tc>
        <w:tc>
          <w:tcPr>
            <w:tcW w:w="1060" w:type="dxa"/>
            <w:vAlign w:val="bottom"/>
            <w:gridSpan w:val="3"/>
          </w:tcPr>
          <w:p>
            <w:pPr>
              <w:jc w:val="right"/>
              <w:ind w:right="66"/>
              <w:spacing w:after="0"/>
              <w:rPr>
                <w:sz w:val="20"/>
                <w:szCs w:val="20"/>
                <w:color w:val="auto"/>
              </w:rPr>
            </w:pPr>
            <w:r>
              <w:rPr>
                <w:rFonts w:ascii="Arial" w:cs="Arial" w:eastAsia="Arial" w:hAnsi="Arial"/>
                <w:sz w:val="14"/>
                <w:szCs w:val="14"/>
                <w:b w:val="1"/>
                <w:bCs w:val="1"/>
                <w:color w:val="auto"/>
              </w:rPr>
              <w:t>1 - 3</w:t>
            </w: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After 3</w:t>
            </w:r>
          </w:p>
        </w:tc>
        <w:tc>
          <w:tcPr>
            <w:tcW w:w="2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3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5"/>
              </w:rPr>
              <w:t>1 Year</w:t>
            </w: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00" w:type="dxa"/>
            <w:vAlign w:val="bottom"/>
            <w:gridSpan w:val="2"/>
          </w:tcPr>
          <w:p>
            <w:pPr>
              <w:ind w:left="80"/>
              <w:spacing w:after="0"/>
              <w:rPr>
                <w:sz w:val="20"/>
                <w:szCs w:val="20"/>
                <w:color w:val="auto"/>
              </w:rPr>
            </w:pPr>
            <w:r>
              <w:rPr>
                <w:rFonts w:ascii="Arial" w:cs="Arial" w:eastAsia="Arial" w:hAnsi="Arial"/>
                <w:sz w:val="14"/>
                <w:szCs w:val="14"/>
                <w:b w:val="1"/>
                <w:bCs w:val="1"/>
                <w:color w:val="auto"/>
              </w:rPr>
              <w:t>Years</w:t>
            </w: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3"/>
              </w:rPr>
              <w:t>Years</w:t>
            </w: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780" w:type="dxa"/>
            <w:vAlign w:val="bottom"/>
            <w:gridSpan w:val="2"/>
          </w:tcPr>
          <w:p>
            <w:pPr>
              <w:ind w:left="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4380" w:type="dxa"/>
            <w:vAlign w:val="bottom"/>
          </w:tcPr>
          <w:p>
            <w:pPr>
              <w:spacing w:after="0"/>
              <w:rPr>
                <w:sz w:val="20"/>
                <w:szCs w:val="20"/>
                <w:color w:val="auto"/>
              </w:rPr>
            </w:pPr>
          </w:p>
        </w:tc>
        <w:tc>
          <w:tcPr>
            <w:tcW w:w="1220" w:type="dxa"/>
            <w:vAlign w:val="bottom"/>
            <w:gridSpan w:val="3"/>
          </w:tcPr>
          <w:p>
            <w:pPr>
              <w:jc w:val="center"/>
              <w:ind w:right="20"/>
              <w:spacing w:after="0"/>
              <w:rPr>
                <w:sz w:val="20"/>
                <w:szCs w:val="20"/>
                <w:color w:val="auto"/>
              </w:rPr>
            </w:pPr>
            <w:r>
              <w:rPr>
                <w:rFonts w:ascii="Arial" w:cs="Arial" w:eastAsia="Arial" w:hAnsi="Arial"/>
                <w:sz w:val="14"/>
                <w:szCs w:val="14"/>
                <w:color w:val="auto"/>
                <w:w w:val="90"/>
              </w:rPr>
              <w:t>(remaining</w:t>
            </w: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4380" w:type="dxa"/>
            <w:vAlign w:val="bottom"/>
          </w:tcPr>
          <w:p>
            <w:pPr>
              <w:spacing w:after="0"/>
              <w:rPr>
                <w:sz w:val="13"/>
                <w:szCs w:val="13"/>
                <w:color w:val="auto"/>
              </w:rPr>
            </w:pPr>
          </w:p>
        </w:tc>
        <w:tc>
          <w:tcPr>
            <w:tcW w:w="1220" w:type="dxa"/>
            <w:vAlign w:val="bottom"/>
            <w:gridSpan w:val="3"/>
          </w:tcPr>
          <w:p>
            <w:pPr>
              <w:jc w:val="center"/>
              <w:ind w:right="20"/>
              <w:spacing w:after="0" w:line="159" w:lineRule="exact"/>
              <w:rPr>
                <w:sz w:val="20"/>
                <w:szCs w:val="20"/>
                <w:color w:val="auto"/>
              </w:rPr>
            </w:pPr>
            <w:r>
              <w:rPr>
                <w:rFonts w:ascii="Arial" w:cs="Arial" w:eastAsia="Arial" w:hAnsi="Arial"/>
                <w:sz w:val="14"/>
                <w:szCs w:val="14"/>
                <w:color w:val="auto"/>
                <w:w w:val="88"/>
              </w:rPr>
              <w:t>nine months)</w:t>
            </w:r>
          </w:p>
        </w:tc>
        <w:tc>
          <w:tcPr>
            <w:tcW w:w="2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3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ind w:left="220"/>
              <w:spacing w:after="0"/>
              <w:rPr>
                <w:sz w:val="20"/>
                <w:szCs w:val="20"/>
                <w:color w:val="auto"/>
              </w:rPr>
            </w:pPr>
            <w:r>
              <w:rPr>
                <w:rFonts w:ascii="Arial" w:cs="Arial" w:eastAsia="Arial" w:hAnsi="Arial"/>
                <w:sz w:val="18"/>
                <w:szCs w:val="18"/>
                <w:color w:val="auto"/>
              </w:rPr>
              <w:t>Operating leases</w:t>
            </w: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6,453</w:t>
            </w:r>
          </w:p>
        </w:tc>
        <w:tc>
          <w:tcPr>
            <w:tcW w:w="36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$18,935</w:t>
            </w:r>
          </w:p>
        </w:tc>
        <w:tc>
          <w:tcPr>
            <w:tcW w:w="30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$15,508</w:t>
            </w:r>
          </w:p>
        </w:tc>
        <w:tc>
          <w:tcPr>
            <w:tcW w:w="30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$40,896</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Capital lease obligations</w:t>
            </w:r>
          </w:p>
        </w:tc>
        <w:tc>
          <w:tcPr>
            <w:tcW w:w="3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1,200</w:t>
            </w:r>
          </w:p>
        </w:tc>
        <w:tc>
          <w:tcPr>
            <w:tcW w:w="36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4,500</w:t>
            </w:r>
          </w:p>
        </w:tc>
        <w:tc>
          <w:tcPr>
            <w:tcW w:w="30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6,800</w:t>
            </w:r>
          </w:p>
        </w:tc>
        <w:tc>
          <w:tcPr>
            <w:tcW w:w="30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12,500</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380" w:type="dxa"/>
            <w:vAlign w:val="bottom"/>
          </w:tcPr>
          <w:p>
            <w:pPr>
              <w:ind w:left="220"/>
              <w:spacing w:after="0"/>
              <w:rPr>
                <w:sz w:val="20"/>
                <w:szCs w:val="20"/>
                <w:color w:val="auto"/>
              </w:rPr>
            </w:pPr>
            <w:r>
              <w:rPr>
                <w:rFonts w:ascii="Arial" w:cs="Arial" w:eastAsia="Arial" w:hAnsi="Arial"/>
                <w:sz w:val="18"/>
                <w:szCs w:val="18"/>
                <w:color w:val="auto"/>
              </w:rPr>
              <w:t>Purchase commitments to foundries</w:t>
            </w:r>
          </w:p>
        </w:tc>
        <w:tc>
          <w:tcPr>
            <w:tcW w:w="36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46,229</w:t>
            </w:r>
          </w:p>
        </w:tc>
        <w:tc>
          <w:tcPr>
            <w:tcW w:w="3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46,229</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38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8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Total contractual cash obligations</w:t>
            </w: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53,882</w:t>
            </w:r>
          </w:p>
        </w:tc>
        <w:tc>
          <w:tcPr>
            <w:tcW w:w="36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$23,435</w:t>
            </w:r>
          </w:p>
        </w:tc>
        <w:tc>
          <w:tcPr>
            <w:tcW w:w="30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$22,308</w:t>
            </w:r>
          </w:p>
        </w:tc>
        <w:tc>
          <w:tcPr>
            <w:tcW w:w="30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$99,625</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3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380" w:type="dxa"/>
            <w:vAlign w:val="bottom"/>
          </w:tcPr>
          <w:p>
            <w:pPr>
              <w:spacing w:after="0"/>
              <w:rPr>
                <w:sz w:val="5"/>
                <w:szCs w:val="5"/>
                <w:color w:val="auto"/>
              </w:rPr>
            </w:pPr>
          </w:p>
        </w:tc>
        <w:tc>
          <w:tcPr>
            <w:tcW w:w="3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31" w:lineRule="exact"/>
        <w:rPr>
          <w:sz w:val="20"/>
          <w:szCs w:val="20"/>
          <w:color w:val="auto"/>
        </w:rPr>
      </w:pPr>
    </w:p>
    <w:p>
      <w:pPr>
        <w:ind w:right="20" w:firstLine="220"/>
        <w:spacing w:after="0" w:line="288" w:lineRule="auto"/>
        <w:rPr>
          <w:sz w:val="20"/>
          <w:szCs w:val="20"/>
          <w:color w:val="auto"/>
        </w:rPr>
      </w:pPr>
      <w:r>
        <w:rPr>
          <w:rFonts w:ascii="Arial" w:cs="Arial" w:eastAsia="Arial" w:hAnsi="Arial"/>
          <w:sz w:val="16"/>
          <w:szCs w:val="16"/>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We adopted SFAS 144 on February 1, 2002, and the adoption did not have a significant impact on our financial position and results of operations.</w:t>
      </w:r>
    </w:p>
    <w:p>
      <w:pPr>
        <w:spacing w:after="0" w:line="17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31" w:lineRule="exact"/>
        <w:rPr>
          <w:sz w:val="20"/>
          <w:szCs w:val="20"/>
          <w:color w:val="auto"/>
        </w:rPr>
      </w:pPr>
    </w:p>
    <w:p>
      <w:pPr>
        <w:jc w:val="both"/>
        <w:ind w:right="420" w:firstLine="220"/>
        <w:spacing w:after="0" w:line="306" w:lineRule="auto"/>
        <w:rPr>
          <w:sz w:val="20"/>
          <w:szCs w:val="20"/>
          <w:color w:val="auto"/>
        </w:rPr>
      </w:pPr>
      <w:r>
        <w:rPr>
          <w:rFonts w:ascii="Arial" w:cs="Arial" w:eastAsia="Arial" w:hAnsi="Arial"/>
          <w:sz w:val="16"/>
          <w:szCs w:val="16"/>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61" w:lineRule="exact"/>
        <w:rPr>
          <w:sz w:val="20"/>
          <w:szCs w:val="20"/>
          <w:color w:val="auto"/>
        </w:rPr>
      </w:pPr>
    </w:p>
    <w:p>
      <w:pPr>
        <w:ind w:right="300"/>
        <w:spacing w:after="0" w:line="370" w:lineRule="auto"/>
        <w:rPr>
          <w:sz w:val="20"/>
          <w:szCs w:val="20"/>
          <w:color w:val="auto"/>
        </w:rPr>
      </w:pPr>
      <w:r>
        <w:rPr>
          <w:rFonts w:ascii="Arial" w:cs="Arial" w:eastAsia="Arial" w:hAnsi="Arial"/>
          <w:sz w:val="15"/>
          <w:szCs w:val="15"/>
          <w:b w:val="1"/>
          <w:bCs w:val="1"/>
          <w:i w:val="1"/>
          <w:iCs w:val="1"/>
          <w:color w:val="auto"/>
        </w:rPr>
        <w:t>We have experienced a recent slowdown in the worldwide economy, which has negatively affected our revenues and results of operations in fiscal 2002. If economic conditions worsen, our revenues and results of operations in fiscal 2003 and beyond will be materially and adversely affected.</w:t>
      </w:r>
    </w:p>
    <w:p>
      <w:pPr>
        <w:spacing w:after="0" w:line="116" w:lineRule="exact"/>
        <w:rPr>
          <w:sz w:val="20"/>
          <w:szCs w:val="20"/>
          <w:color w:val="auto"/>
        </w:rPr>
      </w:pPr>
    </w:p>
    <w:p>
      <w:pPr>
        <w:ind w:right="100" w:firstLine="220"/>
        <w:spacing w:after="0" w:line="256" w:lineRule="auto"/>
        <w:rPr>
          <w:sz w:val="20"/>
          <w:szCs w:val="20"/>
          <w:color w:val="auto"/>
        </w:rPr>
      </w:pPr>
      <w:r>
        <w:rPr>
          <w:rFonts w:ascii="Arial" w:cs="Arial" w:eastAsia="Arial" w:hAnsi="Arial"/>
          <w:sz w:val="18"/>
          <w:szCs w:val="18"/>
          <w:color w:val="auto"/>
        </w:rPr>
        <w:t>Over the last year there has been a slowdown in worldwide economies, including the United States, that has resulted in delays of new orders for our products as well as reschedules of existing orders. This slowdown has been brought about by a number of factors, including concerns about inflation, decreased consumer confidence and reports of reduced corporate profits. If economic conditions worsen, our revenues and results of operations in fiscal 2003 and beyond will be materially and adversely affected.</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dependent upon the hard disk drive industry, which is highly cyclical and experiences rapid technological change.</w:t>
      </w:r>
    </w:p>
    <w:p>
      <w:pPr>
        <w:spacing w:after="0" w:line="225" w:lineRule="exact"/>
        <w:rPr>
          <w:sz w:val="20"/>
          <w:szCs w:val="20"/>
          <w:color w:val="auto"/>
        </w:rPr>
      </w:pPr>
    </w:p>
    <w:p>
      <w:pPr>
        <w:ind w:firstLine="220"/>
        <w:spacing w:after="0" w:line="314" w:lineRule="auto"/>
        <w:rPr>
          <w:sz w:val="20"/>
          <w:szCs w:val="20"/>
          <w:color w:val="auto"/>
        </w:rPr>
      </w:pPr>
      <w:r>
        <w:rPr>
          <w:rFonts w:ascii="Arial" w:cs="Arial" w:eastAsia="Arial" w:hAnsi="Arial"/>
          <w:sz w:val="15"/>
          <w:szCs w:val="15"/>
          <w:color w:val="auto"/>
        </w:rPr>
        <w:t>Sales to customers in the hard disk drive industry represented approximately 65% of our net revenue in the first quarter of fiscal 2003 and represented approximately 57% and 85% of our net revenue in fiscal 2002 and 2001,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59" w:lineRule="exact"/>
        <w:rPr>
          <w:sz w:val="20"/>
          <w:szCs w:val="20"/>
          <w:color w:val="auto"/>
        </w:rPr>
      </w:pPr>
    </w:p>
    <w:p>
      <w:pPr>
        <w:ind w:right="100" w:firstLine="220"/>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supplied by our customers do not retain or increase market share, our sales may decrease.</w:t>
      </w:r>
    </w:p>
    <w:p>
      <w:pPr>
        <w:spacing w:after="0" w:line="18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Our Galileo subsidiary is incorporated under the laws of, and its principal offices are located in, the State of Israel and therefore its business operations may be harmed by adverse political, economic and military conditions affecting Israel.</w:t>
      </w:r>
    </w:p>
    <w:p>
      <w:pPr>
        <w:spacing w:after="0" w:line="186" w:lineRule="exact"/>
        <w:rPr>
          <w:sz w:val="20"/>
          <w:szCs w:val="20"/>
          <w:color w:val="auto"/>
        </w:rPr>
      </w:pPr>
    </w:p>
    <w:p>
      <w:pPr>
        <w:ind w:right="120" w:firstLine="220"/>
        <w:spacing w:after="0" w:line="289" w:lineRule="auto"/>
        <w:rPr>
          <w:sz w:val="20"/>
          <w:szCs w:val="20"/>
          <w:color w:val="auto"/>
        </w:rPr>
      </w:pPr>
      <w:r>
        <w:rPr>
          <w:rFonts w:ascii="Arial" w:cs="Arial" w:eastAsia="Arial" w:hAnsi="Arial"/>
          <w:sz w:val="16"/>
          <w:szCs w:val="16"/>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Major hostilities 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 Israel could reduce Galileo’s sales and its financial results. A 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17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86" w:lineRule="exact"/>
        <w:rPr>
          <w:sz w:val="20"/>
          <w:szCs w:val="20"/>
          <w:color w:val="auto"/>
        </w:rPr>
      </w:pPr>
    </w:p>
    <w:p>
      <w:pPr>
        <w:ind w:right="180" w:firstLine="220"/>
        <w:spacing w:after="0" w:line="268" w:lineRule="auto"/>
        <w:rPr>
          <w:sz w:val="20"/>
          <w:szCs w:val="20"/>
          <w:color w:val="auto"/>
        </w:rPr>
      </w:pPr>
      <w:r>
        <w:rPr>
          <w:rFonts w:ascii="Arial" w:cs="Arial" w:eastAsia="Arial" w:hAnsi="Arial"/>
          <w:sz w:val="18"/>
          <w:szCs w:val="18"/>
          <w:color w:val="auto"/>
        </w:rPr>
        <w:t>In the first quarter of fiscal 2003, approximately 60% of our net revenue was derived from sales to four customers, each of whom individually accounted for 10% or more of our net revenue during this period. Of these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90" w:lineRule="auto"/>
        <w:rPr>
          <w:sz w:val="20"/>
          <w:szCs w:val="20"/>
          <w:color w:val="auto"/>
        </w:rPr>
      </w:pPr>
      <w:r>
        <w:rPr>
          <w:rFonts w:ascii="Arial" w:cs="Arial" w:eastAsia="Arial" w:hAnsi="Arial"/>
          <w:sz w:val="16"/>
          <w:szCs w:val="16"/>
          <w:color w:val="auto"/>
        </w:rPr>
        <w:t>customers, Samsung accounted for 21%, Seagate accounted for 15%, Toshiba accounted for 13% and Hitachi accounted for 11%.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2" w:lineRule="exact"/>
        <w:rPr>
          <w:sz w:val="20"/>
          <w:szCs w:val="20"/>
          <w:color w:val="auto"/>
        </w:rPr>
      </w:pPr>
    </w:p>
    <w:p>
      <w:pPr>
        <w:ind w:left="480" w:hanging="202"/>
        <w:spacing w:after="0"/>
        <w:tabs>
          <w:tab w:leader="none" w:pos="480" w:val="left"/>
        </w:tabs>
        <w:numPr>
          <w:ilvl w:val="0"/>
          <w:numId w:val="2"/>
        </w:numPr>
        <w:rPr>
          <w:rFonts w:ascii="Arial" w:cs="Arial" w:eastAsia="Arial" w:hAnsi="Arial"/>
          <w:sz w:val="15"/>
          <w:szCs w:val="15"/>
          <w:color w:val="auto"/>
        </w:rPr>
      </w:pPr>
      <w:r>
        <w:rPr>
          <w:rFonts w:ascii="Arial" w:cs="Arial" w:eastAsia="Arial" w:hAnsi="Arial"/>
          <w:sz w:val="15"/>
          <w:szCs w:val="15"/>
          <w:color w:val="auto"/>
        </w:rPr>
        <w:t>we do not have any long-term purchase arrangements or contracts with these or any of our other customers or exclusive arrangements with any customers;</w:t>
      </w:r>
    </w:p>
    <w:p>
      <w:pPr>
        <w:spacing w:after="0" w:line="259" w:lineRule="exact"/>
        <w:rPr>
          <w:rFonts w:ascii="Arial" w:cs="Arial" w:eastAsia="Arial" w:hAnsi="Arial"/>
          <w:sz w:val="15"/>
          <w:szCs w:val="15"/>
          <w:color w:val="auto"/>
        </w:rPr>
      </w:pPr>
    </w:p>
    <w:p>
      <w:pPr>
        <w:ind w:left="480" w:right="220" w:hanging="202"/>
        <w:spacing w:after="0" w:line="268" w:lineRule="auto"/>
        <w:tabs>
          <w:tab w:leader="none" w:pos="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85" w:lineRule="exact"/>
        <w:rPr>
          <w:rFonts w:ascii="Arial" w:cs="Arial" w:eastAsia="Arial" w:hAnsi="Arial"/>
          <w:sz w:val="18"/>
          <w:szCs w:val="18"/>
          <w:color w:val="auto"/>
        </w:rPr>
      </w:pPr>
    </w:p>
    <w:p>
      <w:pPr>
        <w:ind w:left="480" w:hanging="202"/>
        <w:spacing w:after="0"/>
        <w:tabs>
          <w:tab w:leader="none" w:pos="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firstLine="220"/>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80" w:hanging="202"/>
        <w:spacing w:after="0"/>
        <w:tabs>
          <w:tab w:leader="none" w:pos="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3"/>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248" w:lineRule="exact"/>
        <w:rPr>
          <w:rFonts w:ascii="Arial" w:cs="Arial" w:eastAsia="Arial" w:hAnsi="Arial"/>
          <w:sz w:val="16"/>
          <w:szCs w:val="16"/>
          <w:color w:val="auto"/>
        </w:rPr>
      </w:pPr>
    </w:p>
    <w:p>
      <w:pPr>
        <w:ind w:left="480" w:hanging="202"/>
        <w:spacing w:after="0"/>
        <w:tabs>
          <w:tab w:leader="none" w:pos="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80" w:hanging="202"/>
        <w:spacing w:after="0"/>
        <w:tabs>
          <w:tab w:leader="none" w:pos="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acquisition of Galileo and any future acquisitions could harm our operating results and share price.</w:t>
      </w:r>
    </w:p>
    <w:p>
      <w:pPr>
        <w:spacing w:after="0" w:line="225" w:lineRule="exact"/>
        <w:rPr>
          <w:sz w:val="20"/>
          <w:szCs w:val="20"/>
          <w:color w:val="auto"/>
        </w:rPr>
      </w:pPr>
    </w:p>
    <w:p>
      <w:pPr>
        <w:ind w:firstLine="216"/>
        <w:spacing w:after="0" w:line="290"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These acquisitions could materially adversely affect our operating results as a result of possible concurrent issuances of dilutive equity securities. In addition, the purchase price of such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2" w:lineRule="exact"/>
        <w:rPr>
          <w:sz w:val="20"/>
          <w:szCs w:val="20"/>
          <w:color w:val="auto"/>
        </w:rPr>
      </w:pPr>
    </w:p>
    <w:p>
      <w:pPr>
        <w:ind w:right="40" w:firstLine="216"/>
        <w:spacing w:after="0" w:line="286" w:lineRule="auto"/>
        <w:rPr>
          <w:sz w:val="20"/>
          <w:szCs w:val="20"/>
          <w:color w:val="auto"/>
        </w:rPr>
      </w:pPr>
      <w:r>
        <w:rPr>
          <w:rFonts w:ascii="Arial" w:cs="Arial" w:eastAsia="Arial" w:hAnsi="Arial"/>
          <w:sz w:val="16"/>
          <w:szCs w:val="16"/>
          <w:color w:val="auto"/>
        </w:rPr>
        <w:t>We acquired Galileo Technology Ltd. on January 21, 2001. We accounted for this acquisition using the purchase method of accounting, and the results of Galileo’s operations are included in our consolidated financial statements from the date of acquisition. The excess of cost over the fair value of the net tangible assets acquired from our acquisition of Galileo has been recorded as goodwill, other intangible assets and deferred stock-based compensation. The acquisition of Galileo resulted in goodwill of approximately $1.7 billion, other intangible assets of approximately $434.7 million and deferred stock-based compensation of approximately $19.8 million. Prior to the adoption of SFAS 142, goodwill was being amortized over its estimated economic life of five years and other intangible assets were being amortized over their estimated economic lives of between five and ten years. Deferred stock-based compensation is being amortized over the remaining option vesting periods of no more than four years. Upon adoption of SFAS 142, goodwill and the acquired workforce are no longer amortized, but are instead subject to annual impairment reviews. Also upon adoption of SFAS 142, the estimated useful life of the Galileo trade name was changed from ten years to five years. After the adoption of SFAS 142, we will continue to record significant amounts of amortization expense over the estimated economic lives of our intangible assets and over the remaining option vesting periods, which will have a significant negative impact on our operating results and could cause our stock price to decline.</w:t>
      </w:r>
    </w:p>
    <w:p>
      <w:pPr>
        <w:spacing w:after="0" w:line="181" w:lineRule="exact"/>
        <w:rPr>
          <w:sz w:val="20"/>
          <w:szCs w:val="20"/>
          <w:color w:val="auto"/>
        </w:rPr>
      </w:pPr>
    </w:p>
    <w:p>
      <w:pPr>
        <w:ind w:right="140" w:firstLine="220"/>
        <w:spacing w:after="0" w:line="287"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As part of the process of adopting SFAS 142, we are required to perform an impairment review of our goodwill.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$1.7 billion as of April 30, 2002. An impairment review could result in a write-down of these assets to their fair values.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7" w:lineRule="exact"/>
        <w:rPr>
          <w:sz w:val="20"/>
          <w:szCs w:val="20"/>
          <w:color w:val="auto"/>
        </w:rPr>
      </w:pPr>
    </w:p>
    <w:p>
      <w:pPr>
        <w:ind w:right="42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86" w:lineRule="exact"/>
        <w:rPr>
          <w:sz w:val="20"/>
          <w:szCs w:val="20"/>
          <w:color w:val="auto"/>
        </w:rPr>
      </w:pPr>
    </w:p>
    <w:p>
      <w:pPr>
        <w:ind w:right="240" w:firstLine="216"/>
        <w:spacing w:after="0" w:line="268" w:lineRule="auto"/>
        <w:rPr>
          <w:sz w:val="20"/>
          <w:szCs w:val="20"/>
          <w:color w:val="auto"/>
        </w:rPr>
      </w:pPr>
      <w:r>
        <w:rPr>
          <w:rFonts w:ascii="Arial" w:cs="Arial" w:eastAsia="Arial" w:hAnsi="Arial"/>
          <w:sz w:val="18"/>
          <w:szCs w:val="18"/>
          <w:color w:val="auto"/>
        </w:rPr>
        <w:t>We may not be able to compete successfully against current or potential competitors. If we do not compete successfully, our market share and revenues may not increase or may decline. In addition, most of our current</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and potential competitors have longer operating histories, significantly greater resources and name recognition and a larger base of customers than us.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2" w:lineRule="exact"/>
        <w:rPr>
          <w:sz w:val="20"/>
          <w:szCs w:val="20"/>
          <w:color w:val="auto"/>
        </w:rPr>
      </w:pPr>
    </w:p>
    <w:p>
      <w:pPr>
        <w:ind w:right="140" w:firstLine="220"/>
        <w:spacing w:after="0" w:line="306" w:lineRule="auto"/>
        <w:rPr>
          <w:sz w:val="20"/>
          <w:szCs w:val="20"/>
          <w:color w:val="auto"/>
        </w:rPr>
      </w:pPr>
      <w:r>
        <w:rPr>
          <w:rFonts w:ascii="Arial" w:cs="Arial" w:eastAsia="Arial" w:hAnsi="Arial"/>
          <w:sz w:val="16"/>
          <w:szCs w:val="16"/>
          <w:color w:val="auto"/>
        </w:rPr>
        <w:t>In the broadband communications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w:t>
      </w:r>
    </w:p>
    <w:p>
      <w:pPr>
        <w:spacing w:after="0" w:line="161"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67" w:lineRule="exact"/>
        <w:rPr>
          <w:sz w:val="20"/>
          <w:szCs w:val="20"/>
          <w:color w:val="auto"/>
        </w:rPr>
      </w:pPr>
    </w:p>
    <w:p>
      <w:pPr>
        <w:jc w:val="both"/>
        <w:ind w:right="100" w:firstLine="210"/>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94"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86" w:lineRule="exact"/>
        <w:rPr>
          <w:sz w:val="20"/>
          <w:szCs w:val="20"/>
          <w:color w:val="auto"/>
        </w:rPr>
      </w:pPr>
    </w:p>
    <w:p>
      <w:pPr>
        <w:ind w:firstLine="220"/>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72"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94" w:lineRule="exact"/>
        <w:rPr>
          <w:sz w:val="20"/>
          <w:szCs w:val="20"/>
          <w:color w:val="auto"/>
        </w:rPr>
      </w:pPr>
    </w:p>
    <w:p>
      <w:pPr>
        <w:jc w:val="both"/>
        <w:ind w:right="560" w:firstLine="21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testing facilities. Therefore, we must rely on third-party vendors to manufacture, assemble and test the products we design. We currently rely on TSMC to produce substantially all of our integrated circuit products. We also currently rely on</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spacing w:after="0" w:line="298" w:lineRule="auto"/>
        <w:rPr>
          <w:sz w:val="20"/>
          <w:szCs w:val="20"/>
          <w:color w:val="auto"/>
        </w:rPr>
      </w:pPr>
      <w:r>
        <w:rPr>
          <w:rFonts w:ascii="Arial" w:cs="Arial" w:eastAsia="Arial" w:hAnsi="Arial"/>
          <w:sz w:val="16"/>
          <w:szCs w:val="16"/>
          <w:color w:val="auto"/>
        </w:rPr>
        <w:t>TSMC and other third-party assembly and test subcontractors to assemble, package and test our products. If these vendors do not provide us with high 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67" w:lineRule="exact"/>
        <w:rPr>
          <w:sz w:val="20"/>
          <w:szCs w:val="20"/>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ind w:right="20" w:firstLine="216"/>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firstLine="21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2" w:lineRule="exact"/>
        <w:rPr>
          <w:sz w:val="20"/>
          <w:szCs w:val="20"/>
          <w:color w:val="auto"/>
        </w:rPr>
      </w:pPr>
    </w:p>
    <w:p>
      <w:pPr>
        <w:ind w:right="72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39" w:lineRule="exact"/>
        <w:rPr>
          <w:sz w:val="20"/>
          <w:szCs w:val="20"/>
          <w:color w:val="auto"/>
        </w:rPr>
      </w:pPr>
    </w:p>
    <w:p>
      <w:pPr>
        <w:ind w:right="100" w:firstLine="216"/>
        <w:spacing w:after="0" w:line="256"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60"/>
        <w:spacing w:after="0" w:line="332" w:lineRule="auto"/>
        <w:rPr>
          <w:sz w:val="20"/>
          <w:szCs w:val="20"/>
          <w:color w:val="auto"/>
        </w:rPr>
      </w:pPr>
      <w:r>
        <w:rPr>
          <w:rFonts w:ascii="Arial" w:cs="Arial" w:eastAsia="Arial" w:hAnsi="Arial"/>
          <w:sz w:val="16"/>
          <w:szCs w:val="16"/>
          <w:color w:val="auto"/>
        </w:rPr>
        <w:t>Officer; Dr. Pantas Sutardja, our co-founder and Vice President; and Weili Dai, our co-founder and Executive Vice President. We do not have employment contracts with these or any other key personnel, and their knowledge of our business and industry would be extremely difficult to replace.</w:t>
      </w:r>
    </w:p>
    <w:p>
      <w:pPr>
        <w:spacing w:after="0" w:line="139" w:lineRule="exact"/>
        <w:rPr>
          <w:sz w:val="20"/>
          <w:szCs w:val="20"/>
          <w:color w:val="auto"/>
        </w:rPr>
      </w:pPr>
    </w:p>
    <w:p>
      <w:pPr>
        <w:ind w:firstLine="216"/>
        <w:spacing w:after="0" w:line="255"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140" w:firstLine="220"/>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97" w:lineRule="exact"/>
        <w:rPr>
          <w:sz w:val="20"/>
          <w:szCs w:val="20"/>
          <w:color w:val="auto"/>
        </w:rPr>
      </w:pPr>
    </w:p>
    <w:p>
      <w:pPr>
        <w:ind w:right="380" w:firstLine="216"/>
        <w:spacing w:after="0" w:line="306" w:lineRule="auto"/>
        <w:rPr>
          <w:sz w:val="20"/>
          <w:szCs w:val="20"/>
          <w:color w:val="auto"/>
        </w:rPr>
      </w:pPr>
      <w:r>
        <w:rPr>
          <w:rFonts w:ascii="Arial" w:cs="Arial" w:eastAsia="Arial" w:hAnsi="Arial"/>
          <w:sz w:val="16"/>
          <w:szCs w:val="16"/>
          <w:color w:val="auto"/>
        </w:rPr>
        <w:t>We are currently in the process of implementing a new Enterprise Resource Planning, or ERP, system. An ERP system implementation is a very complex, costly and time-consuming process. Any unforeseen delays or difficulties in the system implementation may divert the attention of management and other employees and disrupt our ongoing business and could have a material adverse impact on our financial condition and results of operations.</w:t>
      </w:r>
    </w:p>
    <w:p>
      <w:pPr>
        <w:spacing w:after="0" w:line="161"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If we are not successful in subleasing our unused office space, we will be required to pay the full amount of our contracted lease payments while the facilities are vacant or if they are subleased at a future date at lesser rates.</w:t>
      </w:r>
    </w:p>
    <w:p>
      <w:pPr>
        <w:spacing w:after="0" w:line="186" w:lineRule="exact"/>
        <w:rPr>
          <w:sz w:val="20"/>
          <w:szCs w:val="20"/>
          <w:color w:val="auto"/>
        </w:rPr>
      </w:pPr>
    </w:p>
    <w:p>
      <w:pPr>
        <w:ind w:right="60" w:firstLine="220"/>
        <w:spacing w:after="0" w:line="288"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In the first quarter of fiscal 2003, we recorded a $17.8 million charge associated with costs of consolidating our facilities. This charge includes the remaining lease commitments of these facilities reduced by the estimated sublease income throughout the duration of the lease term. The facilities consolidation charge is an estimate as of April 30, 2002 and may change as we obtain subleases for the abandoned facilities and sublease income is known.</w:t>
      </w:r>
    </w:p>
    <w:p>
      <w:pPr>
        <w:spacing w:after="0" w:line="174"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60" w:firstLine="210"/>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86% of our net revenue in the first quarter of fiscal 2003, and represented 83% and 92% of our net revenue in fiscal 2002 and 2001, respectively.</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00" w:firstLine="216"/>
        <w:spacing w:after="0" w:line="268" w:lineRule="auto"/>
        <w:rPr>
          <w:sz w:val="20"/>
          <w:szCs w:val="20"/>
          <w:color w:val="auto"/>
        </w:rPr>
      </w:pPr>
      <w:r>
        <w:rPr>
          <w:rFonts w:ascii="Arial" w:cs="Arial" w:eastAsia="Arial" w:hAnsi="Arial"/>
          <w:sz w:val="18"/>
          <w:szCs w:val="18"/>
          <w:color w:val="auto"/>
        </w:rPr>
        <w:t>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86" w:lineRule="exact"/>
        <w:rPr>
          <w:sz w:val="20"/>
          <w:szCs w:val="20"/>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6"/>
        </w:numPr>
        <w:rPr>
          <w:rFonts w:ascii="Arial" w:cs="Arial" w:eastAsia="Arial" w:hAnsi="Arial"/>
          <w:sz w:val="16"/>
          <w:szCs w:val="16"/>
          <w:color w:val="auto"/>
        </w:rPr>
      </w:pPr>
      <w:r>
        <w:rPr>
          <w:rFonts w:ascii="Arial" w:cs="Arial" w:eastAsia="Arial" w:hAnsi="Arial"/>
          <w:sz w:val="16"/>
          <w:szCs w:val="16"/>
          <w:color w:val="auto"/>
        </w:rPr>
        <w:t>political and economic instability, including hostilities and political unrest, boycotts, curtailment of trade and other business restrictions; and</w:t>
      </w:r>
    </w:p>
    <w:p>
      <w:pPr>
        <w:spacing w:after="0" w:line="248" w:lineRule="exact"/>
        <w:rPr>
          <w:rFonts w:ascii="Arial" w:cs="Arial" w:eastAsia="Arial" w:hAnsi="Arial"/>
          <w:sz w:val="16"/>
          <w:szCs w:val="16"/>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60" w:firstLine="220"/>
        <w:spacing w:after="0" w:line="256" w:lineRule="auto"/>
        <w:rPr>
          <w:sz w:val="20"/>
          <w:szCs w:val="20"/>
          <w:color w:val="auto"/>
        </w:rPr>
      </w:pPr>
      <w:r>
        <w:rPr>
          <w:rFonts w:ascii="Arial" w:cs="Arial" w:eastAsia="Arial" w:hAnsi="Arial"/>
          <w:sz w:val="18"/>
          <w:szCs w:val="18"/>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97" w:lineRule="exact"/>
        <w:rPr>
          <w:sz w:val="20"/>
          <w:szCs w:val="20"/>
          <w:color w:val="auto"/>
        </w:rPr>
      </w:pPr>
    </w:p>
    <w:p>
      <w:pPr>
        <w:ind w:right="440"/>
        <w:spacing w:after="0" w:line="332" w:lineRule="auto"/>
        <w:rPr>
          <w:sz w:val="20"/>
          <w:szCs w:val="20"/>
          <w:color w:val="auto"/>
        </w:rPr>
      </w:pPr>
      <w:r>
        <w:rPr>
          <w:rFonts w:ascii="Arial" w:cs="Arial" w:eastAsia="Arial" w:hAnsi="Arial"/>
          <w:sz w:val="16"/>
          <w:szCs w:val="16"/>
          <w:b w:val="1"/>
          <w:bCs w:val="1"/>
          <w:i w:val="1"/>
          <w:iCs w:val="1"/>
          <w:color w:val="auto"/>
        </w:rPr>
        <w:t>In the past, the State of California has experienced electricity shortages that have resulted in corresponding increases in prices and rolling blackouts. If electricity shortages occur in the future, our research and development and other operations may be negatively affected.</w:t>
      </w:r>
    </w:p>
    <w:p>
      <w:pPr>
        <w:spacing w:after="0" w:line="139" w:lineRule="exact"/>
        <w:rPr>
          <w:sz w:val="20"/>
          <w:szCs w:val="20"/>
          <w:color w:val="auto"/>
        </w:rPr>
      </w:pPr>
    </w:p>
    <w:p>
      <w:pPr>
        <w:ind w:right="60" w:firstLine="220"/>
        <w:spacing w:after="0" w:line="254" w:lineRule="auto"/>
        <w:rPr>
          <w:sz w:val="20"/>
          <w:szCs w:val="20"/>
          <w:color w:val="auto"/>
        </w:rPr>
      </w:pPr>
      <w:r>
        <w:rPr>
          <w:rFonts w:ascii="Arial" w:cs="Arial" w:eastAsia="Arial" w:hAnsi="Arial"/>
          <w:sz w:val="18"/>
          <w:szCs w:val="18"/>
          <w:color w:val="auto"/>
        </w:rPr>
        <w:t>In the past, the State of California has experienced electricity shortages that have resulted in corresponding increases in prices and “rolling blackouts.” During fiscal 2001, this resulted in one instance in which we were subjected to a rolling blackout. When we are subjected to rolling blackouts, all electricity to our facilities is cut off and we are unable to use our computers, telephones and other equipment that is critical to our research and development and other functions. Some of our customers who have operations in California were also negatively affected by the electricity shortage. If we are subjected to a series of rolling blackouts or to a single extended rolling blackout as a result of any future electricity shortages in California, our research and development and other operations will be negatively affected.</w:t>
      </w:r>
    </w:p>
    <w:p>
      <w:pPr>
        <w:spacing w:after="0" w:line="198"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94" w:lineRule="exact"/>
        <w:rPr>
          <w:sz w:val="20"/>
          <w:szCs w:val="20"/>
          <w:color w:val="auto"/>
        </w:rPr>
      </w:pPr>
    </w:p>
    <w:p>
      <w:pPr>
        <w:ind w:right="140" w:firstLine="220"/>
        <w:spacing w:after="0" w:line="291" w:lineRule="auto"/>
        <w:rPr>
          <w:sz w:val="20"/>
          <w:szCs w:val="20"/>
          <w:color w:val="auto"/>
        </w:rPr>
      </w:pPr>
      <w:r>
        <w:rPr>
          <w:rFonts w:ascii="Arial" w:cs="Arial" w:eastAsia="Arial" w:hAnsi="Arial"/>
          <w:sz w:val="16"/>
          <w:szCs w:val="16"/>
          <w:color w:val="auto"/>
        </w:rPr>
        <w:t>Substantially all of our products are manufactured by Taiwan Semiconductor Manufacturing Company, which is located in Taiwan. Currently our only alternative manufacturing sources are located in Taiwan and China.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another major earthquake occurred in Taiwan. Although</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67"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86" w:lineRule="exact"/>
        <w:rPr>
          <w:sz w:val="20"/>
          <w:szCs w:val="20"/>
          <w:color w:val="auto"/>
        </w:rPr>
      </w:pPr>
    </w:p>
    <w:p>
      <w:pPr>
        <w:ind w:right="100" w:firstLine="216"/>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year,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Any future acquisitions and transactions may not be successful.</w:t>
      </w:r>
    </w:p>
    <w:p>
      <w:pPr>
        <w:spacing w:after="0" w:line="225" w:lineRule="exact"/>
        <w:rPr>
          <w:sz w:val="20"/>
          <w:szCs w:val="20"/>
          <w:color w:val="auto"/>
        </w:rPr>
      </w:pPr>
    </w:p>
    <w:p>
      <w:pPr>
        <w:ind w:right="40" w:firstLine="21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7" w:lineRule="exact"/>
        <w:rPr>
          <w:sz w:val="20"/>
          <w:szCs w:val="20"/>
          <w:color w:val="auto"/>
        </w:rPr>
      </w:pPr>
    </w:p>
    <w:p>
      <w:pPr>
        <w:ind w:right="140" w:firstLine="210"/>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an acquired businesses;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the financial and strategic position of us as a result of an acquisition;</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25" w:lineRule="exact"/>
        <w:rPr>
          <w:rFonts w:ascii="Arial" w:cs="Arial" w:eastAsia="Arial" w:hAnsi="Arial"/>
          <w:sz w:val="18"/>
          <w:szCs w:val="18"/>
          <w:color w:val="auto"/>
        </w:rPr>
      </w:pPr>
    </w:p>
    <w:p>
      <w:pPr>
        <w:ind w:left="480" w:right="80" w:hanging="202"/>
        <w:spacing w:after="0" w:line="268" w:lineRule="auto"/>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185" w:lineRule="exact"/>
        <w:rPr>
          <w:rFonts w:ascii="Arial" w:cs="Arial" w:eastAsia="Arial" w:hAnsi="Arial"/>
          <w:sz w:val="18"/>
          <w:szCs w:val="18"/>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86" w:lineRule="exact"/>
        <w:rPr>
          <w:sz w:val="20"/>
          <w:szCs w:val="20"/>
          <w:color w:val="auto"/>
        </w:rPr>
      </w:pPr>
    </w:p>
    <w:p>
      <w:pPr>
        <w:ind w:firstLine="216"/>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margin as a percentage of net revenue will decrease during fiscal 2003 due to (i) the anticipated production ramps of large volume design wins in lower margin businesses such as the desktop computer sector, and (ii) an increase in sales of SOCs, which typically have lower margins than standalone read channel devices.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72" w:lineRule="exact"/>
        <w:rPr>
          <w:sz w:val="20"/>
          <w:szCs w:val="20"/>
          <w:color w:val="auto"/>
        </w:rPr>
      </w:pPr>
    </w:p>
    <w:p>
      <w:pPr>
        <w:jc w:val="both"/>
        <w:ind w:right="20" w:firstLine="210"/>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97"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storage product sales cycle that does not assure product sales, and that if unsuccessful, may harm our operating results.</w:t>
      </w:r>
    </w:p>
    <w:p>
      <w:pPr>
        <w:spacing w:after="0" w:line="260" w:lineRule="exact"/>
        <w:rPr>
          <w:sz w:val="20"/>
          <w:szCs w:val="20"/>
          <w:color w:val="auto"/>
        </w:rPr>
      </w:pPr>
    </w:p>
    <w:p>
      <w:pPr>
        <w:ind w:right="160" w:firstLine="216"/>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94"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Qualification is typically followed by a 12 to 18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7" w:lineRule="exact"/>
        <w:rPr>
          <w:sz w:val="20"/>
          <w:szCs w:val="20"/>
          <w:color w:val="auto"/>
        </w:rPr>
      </w:pPr>
    </w:p>
    <w:p>
      <w:pPr>
        <w:ind w:firstLine="210"/>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86" w:lineRule="exact"/>
        <w:rPr>
          <w:sz w:val="20"/>
          <w:szCs w:val="20"/>
          <w:color w:val="auto"/>
        </w:rPr>
      </w:pPr>
    </w:p>
    <w:p>
      <w:pPr>
        <w:ind w:firstLine="216"/>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48"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86" w:lineRule="exact"/>
        <w:rPr>
          <w:sz w:val="20"/>
          <w:szCs w:val="20"/>
          <w:color w:val="auto"/>
        </w:rPr>
      </w:pPr>
    </w:p>
    <w:p>
      <w:pPr>
        <w:ind w:right="60" w:firstLine="210"/>
        <w:spacing w:after="0" w:line="268" w:lineRule="auto"/>
        <w:rPr>
          <w:sz w:val="20"/>
          <w:szCs w:val="20"/>
          <w:color w:val="auto"/>
        </w:rPr>
      </w:pPr>
      <w:r>
        <w:rPr>
          <w:rFonts w:ascii="Arial" w:cs="Arial" w:eastAsia="Arial" w:hAnsi="Arial"/>
          <w:sz w:val="18"/>
          <w:szCs w:val="18"/>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86" w:lineRule="exact"/>
        <w:rPr>
          <w:sz w:val="20"/>
          <w:szCs w:val="20"/>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other partnership relationships with foundries.</w:t>
      </w:r>
    </w:p>
    <w:p>
      <w:pPr>
        <w:spacing w:after="0" w:line="225" w:lineRule="exact"/>
        <w:rPr>
          <w:sz w:val="20"/>
          <w:szCs w:val="20"/>
          <w:color w:val="auto"/>
        </w:rPr>
      </w:pPr>
    </w:p>
    <w:p>
      <w:pPr>
        <w:ind w:firstLine="216"/>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both"/>
        <w:ind w:right="1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42" w:lineRule="exact"/>
        <w:rPr>
          <w:sz w:val="20"/>
          <w:szCs w:val="20"/>
          <w:color w:val="auto"/>
        </w:rPr>
      </w:pPr>
    </w:p>
    <w:p>
      <w:pPr>
        <w:ind w:right="100" w:firstLine="216"/>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97" w:lineRule="exact"/>
        <w:rPr>
          <w:sz w:val="20"/>
          <w:szCs w:val="20"/>
          <w:color w:val="auto"/>
        </w:rPr>
      </w:pPr>
    </w:p>
    <w:p>
      <w:pPr>
        <w:ind w:right="160" w:firstLine="216"/>
        <w:spacing w:after="0" w:line="255" w:lineRule="auto"/>
        <w:rPr>
          <w:sz w:val="20"/>
          <w:szCs w:val="20"/>
          <w:color w:val="auto"/>
        </w:rPr>
      </w:pPr>
      <w:r>
        <w:rPr>
          <w:rFonts w:ascii="Arial" w:cs="Arial" w:eastAsia="Arial" w:hAnsi="Arial"/>
          <w:sz w:val="18"/>
          <w:szCs w:val="18"/>
          <w:color w:val="auto"/>
        </w:rPr>
        <w:t>We have made a significant investment in the development and production of our Gigabit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standard. Wireless LAN technologies are relatively new and many competing standards, such as IEEE 802.11a and Bluetooth™, exist. If</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the 802.11b standard does not achieve widespread market acceptance, our revenue and operating results may be harmed.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1"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120" w:firstLine="220"/>
        <w:spacing w:after="0" w:line="254"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8" w:lineRule="exact"/>
        <w:rPr>
          <w:sz w:val="20"/>
          <w:szCs w:val="20"/>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contains the allegedly infringing intellectual property;</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86" w:lineRule="exact"/>
        <w:rPr>
          <w:sz w:val="20"/>
          <w:szCs w:val="20"/>
          <w:color w:val="auto"/>
        </w:rPr>
      </w:pPr>
    </w:p>
    <w:p>
      <w:pPr>
        <w:ind w:right="40" w:firstLine="216"/>
        <w:spacing w:after="0" w:line="253" w:lineRule="auto"/>
        <w:rPr>
          <w:sz w:val="20"/>
          <w:szCs w:val="20"/>
          <w:color w:val="auto"/>
        </w:rPr>
      </w:pPr>
      <w:r>
        <w:rPr>
          <w:rFonts w:ascii="Arial" w:cs="Arial" w:eastAsia="Arial" w:hAnsi="Arial"/>
          <w:sz w:val="18"/>
          <w:szCs w:val="18"/>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w:t>
      </w: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color w:val="auto"/>
        </w:rPr>
        <w:t>state court in the United States based on civil liability, whether or not based solely on United States federal or state securities laws, would not be automatically enforceable in Bermuda.</w:t>
      </w:r>
    </w:p>
    <w:p>
      <w:pPr>
        <w:spacing w:after="0" w:line="18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8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4"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application of the tax code is incorrect, our operating results could be harmed.</w:t>
      </w:r>
    </w:p>
    <w:p>
      <w:pPr>
        <w:spacing w:after="0" w:line="186" w:lineRule="exact"/>
        <w:rPr>
          <w:sz w:val="20"/>
          <w:szCs w:val="20"/>
          <w:color w:val="auto"/>
        </w:rPr>
      </w:pPr>
    </w:p>
    <w:p>
      <w:pPr>
        <w:ind w:firstLine="210"/>
        <w:spacing w:after="0" w:line="286" w:lineRule="auto"/>
        <w:rPr>
          <w:sz w:val="20"/>
          <w:szCs w:val="20"/>
          <w:color w:val="auto"/>
        </w:rPr>
      </w:pPr>
      <w:r>
        <w:rPr>
          <w:rFonts w:ascii="Arial" w:cs="Arial" w:eastAsia="Arial" w:hAnsi="Arial"/>
          <w:sz w:val="16"/>
          <w:szCs w:val="16"/>
          <w:color w:val="auto"/>
        </w:rPr>
        <w:t>As a Bermuda corporation, we are subject to United States federal income tax at regular corporate rates and to United States branch profits tax, in each case to the extent that our income is effectively connected with the conduct of a trade or business in the United States. The determination of whether income of a foreign corporation is effectively connected with the conduct of a trade or business in the United States and, therefore, is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relates to facts precisely like ours. Our position is that our business operations do not generate any income that is effectively connected with a United States trade or business. Because of the uncertainty as to how United States federal income tax laws apply to the way we conduct our business, we believe the Internal Revenue Service may disagree with our past or future positions as to the amount of effectively connected income that we earn. Therefore, if our positions are disallowed,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80" w:firstLine="220"/>
        <w:spacing w:after="0" w:line="335" w:lineRule="auto"/>
        <w:rPr>
          <w:sz w:val="20"/>
          <w:szCs w:val="20"/>
          <w:color w:val="auto"/>
        </w:rPr>
      </w:pPr>
      <w:r>
        <w:rPr>
          <w:rFonts w:ascii="Arial" w:cs="Arial" w:eastAsia="Arial" w:hAnsi="Arial"/>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42" w:lineRule="exact"/>
        <w:rPr>
          <w:sz w:val="20"/>
          <w:szCs w:val="20"/>
          <w:color w:val="auto"/>
        </w:rPr>
      </w:pPr>
    </w:p>
    <w:p>
      <w:pPr>
        <w:ind w:right="160" w:firstLine="216"/>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pacing w:after="0" w:line="197" w:lineRule="exact"/>
        <w:rPr>
          <w:sz w:val="20"/>
          <w:szCs w:val="20"/>
          <w:color w:val="auto"/>
        </w:rPr>
      </w:pPr>
    </w:p>
    <w:p>
      <w:pPr>
        <w:jc w:val="both"/>
        <w:ind w:right="520" w:firstLine="216"/>
        <w:spacing w:after="0" w:line="306" w:lineRule="auto"/>
        <w:rPr>
          <w:sz w:val="20"/>
          <w:szCs w:val="20"/>
          <w:color w:val="auto"/>
        </w:rPr>
      </w:pPr>
      <w:r>
        <w:rPr>
          <w:rFonts w:ascii="Arial" w:cs="Arial" w:eastAsia="Arial" w:hAnsi="Arial"/>
          <w:sz w:val="16"/>
          <w:szCs w:val="16"/>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start paying income tax on our operations within these development regions. Some of our regional tax holidays have already expired and we are currently paying income taxes in these regions.</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25" w:lineRule="exact"/>
        <w:rPr>
          <w:sz w:val="20"/>
          <w:szCs w:val="20"/>
          <w:color w:val="auto"/>
        </w:rPr>
      </w:pPr>
    </w:p>
    <w:p>
      <w:pPr>
        <w:ind w:right="60" w:firstLine="220"/>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our shareholders and we could also suffer adverse tax consequences if we are classified as a foreign personal holding company, a personal holding company or a controlled foreign corporation.</w:t>
      </w:r>
    </w:p>
    <w:p>
      <w:pPr>
        <w:spacing w:after="0" w:line="172" w:lineRule="exact"/>
        <w:rPr>
          <w:sz w:val="20"/>
          <w:szCs w:val="20"/>
          <w:color w:val="auto"/>
        </w:rPr>
      </w:pPr>
    </w:p>
    <w:p>
      <w:pPr>
        <w:jc w:val="both"/>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94" w:lineRule="exact"/>
        <w:rPr>
          <w:sz w:val="20"/>
          <w:szCs w:val="20"/>
          <w:color w:val="auto"/>
        </w:rPr>
      </w:pPr>
    </w:p>
    <w:p>
      <w:pPr>
        <w:ind w:right="120" w:firstLine="210"/>
        <w:spacing w:after="0" w:line="291" w:lineRule="auto"/>
        <w:rPr>
          <w:sz w:val="20"/>
          <w:szCs w:val="20"/>
          <w:color w:val="auto"/>
        </w:rPr>
      </w:pPr>
      <w:r>
        <w:rPr>
          <w:rFonts w:ascii="Arial" w:cs="Arial" w:eastAsia="Arial" w:hAnsi="Arial"/>
          <w:sz w:val="16"/>
          <w:szCs w:val="16"/>
          <w:color w:val="auto"/>
        </w:rPr>
        <w:t>As of May 31, 2002, our executive officers and directors beneficially owned or controlled, directly or indirectly, approximately 40% of the outstanding shares our common stock. Additionally, Sehat Sutardja and Weili Dai are husband and wife and Sehat Sutardja and Pantas Sutardja are brothers. All three are directors and together they held approximately 30% of our outstanding common stock as of May 31, 2002. As a result, if the directors and officers as a group or any of Sehat Sutardja, Pantas Sutardja and Weili Dai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74"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4"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86" w:lineRule="exact"/>
        <w:rPr>
          <w:sz w:val="20"/>
          <w:szCs w:val="20"/>
          <w:color w:val="auto"/>
        </w:rPr>
      </w:pPr>
    </w:p>
    <w:p>
      <w:pPr>
        <w:ind w:right="60" w:firstLine="220"/>
        <w:spacing w:after="0" w:line="29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as defendants and also named as defendants Marvell and two of our officers, one of who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mid-2002. We believe that the claims asserted against Marvell and our officers are without merit and intend to defend these claims vigorously. Based on currently available information, we do not believe that the ultimate disposition of the lawsuit naming Marvell and our officers will have a material adverse impact on our business or financial condition. However, these claims and any resulting litigation could result in substantial costs and could divert the attention and resources of our management.</w:t>
      </w:r>
    </w:p>
    <w:p>
      <w:pPr>
        <w:spacing w:after="0" w:line="177" w:lineRule="exact"/>
        <w:rPr>
          <w:sz w:val="20"/>
          <w:szCs w:val="20"/>
          <w:color w:val="auto"/>
        </w:rPr>
      </w:pPr>
    </w:p>
    <w:p>
      <w:pPr>
        <w:ind w:right="100" w:firstLine="220"/>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25" w:lineRule="exact"/>
        <w:rPr>
          <w:sz w:val="20"/>
          <w:szCs w:val="20"/>
          <w:color w:val="auto"/>
        </w:rPr>
      </w:pPr>
    </w:p>
    <w:p>
      <w:pPr>
        <w:ind w:right="160" w:firstLine="210"/>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May 31, 2002, we had 119,705,325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67" w:lineRule="exact"/>
        <w:rPr>
          <w:sz w:val="20"/>
          <w:szCs w:val="20"/>
          <w:color w:val="auto"/>
        </w:rPr>
      </w:pPr>
    </w:p>
    <w:p>
      <w:pPr>
        <w:ind w:right="62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86" w:lineRule="exact"/>
        <w:rPr>
          <w:sz w:val="20"/>
          <w:szCs w:val="20"/>
          <w:color w:val="auto"/>
        </w:rPr>
      </w:pPr>
    </w:p>
    <w:p>
      <w:pPr>
        <w:ind w:left="22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860" w:firstLine="21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31"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 our</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while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State, county and municipal debt securities; and foreign government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April 30, 2002 (in thousands). This table does not include money market funds because those funds are not subject to market risk.</w:t>
      </w:r>
    </w:p>
    <w:p>
      <w:pPr>
        <w:spacing w:after="0" w:line="200" w:lineRule="exact"/>
        <w:rPr>
          <w:sz w:val="20"/>
          <w:szCs w:val="20"/>
          <w:color w:val="auto"/>
        </w:rPr>
      </w:pPr>
    </w:p>
    <w:p>
      <w:pPr>
        <w:spacing w:after="0" w:line="215" w:lineRule="exact"/>
        <w:rPr>
          <w:sz w:val="20"/>
          <w:szCs w:val="20"/>
          <w:color w:val="auto"/>
        </w:rPr>
      </w:pPr>
    </w:p>
    <w:tbl>
      <w:tblPr>
        <w:tblLayout w:type="fixed"/>
        <w:tblInd w:w="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20" w:type="dxa"/>
            <w:vAlign w:val="bottom"/>
            <w:gridSpan w:val="5"/>
          </w:tcPr>
          <w:p>
            <w:pPr>
              <w:ind w:left="160"/>
              <w:spacing w:after="0"/>
              <w:rPr>
                <w:sz w:val="20"/>
                <w:szCs w:val="20"/>
                <w:color w:val="auto"/>
              </w:rPr>
            </w:pPr>
            <w:r>
              <w:rPr>
                <w:rFonts w:ascii="Arial" w:cs="Arial" w:eastAsia="Arial" w:hAnsi="Arial"/>
                <w:sz w:val="14"/>
                <w:szCs w:val="14"/>
                <w:b w:val="1"/>
                <w:bCs w:val="1"/>
                <w:color w:val="auto"/>
                <w:w w:val="96"/>
              </w:rPr>
              <w:t>Expected Fiscal Year Maturity Date</w:t>
            </w:r>
          </w:p>
        </w:tc>
        <w:tc>
          <w:tcPr>
            <w:tcW w:w="34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jc w:val="right"/>
              <w:ind w:right="336"/>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jc w:val="right"/>
              <w:ind w:right="316"/>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ind w:left="160"/>
              <w:spacing w:after="0"/>
              <w:rPr>
                <w:sz w:val="20"/>
                <w:szCs w:val="20"/>
                <w:color w:val="auto"/>
              </w:rPr>
            </w:pPr>
            <w:r>
              <w:rPr>
                <w:rFonts w:ascii="Arial" w:cs="Arial" w:eastAsia="Arial" w:hAnsi="Arial"/>
                <w:sz w:val="14"/>
                <w:szCs w:val="14"/>
                <w:b w:val="1"/>
                <w:bCs w:val="1"/>
                <w:color w:val="auto"/>
              </w:rPr>
              <w:t>2005</w:t>
            </w: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40" w:type="dxa"/>
            <w:vAlign w:val="bottom"/>
          </w:tcPr>
          <w:p>
            <w:pPr>
              <w:jc w:val="right"/>
              <w:ind w:right="336"/>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000" w:type="dxa"/>
            <w:vAlign w:val="bottom"/>
          </w:tcPr>
          <w:p>
            <w:pPr>
              <w:jc w:val="right"/>
              <w:ind w:right="436"/>
              <w:spacing w:after="0"/>
              <w:rPr>
                <w:sz w:val="20"/>
                <w:szCs w:val="20"/>
                <w:color w:val="auto"/>
              </w:rPr>
            </w:pPr>
            <w:r>
              <w:rPr>
                <w:rFonts w:ascii="Arial" w:cs="Arial" w:eastAsia="Arial" w:hAnsi="Arial"/>
                <w:sz w:val="14"/>
                <w:szCs w:val="14"/>
                <w:b w:val="1"/>
                <w:bCs w:val="1"/>
                <w:color w:val="auto"/>
              </w:rPr>
              <w:t>Total</w:t>
            </w:r>
          </w:p>
        </w:tc>
        <w:tc>
          <w:tcPr>
            <w:tcW w:w="2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980" w:type="dxa"/>
            <w:vAlign w:val="bottom"/>
          </w:tcPr>
          <w:p>
            <w:pPr>
              <w:jc w:val="right"/>
              <w:ind w:right="279"/>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10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9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rPr>
              <w:t>9,415</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56"/>
              <w:spacing w:after="0"/>
              <w:rPr>
                <w:sz w:val="20"/>
                <w:szCs w:val="20"/>
                <w:color w:val="auto"/>
              </w:rPr>
            </w:pPr>
            <w:r>
              <w:rPr>
                <w:rFonts w:ascii="Arial" w:cs="Arial" w:eastAsia="Arial" w:hAnsi="Arial"/>
                <w:sz w:val="18"/>
                <w:szCs w:val="18"/>
                <w:color w:val="auto"/>
              </w:rPr>
              <w:t>3,345</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9"/>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EEEEEE"/>
          </w:tcPr>
          <w:p>
            <w:pPr>
              <w:jc w:val="right"/>
              <w:ind w:right="600"/>
              <w:spacing w:after="0"/>
              <w:rPr>
                <w:sz w:val="20"/>
                <w:szCs w:val="20"/>
                <w:color w:val="auto"/>
              </w:rPr>
            </w:pPr>
            <w:r>
              <w:rPr>
                <w:rFonts w:ascii="Arial" w:cs="Arial" w:eastAsia="Arial" w:hAnsi="Arial"/>
                <w:sz w:val="18"/>
                <w:szCs w:val="18"/>
                <w:color w:val="auto"/>
              </w:rPr>
              <w:t>—</w:t>
            </w:r>
          </w:p>
        </w:tc>
        <w:tc>
          <w:tcPr>
            <w:tcW w:w="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EEEEEE"/>
          </w:tcPr>
          <w:p>
            <w:pPr>
              <w:jc w:val="right"/>
              <w:ind w:right="336"/>
              <w:spacing w:after="0"/>
              <w:rPr>
                <w:sz w:val="20"/>
                <w:szCs w:val="20"/>
                <w:color w:val="auto"/>
              </w:rPr>
            </w:pPr>
            <w:r>
              <w:rPr>
                <w:rFonts w:ascii="Arial" w:cs="Arial" w:eastAsia="Arial" w:hAnsi="Arial"/>
                <w:sz w:val="18"/>
                <w:szCs w:val="18"/>
                <w:color w:val="auto"/>
              </w:rPr>
              <w:t>12,760</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EEEEEE"/>
          </w:tcPr>
          <w:p>
            <w:pPr>
              <w:jc w:val="right"/>
              <w:ind w:right="319"/>
              <w:spacing w:after="0"/>
              <w:rPr>
                <w:sz w:val="20"/>
                <w:szCs w:val="20"/>
                <w:color w:val="auto"/>
              </w:rPr>
            </w:pPr>
            <w:r>
              <w:rPr>
                <w:rFonts w:ascii="Arial" w:cs="Arial" w:eastAsia="Arial" w:hAnsi="Arial"/>
                <w:sz w:val="18"/>
                <w:szCs w:val="18"/>
                <w:color w:val="auto"/>
              </w:rPr>
              <w:t>12,741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Average Interest Rate</w:t>
            </w:r>
          </w:p>
        </w:tc>
        <w:tc>
          <w:tcPr>
            <w:tcW w:w="240" w:type="dxa"/>
            <w:vAlign w:val="bottom"/>
          </w:tcPr>
          <w:p>
            <w:pPr>
              <w:spacing w:after="0"/>
              <w:rPr>
                <w:sz w:val="18"/>
                <w:szCs w:val="18"/>
                <w:color w:val="auto"/>
              </w:rPr>
            </w:pPr>
          </w:p>
        </w:tc>
        <w:tc>
          <w:tcPr>
            <w:tcW w:w="840" w:type="dxa"/>
            <w:vAlign w:val="bottom"/>
          </w:tcPr>
          <w:p>
            <w:pPr>
              <w:jc w:val="right"/>
              <w:ind w:right="116"/>
              <w:spacing w:after="0"/>
              <w:rPr>
                <w:sz w:val="20"/>
                <w:szCs w:val="20"/>
                <w:color w:val="auto"/>
              </w:rPr>
            </w:pPr>
            <w:r>
              <w:rPr>
                <w:rFonts w:ascii="Arial" w:cs="Arial" w:eastAsia="Arial" w:hAnsi="Arial"/>
                <w:sz w:val="18"/>
                <w:szCs w:val="18"/>
                <w:color w:val="auto"/>
              </w:rPr>
              <w:t>2.05%</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jc w:val="right"/>
              <w:ind w:right="116"/>
              <w:spacing w:after="0"/>
              <w:rPr>
                <w:sz w:val="20"/>
                <w:szCs w:val="20"/>
                <w:color w:val="auto"/>
              </w:rPr>
            </w:pPr>
            <w:r>
              <w:rPr>
                <w:rFonts w:ascii="Arial" w:cs="Arial" w:eastAsia="Arial" w:hAnsi="Arial"/>
                <w:sz w:val="18"/>
                <w:szCs w:val="18"/>
                <w:color w:val="auto"/>
              </w:rPr>
              <w:t>2.25%</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jc w:val="right"/>
              <w:ind w:right="279"/>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8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0" w:type="dxa"/>
            <w:vAlign w:val="bottom"/>
          </w:tcPr>
          <w:p>
            <w:pPr>
              <w:jc w:val="right"/>
              <w:ind w:right="196"/>
              <w:spacing w:after="0"/>
              <w:rPr>
                <w:sz w:val="20"/>
                <w:szCs w:val="20"/>
                <w:color w:val="auto"/>
              </w:rPr>
            </w:pPr>
            <w:r>
              <w:rPr>
                <w:rFonts w:ascii="Arial" w:cs="Arial" w:eastAsia="Arial" w:hAnsi="Arial"/>
                <w:sz w:val="18"/>
                <w:szCs w:val="18"/>
                <w:color w:val="auto"/>
              </w:rPr>
              <w:t>2.11%</w:t>
            </w: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w w:val="83"/>
              </w:rPr>
              <w:t>21,671</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56"/>
              <w:spacing w:after="0"/>
              <w:rPr>
                <w:sz w:val="20"/>
                <w:szCs w:val="20"/>
                <w:color w:val="auto"/>
              </w:rPr>
            </w:pPr>
            <w:r>
              <w:rPr>
                <w:rFonts w:ascii="Arial" w:cs="Arial" w:eastAsia="Arial" w:hAnsi="Arial"/>
                <w:sz w:val="18"/>
                <w:szCs w:val="18"/>
                <w:color w:val="auto"/>
                <w:w w:val="87"/>
              </w:rPr>
              <w:t>36,410</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9"/>
              <w:spacing w:after="0"/>
              <w:rPr>
                <w:sz w:val="20"/>
                <w:szCs w:val="20"/>
                <w:color w:val="auto"/>
              </w:rPr>
            </w:pPr>
            <w:r>
              <w:rPr>
                <w:rFonts w:ascii="Arial" w:cs="Arial" w:eastAsia="Arial" w:hAnsi="Arial"/>
                <w:sz w:val="18"/>
                <w:szCs w:val="18"/>
                <w:color w:val="auto"/>
                <w:w w:val="83"/>
              </w:rPr>
              <w:t>52,546</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w w:val="83"/>
              </w:rPr>
              <w:t>31,474</w:t>
            </w:r>
          </w:p>
        </w:tc>
        <w:tc>
          <w:tcPr>
            <w:tcW w:w="240" w:type="dxa"/>
            <w:vAlign w:val="bottom"/>
            <w:shd w:val="clear" w:color="auto" w:fill="EEEEEE"/>
          </w:tcPr>
          <w:p>
            <w:pPr>
              <w:spacing w:after="0"/>
              <w:rPr>
                <w:sz w:val="18"/>
                <w:szCs w:val="18"/>
                <w:color w:val="auto"/>
              </w:rPr>
            </w:pPr>
          </w:p>
        </w:tc>
        <w:tc>
          <w:tcPr>
            <w:tcW w:w="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EEEEEE"/>
          </w:tcPr>
          <w:p>
            <w:pPr>
              <w:jc w:val="right"/>
              <w:ind w:right="336"/>
              <w:spacing w:after="0"/>
              <w:rPr>
                <w:sz w:val="20"/>
                <w:szCs w:val="20"/>
                <w:color w:val="auto"/>
              </w:rPr>
            </w:pPr>
            <w:r>
              <w:rPr>
                <w:rFonts w:ascii="Arial" w:cs="Arial" w:eastAsia="Arial" w:hAnsi="Arial"/>
                <w:sz w:val="18"/>
                <w:szCs w:val="18"/>
                <w:color w:val="auto"/>
                <w:w w:val="86"/>
              </w:rPr>
              <w:t>142,101</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EEEEEE"/>
          </w:tcPr>
          <w:p>
            <w:pPr>
              <w:jc w:val="right"/>
              <w:ind w:right="319"/>
              <w:spacing w:after="0"/>
              <w:rPr>
                <w:sz w:val="20"/>
                <w:szCs w:val="20"/>
                <w:color w:val="auto"/>
              </w:rPr>
            </w:pPr>
            <w:r>
              <w:rPr>
                <w:rFonts w:ascii="Arial" w:cs="Arial" w:eastAsia="Arial" w:hAnsi="Arial"/>
                <w:sz w:val="18"/>
                <w:szCs w:val="18"/>
                <w:color w:val="auto"/>
                <w:w w:val="86"/>
              </w:rPr>
              <w:t>141,892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Average Interest Rate</w:t>
            </w:r>
          </w:p>
        </w:tc>
        <w:tc>
          <w:tcPr>
            <w:tcW w:w="240" w:type="dxa"/>
            <w:vAlign w:val="bottom"/>
          </w:tcPr>
          <w:p>
            <w:pPr>
              <w:spacing w:after="0"/>
              <w:rPr>
                <w:sz w:val="19"/>
                <w:szCs w:val="19"/>
                <w:color w:val="auto"/>
              </w:rPr>
            </w:pPr>
          </w:p>
        </w:tc>
        <w:tc>
          <w:tcPr>
            <w:tcW w:w="840" w:type="dxa"/>
            <w:vAlign w:val="bottom"/>
          </w:tcPr>
          <w:p>
            <w:pPr>
              <w:jc w:val="right"/>
              <w:ind w:right="116"/>
              <w:spacing w:after="0"/>
              <w:rPr>
                <w:sz w:val="20"/>
                <w:szCs w:val="20"/>
                <w:color w:val="auto"/>
              </w:rPr>
            </w:pPr>
            <w:r>
              <w:rPr>
                <w:rFonts w:ascii="Arial" w:cs="Arial" w:eastAsia="Arial" w:hAnsi="Arial"/>
                <w:sz w:val="18"/>
                <w:szCs w:val="18"/>
                <w:color w:val="auto"/>
              </w:rPr>
              <w:t>3.58%</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jc w:val="right"/>
              <w:ind w:right="116"/>
              <w:spacing w:after="0"/>
              <w:rPr>
                <w:sz w:val="20"/>
                <w:szCs w:val="20"/>
                <w:color w:val="auto"/>
              </w:rPr>
            </w:pPr>
            <w:r>
              <w:rPr>
                <w:rFonts w:ascii="Arial" w:cs="Arial" w:eastAsia="Arial" w:hAnsi="Arial"/>
                <w:sz w:val="18"/>
                <w:szCs w:val="18"/>
                <w:color w:val="auto"/>
              </w:rPr>
              <w:t>3.70%</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jc w:val="right"/>
              <w:ind w:right="119"/>
              <w:spacing w:after="0"/>
              <w:rPr>
                <w:sz w:val="20"/>
                <w:szCs w:val="20"/>
                <w:color w:val="auto"/>
              </w:rPr>
            </w:pPr>
            <w:r>
              <w:rPr>
                <w:rFonts w:ascii="Arial" w:cs="Arial" w:eastAsia="Arial" w:hAnsi="Arial"/>
                <w:sz w:val="18"/>
                <w:szCs w:val="18"/>
                <w:color w:val="auto"/>
              </w:rPr>
              <w:t>3.89%</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40" w:type="dxa"/>
            <w:vAlign w:val="bottom"/>
          </w:tcPr>
          <w:p>
            <w:pPr>
              <w:jc w:val="right"/>
              <w:ind w:right="116"/>
              <w:spacing w:after="0"/>
              <w:rPr>
                <w:sz w:val="20"/>
                <w:szCs w:val="20"/>
                <w:color w:val="auto"/>
              </w:rPr>
            </w:pPr>
            <w:r>
              <w:rPr>
                <w:rFonts w:ascii="Arial" w:cs="Arial" w:eastAsia="Arial" w:hAnsi="Arial"/>
                <w:sz w:val="18"/>
                <w:szCs w:val="18"/>
                <w:color w:val="auto"/>
              </w:rPr>
              <w:t>4.43%</w:t>
            </w:r>
          </w:p>
        </w:tc>
        <w:tc>
          <w:tcPr>
            <w:tcW w:w="2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0" w:type="dxa"/>
            <w:vAlign w:val="bottom"/>
          </w:tcPr>
          <w:p>
            <w:pPr>
              <w:jc w:val="right"/>
              <w:ind w:right="196"/>
              <w:spacing w:after="0"/>
              <w:rPr>
                <w:sz w:val="20"/>
                <w:szCs w:val="20"/>
                <w:color w:val="auto"/>
              </w:rPr>
            </w:pPr>
            <w:r>
              <w:rPr>
                <w:rFonts w:ascii="Arial" w:cs="Arial" w:eastAsia="Arial" w:hAnsi="Arial"/>
                <w:sz w:val="18"/>
                <w:szCs w:val="18"/>
                <w:color w:val="auto"/>
              </w:rPr>
              <w:t>3.91%</w:t>
            </w:r>
          </w:p>
        </w:tc>
        <w:tc>
          <w:tcPr>
            <w:tcW w:w="2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1" w:lineRule="exact"/>
        <w:rPr>
          <w:sz w:val="20"/>
          <w:szCs w:val="20"/>
          <w:color w:val="auto"/>
        </w:rPr>
      </w:pPr>
    </w:p>
    <w:p>
      <w:pPr>
        <w:ind w:right="200" w:firstLine="220"/>
        <w:spacing w:after="0" w:line="254"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privately-held companies for business and strategic purposes. These investments are included in other</w:t>
      </w:r>
      <w:r>
        <w:rPr>
          <w:rFonts w:ascii="Arial" w:cs="Arial" w:eastAsia="Arial" w:hAnsi="Arial"/>
          <w:sz w:val="18"/>
          <w:szCs w:val="18"/>
          <w:i w:val="1"/>
          <w:iCs w:val="1"/>
          <w:color w:val="auto"/>
        </w:rPr>
        <w:t xml:space="preserve"> </w:t>
      </w:r>
      <w:r>
        <w:rPr>
          <w:rFonts w:ascii="Arial" w:cs="Arial" w:eastAsia="Arial" w:hAnsi="Arial"/>
          <w:sz w:val="18"/>
          <w:szCs w:val="18"/>
          <w:color w:val="auto"/>
        </w:rPr>
        <w:t>noncurrent assets in the accompanying balance sheets and are accounted for under the cost method as our ownership is less than 20% and we do not have the ability to exercise significant influence over the operations on these companies. Since our initial investment, one of these equity investments in a privately-held company has become marketable upon the investee completing an initial public offering. Such an investment is subject to significant fluctuations in fair market value due to the volatility of the stock market. This investment is recorded at market value and is classified as a short-term investment in the accompanying balance sheets.</w:t>
      </w:r>
    </w:p>
    <w:p>
      <w:pPr>
        <w:spacing w:after="0" w:line="198" w:lineRule="exact"/>
        <w:rPr>
          <w:sz w:val="20"/>
          <w:szCs w:val="20"/>
          <w:color w:val="auto"/>
        </w:rPr>
      </w:pPr>
    </w:p>
    <w:p>
      <w:pPr>
        <w:ind w:firstLine="220"/>
        <w:spacing w:after="0" w:line="256"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All of our sales and the majority of our expenses to date have been denominated in United States dollars, and, as a result, we</w:t>
      </w:r>
      <w:r>
        <w:rPr>
          <w:rFonts w:ascii="Arial" w:cs="Arial" w:eastAsia="Arial" w:hAnsi="Arial"/>
          <w:sz w:val="18"/>
          <w:szCs w:val="18"/>
          <w:i w:val="1"/>
          <w:iCs w:val="1"/>
          <w:color w:val="auto"/>
        </w:rPr>
        <w:t xml:space="preserve"> </w:t>
      </w:r>
      <w:r>
        <w:rPr>
          <w:rFonts w:ascii="Arial" w:cs="Arial" w:eastAsia="Arial" w:hAnsi="Arial"/>
          <w:sz w:val="18"/>
          <w:szCs w:val="18"/>
          <w:color w:val="auto"/>
        </w:rPr>
        <w:t>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31" w:lineRule="exact"/>
        <w:rPr>
          <w:sz w:val="20"/>
          <w:szCs w:val="20"/>
          <w:color w:val="auto"/>
        </w:rPr>
      </w:pPr>
    </w:p>
    <w:p>
      <w:pPr>
        <w:ind w:firstLine="220"/>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mid-2002. We believe that the claims asserted against Marvell and our officers are without merit and intend to defend these claims vigorously. Based on currently available information, we do not believe that the ultimate disposition of the lawsuit naming Marvell and our officers will have a material adverse impact on our business or financial condition. However, these claims and any resulting litigation could result in substantial costs and could divert the attention and resources of our management.</w:t>
      </w:r>
    </w:p>
    <w:p>
      <w:pPr>
        <w:spacing w:after="0" w:line="180" w:lineRule="exact"/>
        <w:rPr>
          <w:sz w:val="20"/>
          <w:szCs w:val="20"/>
          <w:color w:val="auto"/>
        </w:rPr>
      </w:pPr>
    </w:p>
    <w:p>
      <w:pPr>
        <w:ind w:right="40" w:firstLine="220"/>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Jasmine by the Company. The lawsuit claims that Company officers improperly obtained and used such information and technologies after the Company signed a non-disclosure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or financial condition.</w:t>
      </w:r>
    </w:p>
    <w:p>
      <w:pPr>
        <w:spacing w:after="0" w:line="174" w:lineRule="exact"/>
        <w:rPr>
          <w:sz w:val="20"/>
          <w:szCs w:val="20"/>
          <w:color w:val="auto"/>
        </w:rPr>
      </w:pPr>
    </w:p>
    <w:p>
      <w:pPr>
        <w:jc w:val="both"/>
        <w:ind w:right="220" w:firstLine="216"/>
        <w:spacing w:after="0" w:line="335" w:lineRule="auto"/>
        <w:rPr>
          <w:sz w:val="20"/>
          <w:szCs w:val="20"/>
          <w:color w:val="auto"/>
        </w:rPr>
      </w:pPr>
      <w:r>
        <w:rPr>
          <w:rFonts w:ascii="Arial" w:cs="Arial" w:eastAsia="Arial" w:hAnsi="Arial"/>
          <w:sz w:val="15"/>
          <w:szCs w:val="15"/>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w:t>
      </w:r>
    </w:p>
    <w:p>
      <w:pPr>
        <w:spacing w:after="0" w:line="1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Changes in Securities and Use of Proceeds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 and Reports on Form 8-K</w:t>
      </w:r>
    </w:p>
    <w:p>
      <w:pPr>
        <w:spacing w:after="0" w:line="231" w:lineRule="exact"/>
        <w:rPr>
          <w:sz w:val="20"/>
          <w:szCs w:val="20"/>
          <w:color w:val="auto"/>
        </w:rPr>
      </w:pPr>
    </w:p>
    <w:p>
      <w:pPr>
        <w:ind w:left="620" w:right="6700" w:hanging="280"/>
        <w:spacing w:after="0" w:line="501" w:lineRule="auto"/>
        <w:tabs>
          <w:tab w:leader="none" w:pos="6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following exhibits are filed as part of this report: Not applicable.</w:t>
      </w:r>
    </w:p>
    <w:p>
      <w:pPr>
        <w:ind w:left="620" w:hanging="290"/>
        <w:spacing w:after="0"/>
        <w:tabs>
          <w:tab w:leader="none" w:pos="6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Reports on Form 8-K:</w:t>
      </w:r>
    </w:p>
    <w:p>
      <w:pPr>
        <w:spacing w:after="0" w:line="225" w:lineRule="exact"/>
        <w:rPr>
          <w:rFonts w:ascii="Arial" w:cs="Arial" w:eastAsia="Arial" w:hAnsi="Arial"/>
          <w:sz w:val="18"/>
          <w:szCs w:val="18"/>
          <w:color w:val="auto"/>
        </w:rPr>
      </w:pPr>
    </w:p>
    <w:p>
      <w:pPr>
        <w:ind w:left="620"/>
        <w:spacing w:after="0" w:line="268" w:lineRule="auto"/>
        <w:rPr>
          <w:rFonts w:ascii="Arial" w:cs="Arial" w:eastAsia="Arial" w:hAnsi="Arial"/>
          <w:sz w:val="18"/>
          <w:szCs w:val="18"/>
          <w:color w:val="auto"/>
        </w:rPr>
      </w:pPr>
      <w:r>
        <w:rPr>
          <w:rFonts w:ascii="Arial" w:cs="Arial" w:eastAsia="Arial" w:hAnsi="Arial"/>
          <w:sz w:val="18"/>
          <w:szCs w:val="18"/>
          <w:color w:val="auto"/>
        </w:rPr>
        <w:t>On March 1, 2002, we filed a current report on Form 8-K in connection with the issuance of a press release dated February 28, 2002 announcing our financial results for the fourth quarter of fiscal 2002 and our fiscal year ended February 2, 2002.</w:t>
      </w:r>
    </w:p>
    <w:p>
      <w:pPr>
        <w:spacing w:after="0" w:line="186" w:lineRule="exact"/>
        <w:rPr>
          <w:sz w:val="20"/>
          <w:szCs w:val="20"/>
          <w:color w:val="auto"/>
        </w:rPr>
      </w:pPr>
    </w:p>
    <w:p>
      <w:pPr>
        <w:ind w:left="620" w:right="320"/>
        <w:spacing w:after="0" w:line="268" w:lineRule="auto"/>
        <w:rPr>
          <w:sz w:val="20"/>
          <w:szCs w:val="20"/>
          <w:color w:val="auto"/>
        </w:rPr>
      </w:pPr>
      <w:r>
        <w:rPr>
          <w:rFonts w:ascii="Arial" w:cs="Arial" w:eastAsia="Arial" w:hAnsi="Arial"/>
          <w:sz w:val="18"/>
          <w:szCs w:val="18"/>
          <w:color w:val="auto"/>
        </w:rPr>
        <w:t>On April 12, 2002, we filed a current report of Form 8-K in connection with the issuance of a press release dated April 12, 2002 announcing the retirement of Avigdor Willenz from our Board of Directors.</w:t>
      </w:r>
    </w:p>
    <w:p>
      <w:pPr>
        <w:spacing w:after="0" w:line="186"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060"/>
          </w:cols>
          <w:pgMar w:left="240" w:top="419" w:right="59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SIGNATURES</w:t>
      </w:r>
    </w:p>
    <w:p>
      <w:pPr>
        <w:spacing w:after="0" w:line="225" w:lineRule="exact"/>
        <w:rPr>
          <w:sz w:val="20"/>
          <w:szCs w:val="20"/>
          <w:color w:val="auto"/>
        </w:rPr>
      </w:pPr>
    </w:p>
    <w:p>
      <w:pPr>
        <w:ind w:right="260"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680" w:type="dxa"/>
            <w:vAlign w:val="bottom"/>
          </w:tcPr>
          <w:p>
            <w:pPr>
              <w:spacing w:after="0"/>
              <w:rPr>
                <w:sz w:val="19"/>
                <w:szCs w:val="19"/>
                <w:color w:val="auto"/>
              </w:rPr>
            </w:pPr>
          </w:p>
        </w:tc>
        <w:tc>
          <w:tcPr>
            <w:tcW w:w="9740" w:type="dxa"/>
            <w:vAlign w:val="bottom"/>
            <w:gridSpan w:val="2"/>
          </w:tcPr>
          <w:p>
            <w:pPr>
              <w:ind w:left="3920"/>
              <w:spacing w:after="0"/>
              <w:rPr>
                <w:sz w:val="20"/>
                <w:szCs w:val="20"/>
                <w:color w:val="auto"/>
              </w:rPr>
            </w:pPr>
            <w:r>
              <w:rPr>
                <w:rFonts w:ascii="Arial" w:cs="Arial" w:eastAsia="Arial" w:hAnsi="Arial"/>
                <w:sz w:val="18"/>
                <w:szCs w:val="18"/>
                <w:color w:val="auto"/>
              </w:rPr>
              <w:t>MARVELL TECHNOLOGY GROUP LTD.</w:t>
            </w:r>
          </w:p>
        </w:tc>
      </w:tr>
      <w:tr>
        <w:trPr>
          <w:trHeight w:val="702"/>
        </w:trPr>
        <w:tc>
          <w:tcPr>
            <w:tcW w:w="1680" w:type="dxa"/>
            <w:vAlign w:val="bottom"/>
          </w:tcPr>
          <w:p>
            <w:pPr>
              <w:jc w:val="center"/>
              <w:spacing w:after="0"/>
              <w:rPr>
                <w:sz w:val="20"/>
                <w:szCs w:val="20"/>
                <w:color w:val="auto"/>
              </w:rPr>
            </w:pPr>
            <w:r>
              <w:rPr>
                <w:rFonts w:ascii="Arial" w:cs="Arial" w:eastAsia="Arial" w:hAnsi="Arial"/>
                <w:sz w:val="18"/>
                <w:szCs w:val="18"/>
                <w:color w:val="auto"/>
                <w:w w:val="85"/>
              </w:rPr>
              <w:t>June 14, 2002</w:t>
            </w:r>
          </w:p>
        </w:tc>
        <w:tc>
          <w:tcPr>
            <w:tcW w:w="9740" w:type="dxa"/>
            <w:vAlign w:val="bottom"/>
            <w:gridSpan w:val="2"/>
          </w:tcPr>
          <w:p>
            <w:pPr>
              <w:ind w:left="3920"/>
              <w:spacing w:after="0"/>
              <w:rPr>
                <w:sz w:val="20"/>
                <w:szCs w:val="20"/>
                <w:color w:val="auto"/>
              </w:rPr>
            </w:pPr>
            <w:r>
              <w:rPr>
                <w:rFonts w:ascii="Arial" w:cs="Arial" w:eastAsia="Arial" w:hAnsi="Arial"/>
                <w:sz w:val="18"/>
                <w:szCs w:val="18"/>
                <w:color w:val="auto"/>
              </w:rPr>
              <w:t>By:   /s/  GEORGE A. HERVEY</w:t>
            </w:r>
          </w:p>
        </w:tc>
      </w:tr>
      <w:tr>
        <w:trPr>
          <w:trHeight w:val="110"/>
        </w:trPr>
        <w:tc>
          <w:tcPr>
            <w:tcW w:w="1680" w:type="dxa"/>
            <w:vAlign w:val="bottom"/>
            <w:tcBorders>
              <w:bottom w:val="single" w:sz="8" w:color="auto"/>
            </w:tcBorders>
          </w:tcPr>
          <w:p>
            <w:pPr>
              <w:spacing w:after="0"/>
              <w:rPr>
                <w:sz w:val="9"/>
                <w:szCs w:val="9"/>
                <w:color w:val="auto"/>
              </w:rPr>
            </w:pPr>
          </w:p>
        </w:tc>
        <w:tc>
          <w:tcPr>
            <w:tcW w:w="4220" w:type="dxa"/>
            <w:vAlign w:val="bottom"/>
          </w:tcPr>
          <w:p>
            <w:pPr>
              <w:spacing w:after="0"/>
              <w:rPr>
                <w:sz w:val="9"/>
                <w:szCs w:val="9"/>
                <w:color w:val="auto"/>
              </w:rPr>
            </w:pPr>
          </w:p>
        </w:tc>
        <w:tc>
          <w:tcPr>
            <w:tcW w:w="5520" w:type="dxa"/>
            <w:vAlign w:val="bottom"/>
            <w:tcBorders>
              <w:bottom w:val="single" w:sz="8" w:color="auto"/>
            </w:tcBorders>
          </w:tcPr>
          <w:p>
            <w:pPr>
              <w:spacing w:after="0"/>
              <w:rPr>
                <w:sz w:val="9"/>
                <w:szCs w:val="9"/>
                <w:color w:val="auto"/>
              </w:rPr>
            </w:pPr>
          </w:p>
        </w:tc>
      </w:tr>
      <w:tr>
        <w:trPr>
          <w:trHeight w:val="309"/>
        </w:trPr>
        <w:tc>
          <w:tcPr>
            <w:tcW w:w="1680" w:type="dxa"/>
            <w:vAlign w:val="bottom"/>
          </w:tcPr>
          <w:p>
            <w:pPr>
              <w:jc w:val="center"/>
              <w:spacing w:after="0"/>
              <w:rPr>
                <w:sz w:val="20"/>
                <w:szCs w:val="20"/>
                <w:color w:val="auto"/>
              </w:rPr>
            </w:pPr>
            <w:r>
              <w:rPr>
                <w:rFonts w:ascii="Arial" w:cs="Arial" w:eastAsia="Arial" w:hAnsi="Arial"/>
                <w:sz w:val="18"/>
                <w:szCs w:val="18"/>
                <w:color w:val="auto"/>
                <w:w w:val="89"/>
              </w:rPr>
              <w:t>Date</w:t>
            </w:r>
          </w:p>
        </w:tc>
        <w:tc>
          <w:tcPr>
            <w:tcW w:w="9740" w:type="dxa"/>
            <w:vAlign w:val="bottom"/>
            <w:gridSpan w:val="2"/>
          </w:tcPr>
          <w:p>
            <w:pPr>
              <w:ind w:left="4220"/>
              <w:spacing w:after="0"/>
              <w:rPr>
                <w:sz w:val="20"/>
                <w:szCs w:val="20"/>
                <w:color w:val="auto"/>
              </w:rPr>
            </w:pPr>
            <w:r>
              <w:rPr>
                <w:rFonts w:ascii="Arial" w:cs="Arial" w:eastAsia="Arial" w:hAnsi="Arial"/>
                <w:sz w:val="18"/>
                <w:szCs w:val="18"/>
                <w:color w:val="auto"/>
              </w:rPr>
              <w:t>George A. Hervey</w:t>
            </w:r>
          </w:p>
        </w:tc>
      </w:tr>
      <w:tr>
        <w:trPr>
          <w:trHeight w:val="222"/>
        </w:trPr>
        <w:tc>
          <w:tcPr>
            <w:tcW w:w="1680" w:type="dxa"/>
            <w:vAlign w:val="bottom"/>
          </w:tcPr>
          <w:p>
            <w:pPr>
              <w:spacing w:after="0"/>
              <w:rPr>
                <w:sz w:val="19"/>
                <w:szCs w:val="19"/>
                <w:color w:val="auto"/>
              </w:rPr>
            </w:pPr>
          </w:p>
        </w:tc>
        <w:tc>
          <w:tcPr>
            <w:tcW w:w="9740" w:type="dxa"/>
            <w:vAlign w:val="bottom"/>
            <w:gridSpan w:val="2"/>
          </w:tcPr>
          <w:p>
            <w:pPr>
              <w:ind w:left="4220"/>
              <w:spacing w:after="0"/>
              <w:rPr>
                <w:sz w:val="20"/>
                <w:szCs w:val="20"/>
                <w:color w:val="auto"/>
              </w:rPr>
            </w:pPr>
            <w:r>
              <w:rPr>
                <w:rFonts w:ascii="Arial" w:cs="Arial" w:eastAsia="Arial" w:hAnsi="Arial"/>
                <w:sz w:val="18"/>
                <w:szCs w:val="18"/>
                <w:color w:val="auto"/>
              </w:rPr>
              <w:t>Vice President and Chief Financial Officer</w:t>
            </w:r>
          </w:p>
        </w:tc>
      </w:tr>
      <w:tr>
        <w:trPr>
          <w:trHeight w:val="432"/>
        </w:trPr>
        <w:tc>
          <w:tcPr>
            <w:tcW w:w="1680" w:type="dxa"/>
            <w:vAlign w:val="bottom"/>
          </w:tcPr>
          <w:p>
            <w:pPr>
              <w:spacing w:after="0"/>
              <w:rPr>
                <w:sz w:val="24"/>
                <w:szCs w:val="24"/>
                <w:color w:val="auto"/>
              </w:rPr>
            </w:pPr>
          </w:p>
        </w:tc>
        <w:tc>
          <w:tcPr>
            <w:tcW w:w="4220" w:type="dxa"/>
            <w:vAlign w:val="bottom"/>
          </w:tcPr>
          <w:p>
            <w:pPr>
              <w:ind w:left="3940"/>
              <w:spacing w:after="0"/>
              <w:rPr>
                <w:sz w:val="20"/>
                <w:szCs w:val="20"/>
                <w:color w:val="auto"/>
              </w:rPr>
            </w:pPr>
            <w:r>
              <w:rPr>
                <w:rFonts w:ascii="Arial" w:cs="Arial" w:eastAsia="Arial" w:hAnsi="Arial"/>
                <w:sz w:val="18"/>
                <w:szCs w:val="18"/>
                <w:color w:val="auto"/>
              </w:rPr>
              <w:t>36</w:t>
            </w:r>
          </w:p>
        </w:tc>
        <w:tc>
          <w:tcPr>
            <w:tcW w:w="5520" w:type="dxa"/>
            <w:vAlign w:val="bottom"/>
          </w:tcPr>
          <w:p>
            <w:pPr>
              <w:spacing w:after="0"/>
              <w:rPr>
                <w:sz w:val="24"/>
                <w:szCs w:val="24"/>
                <w:color w:val="auto"/>
              </w:rPr>
            </w:pPr>
          </w:p>
        </w:tc>
      </w:tr>
    </w:tbl>
    <w:p>
      <w:pPr>
        <w:spacing w:after="0" w:line="1" w:lineRule="exact"/>
        <w:rPr>
          <w:sz w:val="20"/>
          <w:szCs w:val="20"/>
          <w:color w:val="auto"/>
        </w:rPr>
      </w:pPr>
    </w:p>
    <w:sectPr>
      <w:pgSz w:w="11900" w:h="16838" w:orient="portrait"/>
      <w:cols w:equalWidth="0" w:num="1">
        <w:col w:w="11420"/>
      </w:cols>
      <w:pgMar w:left="240" w:top="41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07ED7AB"/>
    <w:multiLevelType w:val="hybridMultilevel"/>
    <w:lvl w:ilvl="0">
      <w:lvlJc w:val="left"/>
      <w:lvlText w:val="%1."/>
      <w:numFmt w:val="decimal"/>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
      <w:numFmt w:val="bullet"/>
      <w:start w:val="1"/>
    </w:lvl>
  </w:abstractNum>
  <w:abstractNum w:abstractNumId="3">
    <w:nsid w:val="79E2A9E3"/>
    <w:multiLevelType w:val="hybridMultilevel"/>
    <w:lvl w:ilvl="0">
      <w:lvlJc w:val="left"/>
      <w:lvlText w:val="•"/>
      <w:numFmt w:val="bullet"/>
      <w:start w:val="1"/>
    </w:lvl>
  </w:abstractNum>
  <w:abstractNum w:abstractNumId="4">
    <w:nsid w:val="7545E146"/>
    <w:multiLevelType w:val="hybridMultilevel"/>
    <w:lvl w:ilvl="0">
      <w:lvlJc w:val="left"/>
      <w:lvlText w:val="•"/>
      <w:numFmt w:val="bullet"/>
      <w:start w:val="1"/>
    </w:lvl>
  </w:abstractNum>
  <w:abstractNum w:abstractNumId="5">
    <w:nsid w:val="515F007C"/>
    <w:multiLevelType w:val="hybridMultilevel"/>
    <w:lvl w:ilvl="0">
      <w:lvlJc w:val="left"/>
      <w:lvlText w:val="•"/>
      <w:numFmt w:val="bullet"/>
      <w:start w:val="1"/>
    </w:lvl>
  </w:abstractNum>
  <w:abstractNum w:abstractNumId="6">
    <w:nsid w:val="5BD062C2"/>
    <w:multiLevelType w:val="hybridMultilevel"/>
    <w:lvl w:ilvl="0">
      <w:lvlJc w:val="left"/>
      <w:lvlText w:val="•"/>
      <w:numFmt w:val="bullet"/>
      <w:start w:val="1"/>
    </w:lvl>
  </w:abstractNum>
  <w:abstractNum w:abstractNumId="7">
    <w:nsid w:val="12200854"/>
    <w:multiLevelType w:val="hybridMultilevel"/>
    <w:lvl w:ilvl="0">
      <w:lvlJc w:val="left"/>
      <w:lvlText w:val="•"/>
      <w:numFmt w:val="bullet"/>
      <w:start w:val="1"/>
    </w:lvl>
  </w:abstractNum>
  <w:abstractNum w:abstractNumId="8">
    <w:nsid w:val="4DB127F8"/>
    <w:multiLevelType w:val="hybridMultilevel"/>
    <w:lvl w:ilvl="0">
      <w:lvlJc w:val="left"/>
      <w:lvlText w:val="•"/>
      <w:numFmt w:val="bullet"/>
      <w:start w:val="1"/>
    </w:lvl>
  </w:abstractNum>
  <w:abstractNum w:abstractNumId="9">
    <w:nsid w:val="216231B"/>
    <w:multiLevelType w:val="hybridMultilevel"/>
    <w:lvl w:ilvl="0">
      <w:lvlJc w:val="left"/>
      <w:lvlText w:val="•"/>
      <w:numFmt w:val="bullet"/>
      <w:start w:val="1"/>
    </w:lvl>
  </w:abstractNum>
  <w:abstractNum w:abstractNumId="10">
    <w:nsid w:val="1F16E9E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2019-12-14T20:23:48Z</dcterms:created>
  <dcterms:modified xsi:type="dcterms:W3CDTF">2019-12-14T20:23:48Z</dcterms:modified>
</cp:coreProperties>
</file>