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w:t>
      </w:r>
    </w:p>
    <w:p>
      <w:pPr>
        <w:spacing w:after="0" w:line="200" w:lineRule="exact"/>
        <w:rPr>
          <w:sz w:val="24"/>
          <w:szCs w:val="24"/>
          <w:color w:val="auto"/>
        </w:rPr>
      </w:pPr>
    </w:p>
    <w:p>
      <w:pPr>
        <w:spacing w:after="0" w:line="204"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SECURITIES AND EXCHANGE COMMISSION</w:t>
      </w:r>
    </w:p>
    <w:p>
      <w:pPr>
        <w:jc w:val="center"/>
        <w:ind w:right="1779"/>
        <w:spacing w:after="0" w:line="238" w:lineRule="auto"/>
        <w:rPr>
          <w:sz w:val="20"/>
          <w:szCs w:val="20"/>
          <w:color w:val="auto"/>
        </w:rPr>
      </w:pPr>
      <w:r>
        <w:rPr>
          <w:rFonts w:ascii="Courier New" w:cs="Courier New" w:eastAsia="Courier New" w:hAnsi="Courier New"/>
          <w:sz w:val="18"/>
          <w:szCs w:val="18"/>
          <w:color w:val="auto"/>
        </w:rPr>
        <w:t>WASHINGTON, D.C. 20549</w:t>
      </w:r>
    </w:p>
    <w:p>
      <w:pPr>
        <w:spacing w:after="0" w:line="202"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FORM 8-K</w:t>
      </w:r>
    </w:p>
    <w:p>
      <w:pPr>
        <w:spacing w:after="0" w:line="201" w:lineRule="exact"/>
        <w:rPr>
          <w:sz w:val="24"/>
          <w:szCs w:val="24"/>
          <w:color w:val="auto"/>
        </w:rPr>
      </w:pPr>
    </w:p>
    <w:p>
      <w:pPr>
        <w:jc w:val="center"/>
        <w:ind w:right="1779"/>
        <w:spacing w:after="0"/>
        <w:rPr>
          <w:sz w:val="20"/>
          <w:szCs w:val="20"/>
          <w:color w:val="auto"/>
        </w:rPr>
      </w:pPr>
      <w:r>
        <w:rPr>
          <w:rFonts w:ascii="Courier New" w:cs="Courier New" w:eastAsia="Courier New" w:hAnsi="Courier New"/>
          <w:sz w:val="18"/>
          <w:szCs w:val="18"/>
          <w:color w:val="auto"/>
        </w:rPr>
        <w:t>CURRENT REPORT</w:t>
      </w:r>
    </w:p>
    <w:p>
      <w:pPr>
        <w:spacing w:after="0" w:line="201" w:lineRule="exact"/>
        <w:rPr>
          <w:sz w:val="24"/>
          <w:szCs w:val="24"/>
          <w:color w:val="auto"/>
        </w:rPr>
      </w:pPr>
    </w:p>
    <w:p>
      <w:pPr>
        <w:ind w:left="2440"/>
        <w:spacing w:after="0"/>
        <w:rPr>
          <w:sz w:val="20"/>
          <w:szCs w:val="20"/>
          <w:color w:val="auto"/>
        </w:rPr>
      </w:pPr>
      <w:r>
        <w:rPr>
          <w:rFonts w:ascii="Courier New" w:cs="Courier New" w:eastAsia="Courier New" w:hAnsi="Courier New"/>
          <w:sz w:val="18"/>
          <w:szCs w:val="18"/>
          <w:color w:val="auto"/>
        </w:rPr>
        <w:t>PURSUANT TO SECTION 13 OR 15(d) OF</w:t>
      </w:r>
    </w:p>
    <w:p>
      <w:pPr>
        <w:ind w:left="2440"/>
        <w:spacing w:after="0" w:line="238" w:lineRule="auto"/>
        <w:rPr>
          <w:sz w:val="20"/>
          <w:szCs w:val="20"/>
          <w:color w:val="auto"/>
        </w:rPr>
      </w:pPr>
      <w:r>
        <w:rPr>
          <w:rFonts w:ascii="Courier New" w:cs="Courier New" w:eastAsia="Courier New" w:hAnsi="Courier New"/>
          <w:sz w:val="18"/>
          <w:szCs w:val="18"/>
          <w:color w:val="auto"/>
        </w:rPr>
        <w:t>THE SECURITIES EXCHANGE ACT OF 1934</w:t>
      </w:r>
    </w:p>
    <w:p>
      <w:pPr>
        <w:spacing w:after="0" w:line="202" w:lineRule="exact"/>
        <w:rPr>
          <w:sz w:val="24"/>
          <w:szCs w:val="24"/>
          <w:color w:val="auto"/>
        </w:rPr>
      </w:pPr>
    </w:p>
    <w:p>
      <w:pPr>
        <w:ind w:left="2320"/>
        <w:spacing w:after="0"/>
        <w:rPr>
          <w:sz w:val="20"/>
          <w:szCs w:val="20"/>
          <w:color w:val="auto"/>
        </w:rPr>
      </w:pPr>
      <w:r>
        <w:rPr>
          <w:rFonts w:ascii="Courier New" w:cs="Courier New" w:eastAsia="Courier New" w:hAnsi="Courier New"/>
          <w:sz w:val="18"/>
          <w:szCs w:val="18"/>
          <w:color w:val="auto"/>
        </w:rPr>
        <w:t>October 11, 2002 (October 11, 2002)</w:t>
      </w:r>
    </w:p>
    <w:p>
      <w:pPr>
        <w:ind w:left="1700"/>
        <w:spacing w:after="0" w:line="238" w:lineRule="auto"/>
        <w:rPr>
          <w:sz w:val="20"/>
          <w:szCs w:val="20"/>
          <w:color w:val="auto"/>
        </w:rPr>
      </w:pPr>
      <w:r>
        <w:rPr>
          <w:rFonts w:ascii="Courier New" w:cs="Courier New" w:eastAsia="Courier New" w:hAnsi="Courier New"/>
          <w:sz w:val="18"/>
          <w:szCs w:val="18"/>
          <w:color w:val="auto"/>
        </w:rPr>
        <w:t>DATE OF REPORT (DATE OF EARLIEST EVENT REPORTED)</w:t>
      </w:r>
    </w:p>
    <w:p>
      <w:pPr>
        <w:spacing w:after="0" w:line="202"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MARVELL TECHNOLOGY GROUP LTD.</w:t>
      </w:r>
    </w:p>
    <w:p>
      <w:pPr>
        <w:jc w:val="center"/>
        <w:ind w:right="1779"/>
        <w:spacing w:after="0" w:line="238" w:lineRule="auto"/>
        <w:rPr>
          <w:sz w:val="20"/>
          <w:szCs w:val="20"/>
          <w:color w:val="auto"/>
        </w:rPr>
      </w:pPr>
      <w:r>
        <w:rPr>
          <w:rFonts w:ascii="Courier New" w:cs="Courier New" w:eastAsia="Courier New" w:hAnsi="Courier New"/>
          <w:sz w:val="18"/>
          <w:szCs w:val="18"/>
          <w:color w:val="auto"/>
        </w:rPr>
        <w:t>(EXACT NAME OF REGISTRANT AS SPECIFIED IN ITS CHARTER)</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9" w:lineRule="exact"/>
        <w:rPr>
          <w:sz w:val="24"/>
          <w:szCs w:val="24"/>
          <w:color w:val="auto"/>
        </w:rPr>
      </w:pPr>
    </w:p>
    <w:tbl>
      <w:tblPr>
        <w:tblLayout w:type="fixed"/>
        <w:tblInd w:w="220" w:type="dxa"/>
        <w:tblCellMar>
          <w:top w:w="0" w:type="dxa"/>
          <w:left w:w="0" w:type="dxa"/>
          <w:bottom w:w="0" w:type="dxa"/>
          <w:right w:w="0" w:type="dxa"/>
        </w:tblCellMar>
      </w:tblPr>
      <w:tr>
        <w:trPr>
          <w:trHeight w:val="204"/>
        </w:trPr>
        <w:tc>
          <w:tcPr>
            <w:tcW w:w="3640" w:type="dxa"/>
            <w:vAlign w:val="bottom"/>
          </w:tcPr>
          <w:p>
            <w:pPr>
              <w:jc w:val="right"/>
              <w:ind w:right="1552"/>
              <w:spacing w:after="0"/>
              <w:rPr>
                <w:sz w:val="20"/>
                <w:szCs w:val="20"/>
                <w:color w:val="auto"/>
              </w:rPr>
            </w:pPr>
            <w:r>
              <w:rPr>
                <w:rFonts w:ascii="Courier New" w:cs="Courier New" w:eastAsia="Courier New" w:hAnsi="Courier New"/>
                <w:sz w:val="18"/>
                <w:szCs w:val="18"/>
                <w:color w:val="auto"/>
              </w:rPr>
              <w:t>BERMUDA</w:t>
            </w:r>
          </w:p>
        </w:tc>
        <w:tc>
          <w:tcPr>
            <w:tcW w:w="2320" w:type="dxa"/>
            <w:vAlign w:val="bottom"/>
          </w:tcPr>
          <w:p>
            <w:pPr>
              <w:ind w:left="780"/>
              <w:spacing w:after="0"/>
              <w:rPr>
                <w:sz w:val="20"/>
                <w:szCs w:val="20"/>
                <w:color w:val="auto"/>
              </w:rPr>
            </w:pPr>
            <w:r>
              <w:rPr>
                <w:rFonts w:ascii="Courier New" w:cs="Courier New" w:eastAsia="Courier New" w:hAnsi="Courier New"/>
                <w:sz w:val="18"/>
                <w:szCs w:val="18"/>
                <w:color w:val="auto"/>
              </w:rPr>
              <w:t>0-30877</w:t>
            </w:r>
          </w:p>
        </w:tc>
        <w:tc>
          <w:tcPr>
            <w:tcW w:w="3520" w:type="dxa"/>
            <w:vAlign w:val="bottom"/>
          </w:tcPr>
          <w:p>
            <w:pPr>
              <w:jc w:val="right"/>
              <w:ind w:right="972"/>
              <w:spacing w:after="0"/>
              <w:rPr>
                <w:sz w:val="20"/>
                <w:szCs w:val="20"/>
                <w:color w:val="auto"/>
              </w:rPr>
            </w:pPr>
            <w:r>
              <w:rPr>
                <w:rFonts w:ascii="Courier New" w:cs="Courier New" w:eastAsia="Courier New" w:hAnsi="Courier New"/>
                <w:sz w:val="18"/>
                <w:szCs w:val="18"/>
                <w:color w:val="auto"/>
              </w:rPr>
              <w:t>77-0481679</w:t>
            </w:r>
          </w:p>
        </w:tc>
      </w:tr>
      <w:tr>
        <w:trPr>
          <w:trHeight w:val="203"/>
        </w:trPr>
        <w:tc>
          <w:tcPr>
            <w:tcW w:w="364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6"/>
              </w:rPr>
              <w:t>(STATE OR OTHER JURISDICTION OF</w:t>
            </w:r>
          </w:p>
        </w:tc>
        <w:tc>
          <w:tcPr>
            <w:tcW w:w="2320" w:type="dxa"/>
            <w:vAlign w:val="bottom"/>
          </w:tcPr>
          <w:p>
            <w:pPr>
              <w:ind w:left="360"/>
              <w:spacing w:after="0" w:line="203" w:lineRule="exact"/>
              <w:rPr>
                <w:sz w:val="20"/>
                <w:szCs w:val="20"/>
                <w:color w:val="auto"/>
              </w:rPr>
            </w:pPr>
            <w:r>
              <w:rPr>
                <w:rFonts w:ascii="Courier New" w:cs="Courier New" w:eastAsia="Courier New" w:hAnsi="Courier New"/>
                <w:sz w:val="18"/>
                <w:szCs w:val="18"/>
                <w:color w:val="auto"/>
              </w:rPr>
              <w:t>(COMMISSION FILE</w:t>
            </w:r>
          </w:p>
        </w:tc>
        <w:tc>
          <w:tcPr>
            <w:tcW w:w="3520" w:type="dxa"/>
            <w:vAlign w:val="bottom"/>
          </w:tcPr>
          <w:p>
            <w:pPr>
              <w:ind w:left="260"/>
              <w:spacing w:after="0" w:line="203" w:lineRule="exact"/>
              <w:rPr>
                <w:sz w:val="20"/>
                <w:szCs w:val="20"/>
                <w:color w:val="auto"/>
              </w:rPr>
            </w:pPr>
            <w:r>
              <w:rPr>
                <w:rFonts w:ascii="Courier New" w:cs="Courier New" w:eastAsia="Courier New" w:hAnsi="Courier New"/>
                <w:sz w:val="18"/>
                <w:szCs w:val="18"/>
                <w:color w:val="auto"/>
                <w:w w:val="96"/>
              </w:rPr>
              <w:t>(I.R.S. EMPLOYER IDENTIFICATION</w:t>
            </w:r>
          </w:p>
        </w:tc>
      </w:tr>
      <w:tr>
        <w:trPr>
          <w:trHeight w:val="203"/>
        </w:trPr>
        <w:tc>
          <w:tcPr>
            <w:tcW w:w="3640" w:type="dxa"/>
            <w:vAlign w:val="bottom"/>
          </w:tcPr>
          <w:p>
            <w:pPr>
              <w:jc w:val="right"/>
              <w:ind w:right="292"/>
              <w:spacing w:after="0" w:line="203" w:lineRule="exact"/>
              <w:rPr>
                <w:sz w:val="20"/>
                <w:szCs w:val="20"/>
                <w:color w:val="auto"/>
              </w:rPr>
            </w:pPr>
            <w:r>
              <w:rPr>
                <w:rFonts w:ascii="Courier New" w:cs="Courier New" w:eastAsia="Courier New" w:hAnsi="Courier New"/>
                <w:sz w:val="18"/>
                <w:szCs w:val="18"/>
                <w:color w:val="auto"/>
                <w:w w:val="99"/>
              </w:rPr>
              <w:t>INCORPORATION OR ORGANIZATION)</w:t>
            </w:r>
          </w:p>
        </w:tc>
        <w:tc>
          <w:tcPr>
            <w:tcW w:w="2320" w:type="dxa"/>
            <w:vAlign w:val="bottom"/>
          </w:tcPr>
          <w:p>
            <w:pPr>
              <w:ind w:left="780"/>
              <w:spacing w:after="0" w:line="203" w:lineRule="exact"/>
              <w:rPr>
                <w:sz w:val="20"/>
                <w:szCs w:val="20"/>
                <w:color w:val="auto"/>
              </w:rPr>
            </w:pPr>
            <w:r>
              <w:rPr>
                <w:rFonts w:ascii="Courier New" w:cs="Courier New" w:eastAsia="Courier New" w:hAnsi="Courier New"/>
                <w:sz w:val="18"/>
                <w:szCs w:val="18"/>
                <w:color w:val="auto"/>
              </w:rPr>
              <w:t>NUMBER)</w:t>
            </w:r>
          </w:p>
        </w:tc>
        <w:tc>
          <w:tcPr>
            <w:tcW w:w="3520" w:type="dxa"/>
            <w:vAlign w:val="bottom"/>
          </w:tcPr>
          <w:p>
            <w:pPr>
              <w:jc w:val="center"/>
              <w:ind w:left="272"/>
              <w:spacing w:after="0" w:line="203" w:lineRule="exact"/>
              <w:rPr>
                <w:sz w:val="20"/>
                <w:szCs w:val="20"/>
                <w:color w:val="auto"/>
              </w:rPr>
            </w:pPr>
            <w:r>
              <w:rPr>
                <w:rFonts w:ascii="Courier New" w:cs="Courier New" w:eastAsia="Courier New" w:hAnsi="Courier New"/>
                <w:sz w:val="18"/>
                <w:szCs w:val="18"/>
                <w:color w:val="auto"/>
              </w:rPr>
              <w:t>NO.)</w:t>
            </w:r>
          </w:p>
        </w:tc>
      </w:tr>
    </w:tbl>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ind w:left="3800"/>
        <w:spacing w:after="0"/>
        <w:rPr>
          <w:sz w:val="20"/>
          <w:szCs w:val="20"/>
          <w:color w:val="auto"/>
        </w:rPr>
      </w:pPr>
      <w:r>
        <w:rPr>
          <w:rFonts w:ascii="Courier New" w:cs="Courier New" w:eastAsia="Courier New" w:hAnsi="Courier New"/>
          <w:sz w:val="18"/>
          <w:szCs w:val="18"/>
          <w:color w:val="auto"/>
        </w:rPr>
        <w:t>4TH FLOOR</w:t>
      </w:r>
    </w:p>
    <w:p>
      <w:pPr>
        <w:ind w:left="3580"/>
        <w:spacing w:after="0" w:line="238" w:lineRule="auto"/>
        <w:rPr>
          <w:sz w:val="20"/>
          <w:szCs w:val="20"/>
          <w:color w:val="auto"/>
        </w:rPr>
      </w:pPr>
      <w:r>
        <w:rPr>
          <w:rFonts w:ascii="Courier New" w:cs="Courier New" w:eastAsia="Courier New" w:hAnsi="Courier New"/>
          <w:sz w:val="18"/>
          <w:szCs w:val="18"/>
          <w:color w:val="auto"/>
        </w:rPr>
        <w:t>WINDSOR PLACE</w:t>
      </w:r>
    </w:p>
    <w:p>
      <w:pPr>
        <w:ind w:left="3480"/>
        <w:spacing w:after="0"/>
        <w:rPr>
          <w:sz w:val="20"/>
          <w:szCs w:val="20"/>
          <w:color w:val="auto"/>
        </w:rPr>
      </w:pPr>
      <w:r>
        <w:rPr>
          <w:rFonts w:ascii="Courier New" w:cs="Courier New" w:eastAsia="Courier New" w:hAnsi="Courier New"/>
          <w:sz w:val="18"/>
          <w:szCs w:val="18"/>
          <w:color w:val="auto"/>
        </w:rPr>
        <w:t>22 QUEEN STREET</w:t>
      </w:r>
    </w:p>
    <w:p>
      <w:pPr>
        <w:ind w:left="3380"/>
        <w:spacing w:after="0" w:line="237" w:lineRule="auto"/>
        <w:rPr>
          <w:sz w:val="20"/>
          <w:szCs w:val="20"/>
          <w:color w:val="auto"/>
        </w:rPr>
      </w:pPr>
      <w:r>
        <w:rPr>
          <w:rFonts w:ascii="Courier New" w:cs="Courier New" w:eastAsia="Courier New" w:hAnsi="Courier New"/>
          <w:sz w:val="18"/>
          <w:szCs w:val="18"/>
          <w:color w:val="auto"/>
        </w:rPr>
        <w:t>P.O. BOX HM 1179</w:t>
      </w:r>
    </w:p>
    <w:p>
      <w:pPr>
        <w:ind w:left="3480"/>
        <w:spacing w:after="0" w:line="238" w:lineRule="auto"/>
        <w:rPr>
          <w:sz w:val="20"/>
          <w:szCs w:val="20"/>
          <w:color w:val="auto"/>
        </w:rPr>
      </w:pPr>
      <w:r>
        <w:rPr>
          <w:rFonts w:ascii="Courier New" w:cs="Courier New" w:eastAsia="Courier New" w:hAnsi="Courier New"/>
          <w:sz w:val="18"/>
          <w:szCs w:val="18"/>
          <w:color w:val="auto"/>
        </w:rPr>
        <w:t>HAMILTON HM EX</w:t>
      </w:r>
    </w:p>
    <w:p>
      <w:pPr>
        <w:ind w:left="3900"/>
        <w:spacing w:after="0"/>
        <w:rPr>
          <w:sz w:val="20"/>
          <w:szCs w:val="20"/>
          <w:color w:val="auto"/>
        </w:rPr>
      </w:pPr>
      <w:r>
        <w:rPr>
          <w:rFonts w:ascii="Courier New" w:cs="Courier New" w:eastAsia="Courier New" w:hAnsi="Courier New"/>
          <w:sz w:val="18"/>
          <w:szCs w:val="18"/>
          <w:color w:val="auto"/>
        </w:rPr>
        <w:t>BERMUDA</w:t>
      </w:r>
    </w:p>
    <w:p>
      <w:pPr>
        <w:ind w:left="2540"/>
        <w:spacing w:after="0"/>
        <w:tabs>
          <w:tab w:leader="none" w:pos="6720" w:val="left"/>
        </w:tabs>
        <w:rPr>
          <w:sz w:val="20"/>
          <w:szCs w:val="20"/>
          <w:color w:val="auto"/>
        </w:rPr>
      </w:pPr>
      <w:r>
        <w:rPr>
          <w:rFonts w:ascii="Courier New" w:cs="Courier New" w:eastAsia="Courier New" w:hAnsi="Courier New"/>
          <w:sz w:val="18"/>
          <w:szCs w:val="18"/>
          <w:color w:val="auto"/>
        </w:rPr>
        <w:t>(ADDRESS OF PRINCIPAL EXECUTIVE</w:t>
      </w:r>
      <w:r>
        <w:rPr>
          <w:sz w:val="20"/>
          <w:szCs w:val="20"/>
          <w:color w:val="auto"/>
        </w:rPr>
        <w:tab/>
      </w:r>
      <w:r>
        <w:rPr>
          <w:rFonts w:ascii="Courier New" w:cs="Courier New" w:eastAsia="Courier New" w:hAnsi="Courier New"/>
          <w:sz w:val="16"/>
          <w:szCs w:val="16"/>
          <w:color w:val="auto"/>
        </w:rPr>
        <w:t>(ZIP CODE)</w:t>
      </w:r>
    </w:p>
    <w:p>
      <w:pPr>
        <w:ind w:left="3900"/>
        <w:spacing w:after="0"/>
        <w:rPr>
          <w:sz w:val="20"/>
          <w:szCs w:val="20"/>
          <w:color w:val="auto"/>
        </w:rPr>
      </w:pPr>
      <w:r>
        <w:rPr>
          <w:rFonts w:ascii="Courier New" w:cs="Courier New" w:eastAsia="Courier New" w:hAnsi="Courier New"/>
          <w:sz w:val="18"/>
          <w:szCs w:val="18"/>
          <w:color w:val="auto"/>
        </w:rPr>
        <w:t>OFFICES)</w:t>
      </w:r>
    </w:p>
    <w:p>
      <w:pPr>
        <w:spacing w:after="0" w:line="200" w:lineRule="exact"/>
        <w:rPr>
          <w:sz w:val="24"/>
          <w:szCs w:val="24"/>
          <w:color w:val="auto"/>
        </w:rPr>
      </w:pPr>
    </w:p>
    <w:p>
      <w:pPr>
        <w:ind w:left="740"/>
        <w:spacing w:after="0"/>
        <w:rPr>
          <w:sz w:val="20"/>
          <w:szCs w:val="20"/>
          <w:color w:val="auto"/>
        </w:rPr>
      </w:pPr>
      <w:r>
        <w:rPr>
          <w:rFonts w:ascii="Courier New" w:cs="Courier New" w:eastAsia="Courier New" w:hAnsi="Courier New"/>
          <w:sz w:val="18"/>
          <w:szCs w:val="18"/>
          <w:color w:val="auto"/>
        </w:rPr>
        <w:t>REGISTRANT'S TELEPHONE NUMBER, INCLUDING AREA CODE: (441) 296-6395</w:t>
      </w:r>
    </w:p>
    <w:p>
      <w:pPr>
        <w:spacing w:after="0" w:line="200" w:lineRule="exact"/>
        <w:rPr>
          <w:sz w:val="24"/>
          <w:szCs w:val="24"/>
          <w:color w:val="auto"/>
        </w:rPr>
      </w:pPr>
    </w:p>
    <w:p>
      <w:pPr>
        <w:spacing w:after="0" w:line="204" w:lineRule="exact"/>
        <w:rPr>
          <w:sz w:val="24"/>
          <w:szCs w:val="24"/>
          <w:color w:val="auto"/>
        </w:rPr>
      </w:pPr>
    </w:p>
    <w:p>
      <w:pPr>
        <w:jc w:val="center"/>
        <w:ind w:right="1679"/>
        <w:spacing w:after="0"/>
        <w:rPr>
          <w:sz w:val="20"/>
          <w:szCs w:val="20"/>
          <w:color w:val="auto"/>
        </w:rPr>
      </w:pPr>
      <w:r>
        <w:rPr>
          <w:rFonts w:ascii="Courier New" w:cs="Courier New" w:eastAsia="Courier New" w:hAnsi="Courier New"/>
          <w:sz w:val="18"/>
          <w:szCs w:val="18"/>
          <w:color w:val="auto"/>
        </w:rPr>
        <w:t>N/A</w:t>
      </w:r>
    </w:p>
    <w:p>
      <w:pPr>
        <w:jc w:val="center"/>
        <w:ind w:right="1779"/>
        <w:spacing w:after="0" w:line="238" w:lineRule="auto"/>
        <w:rPr>
          <w:sz w:val="20"/>
          <w:szCs w:val="20"/>
          <w:color w:val="auto"/>
        </w:rPr>
      </w:pPr>
      <w:r>
        <w:rPr>
          <w:rFonts w:ascii="Courier New" w:cs="Courier New" w:eastAsia="Courier New" w:hAnsi="Courier New"/>
          <w:sz w:val="18"/>
          <w:szCs w:val="18"/>
          <w:color w:val="auto"/>
        </w:rPr>
        <w:t>(FORMER NAME AND FORMER ADDRESS, IF CHANGED SINCE LAST REPORT)</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t>
      </w:r>
    </w:p>
    <w:p>
      <w:pPr>
        <w:sectPr>
          <w:pgSz w:w="11900" w:h="16838" w:orient="portrait"/>
          <w:cols w:equalWidth="0" w:num="1">
            <w:col w:w="10219"/>
          </w:cols>
          <w:pgMar w:left="240" w:top="649" w:right="1440" w:bottom="1440" w:gutter="0" w:footer="0" w:header="0"/>
        </w:sectPr>
      </w:pPr>
    </w:p>
    <w:bookmarkStart w:id="1" w:name="page2"/>
    <w:bookmarkEnd w:id="1"/>
    <w:p>
      <w:pPr>
        <w:ind w:left="2120"/>
        <w:spacing w:after="0"/>
        <w:rPr>
          <w:sz w:val="20"/>
          <w:szCs w:val="20"/>
          <w:color w:val="auto"/>
        </w:rPr>
      </w:pPr>
      <w:r>
        <w:rPr>
          <w:rFonts w:ascii="Courier New" w:cs="Courier New" w:eastAsia="Courier New" w:hAnsi="Courier New"/>
          <w:sz w:val="18"/>
          <w:szCs w:val="18"/>
          <w:color w:val="auto"/>
        </w:rPr>
        <w:t>INFORMATION TO BE INCLUDED IN THE REPORT</w:t>
      </w:r>
    </w:p>
    <w:p>
      <w:pPr>
        <w:spacing w:after="0" w:line="201"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5.</w:t>
      </w:r>
      <w:r>
        <w:rPr>
          <w:sz w:val="20"/>
          <w:szCs w:val="20"/>
          <w:color w:val="auto"/>
        </w:rPr>
        <w:tab/>
      </w:r>
      <w:r>
        <w:rPr>
          <w:rFonts w:ascii="Courier New" w:cs="Courier New" w:eastAsia="Courier New" w:hAnsi="Courier New"/>
          <w:sz w:val="16"/>
          <w:szCs w:val="16"/>
          <w:color w:val="auto"/>
        </w:rPr>
        <w:t>OTHER EVENTS.</w:t>
      </w:r>
    </w:p>
    <w:p>
      <w:pPr>
        <w:spacing w:after="0" w:line="207" w:lineRule="exact"/>
        <w:rPr>
          <w:sz w:val="20"/>
          <w:szCs w:val="20"/>
          <w:color w:val="auto"/>
        </w:rPr>
      </w:pPr>
    </w:p>
    <w:p>
      <w:pPr>
        <w:ind w:right="2099" w:firstLine="843"/>
        <w:spacing w:after="0" w:line="236" w:lineRule="auto"/>
        <w:rPr>
          <w:sz w:val="20"/>
          <w:szCs w:val="20"/>
          <w:color w:val="auto"/>
        </w:rPr>
      </w:pPr>
      <w:r>
        <w:rPr>
          <w:rFonts w:ascii="Courier New" w:cs="Courier New" w:eastAsia="Courier New" w:hAnsi="Courier New"/>
          <w:sz w:val="18"/>
          <w:szCs w:val="18"/>
          <w:color w:val="auto"/>
        </w:rPr>
        <w:t>On October 11, 2002, the Registrant issued a press release, a copy of which is attached hereto as Exhibit 99.1 and which is incorporated by reference herein.</w:t>
      </w:r>
    </w:p>
    <w:p>
      <w:pPr>
        <w:spacing w:after="0" w:line="203" w:lineRule="exact"/>
        <w:rPr>
          <w:sz w:val="20"/>
          <w:szCs w:val="20"/>
          <w:color w:val="auto"/>
        </w:rPr>
      </w:pPr>
    </w:p>
    <w:p>
      <w:pPr>
        <w:spacing w:after="0"/>
        <w:tabs>
          <w:tab w:leader="none" w:pos="940" w:val="left"/>
        </w:tabs>
        <w:rPr>
          <w:sz w:val="20"/>
          <w:szCs w:val="20"/>
          <w:color w:val="auto"/>
        </w:rPr>
      </w:pPr>
      <w:r>
        <w:rPr>
          <w:rFonts w:ascii="Courier New" w:cs="Courier New" w:eastAsia="Courier New" w:hAnsi="Courier New"/>
          <w:sz w:val="18"/>
          <w:szCs w:val="18"/>
          <w:color w:val="auto"/>
        </w:rPr>
        <w:t>ITEM 7.</w:t>
      </w:r>
      <w:r>
        <w:rPr>
          <w:sz w:val="20"/>
          <w:szCs w:val="20"/>
          <w:color w:val="auto"/>
        </w:rPr>
        <w:tab/>
      </w:r>
      <w:r>
        <w:rPr>
          <w:rFonts w:ascii="Courier New" w:cs="Courier New" w:eastAsia="Courier New" w:hAnsi="Courier New"/>
          <w:sz w:val="16"/>
          <w:szCs w:val="16"/>
          <w:color w:val="auto"/>
        </w:rPr>
        <w:t>FINANCIAL STATEMENTS, PRO FORMA FINANCIAL INFORMATION AND EXHIBITS</w:t>
      </w:r>
    </w:p>
    <w:p>
      <w:pPr>
        <w:spacing w:after="0" w:line="201" w:lineRule="exact"/>
        <w:rPr>
          <w:sz w:val="20"/>
          <w:szCs w:val="20"/>
          <w:color w:val="auto"/>
        </w:rPr>
      </w:pPr>
    </w:p>
    <w:tbl>
      <w:tblPr>
        <w:tblLayout w:type="fixed"/>
        <w:tblInd w:w="1060" w:type="dxa"/>
        <w:tblCellMar>
          <w:top w:w="0" w:type="dxa"/>
          <w:left w:w="0" w:type="dxa"/>
          <w:bottom w:w="0" w:type="dxa"/>
          <w:right w:w="0" w:type="dxa"/>
        </w:tblCellMar>
      </w:tblPr>
      <w:tr>
        <w:trPr>
          <w:trHeight w:val="204"/>
        </w:trPr>
        <w:tc>
          <w:tcPr>
            <w:tcW w:w="1740" w:type="dxa"/>
            <w:vAlign w:val="bottom"/>
          </w:tcPr>
          <w:p>
            <w:pPr>
              <w:spacing w:after="0"/>
              <w:rPr>
                <w:sz w:val="20"/>
                <w:szCs w:val="20"/>
                <w:color w:val="auto"/>
              </w:rPr>
            </w:pPr>
            <w:r>
              <w:rPr>
                <w:rFonts w:ascii="Courier New" w:cs="Courier New" w:eastAsia="Courier New" w:hAnsi="Courier New"/>
                <w:sz w:val="18"/>
                <w:szCs w:val="18"/>
                <w:color w:val="auto"/>
              </w:rPr>
              <w:t>Exhibit</w:t>
            </w:r>
          </w:p>
        </w:tc>
        <w:tc>
          <w:tcPr>
            <w:tcW w:w="4800" w:type="dxa"/>
            <w:vAlign w:val="bottom"/>
          </w:tcPr>
          <w:p>
            <w:pPr>
              <w:ind w:left="1000"/>
              <w:spacing w:after="0"/>
              <w:rPr>
                <w:sz w:val="20"/>
                <w:szCs w:val="20"/>
                <w:color w:val="auto"/>
              </w:rPr>
            </w:pPr>
            <w:r>
              <w:rPr>
                <w:rFonts w:ascii="Courier New" w:cs="Courier New" w:eastAsia="Courier New" w:hAnsi="Courier New"/>
                <w:sz w:val="18"/>
                <w:szCs w:val="18"/>
                <w:color w:val="auto"/>
              </w:rPr>
              <w:t>Description</w:t>
            </w:r>
          </w:p>
        </w:tc>
      </w:tr>
      <w:tr>
        <w:trPr>
          <w:trHeight w:val="203"/>
        </w:trPr>
        <w:tc>
          <w:tcPr>
            <w:tcW w:w="1740" w:type="dxa"/>
            <w:vAlign w:val="bottom"/>
          </w:tcPr>
          <w:p>
            <w:pPr>
              <w:spacing w:after="0" w:line="203" w:lineRule="exact"/>
              <w:rPr>
                <w:sz w:val="20"/>
                <w:szCs w:val="20"/>
                <w:color w:val="auto"/>
              </w:rPr>
            </w:pPr>
            <w:r>
              <w:rPr>
                <w:rFonts w:ascii="Courier New" w:cs="Courier New" w:eastAsia="Courier New" w:hAnsi="Courier New"/>
                <w:sz w:val="18"/>
                <w:szCs w:val="18"/>
                <w:color w:val="auto"/>
              </w:rPr>
              <w:t>-------</w:t>
            </w:r>
          </w:p>
        </w:tc>
        <w:tc>
          <w:tcPr>
            <w:tcW w:w="4800" w:type="dxa"/>
            <w:vAlign w:val="bottom"/>
          </w:tcPr>
          <w:p>
            <w:pPr>
              <w:ind w:left="1000"/>
              <w:spacing w:after="0" w:line="203" w:lineRule="exact"/>
              <w:rPr>
                <w:sz w:val="20"/>
                <w:szCs w:val="20"/>
                <w:color w:val="auto"/>
              </w:rPr>
            </w:pPr>
            <w:r>
              <w:rPr>
                <w:rFonts w:ascii="Courier New" w:cs="Courier New" w:eastAsia="Courier New" w:hAnsi="Courier New"/>
                <w:sz w:val="18"/>
                <w:szCs w:val="18"/>
                <w:color w:val="auto"/>
              </w:rPr>
              <w:t>-----------</w:t>
            </w:r>
          </w:p>
        </w:tc>
      </w:tr>
      <w:tr>
        <w:trPr>
          <w:trHeight w:val="203"/>
        </w:trPr>
        <w:tc>
          <w:tcPr>
            <w:tcW w:w="1740" w:type="dxa"/>
            <w:vAlign w:val="bottom"/>
          </w:tcPr>
          <w:p>
            <w:pPr>
              <w:jc w:val="right"/>
              <w:ind w:right="1132"/>
              <w:spacing w:after="0" w:line="203" w:lineRule="exact"/>
              <w:rPr>
                <w:sz w:val="20"/>
                <w:szCs w:val="20"/>
                <w:color w:val="auto"/>
              </w:rPr>
            </w:pPr>
            <w:r>
              <w:rPr>
                <w:rFonts w:ascii="Courier New" w:cs="Courier New" w:eastAsia="Courier New" w:hAnsi="Courier New"/>
                <w:sz w:val="18"/>
                <w:szCs w:val="18"/>
                <w:color w:val="auto"/>
              </w:rPr>
              <w:t>99.1</w:t>
            </w:r>
          </w:p>
        </w:tc>
        <w:tc>
          <w:tcPr>
            <w:tcW w:w="4800" w:type="dxa"/>
            <w:vAlign w:val="bottom"/>
          </w:tcPr>
          <w:p>
            <w:pPr>
              <w:ind w:left="1000"/>
              <w:spacing w:after="0" w:line="203" w:lineRule="exact"/>
              <w:rPr>
                <w:sz w:val="20"/>
                <w:szCs w:val="20"/>
                <w:color w:val="auto"/>
              </w:rPr>
            </w:pPr>
            <w:r>
              <w:rPr>
                <w:rFonts w:ascii="Courier New" w:cs="Courier New" w:eastAsia="Courier New" w:hAnsi="Courier New"/>
                <w:sz w:val="18"/>
                <w:szCs w:val="18"/>
                <w:color w:val="auto"/>
                <w:w w:val="97"/>
              </w:rPr>
              <w:t>Press Release dated October 11, 2002</w:t>
            </w:r>
          </w:p>
        </w:tc>
      </w:tr>
    </w:tbl>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879" w:firstLine="843"/>
        <w:spacing w:after="0" w:line="236" w:lineRule="auto"/>
        <w:rPr>
          <w:sz w:val="20"/>
          <w:szCs w:val="20"/>
          <w:color w:val="auto"/>
        </w:rPr>
      </w:pPr>
      <w:r>
        <w:rPr>
          <w:rFonts w:ascii="Courier New" w:cs="Courier New" w:eastAsia="Courier New" w:hAnsi="Courier New"/>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03" w:lineRule="exact"/>
        <w:rPr>
          <w:sz w:val="20"/>
          <w:szCs w:val="20"/>
          <w:color w:val="auto"/>
        </w:rPr>
      </w:pPr>
    </w:p>
    <w:p>
      <w:pPr>
        <w:ind w:left="540"/>
        <w:spacing w:after="0"/>
        <w:tabs>
          <w:tab w:leader="none" w:pos="1260" w:val="left"/>
        </w:tabs>
        <w:rPr>
          <w:sz w:val="20"/>
          <w:szCs w:val="20"/>
          <w:color w:val="auto"/>
        </w:rPr>
      </w:pPr>
      <w:r>
        <w:rPr>
          <w:rFonts w:ascii="Courier New" w:cs="Courier New" w:eastAsia="Courier New" w:hAnsi="Courier New"/>
          <w:sz w:val="18"/>
          <w:szCs w:val="18"/>
          <w:color w:val="auto"/>
        </w:rPr>
        <w:t>Date:</w:t>
        <w:tab/>
        <w:t>October 11, 2002</w:t>
      </w:r>
    </w:p>
    <w:p>
      <w:pPr>
        <w:ind w:left="4640"/>
        <w:spacing w:after="0" w:line="238" w:lineRule="auto"/>
        <w:rPr>
          <w:sz w:val="20"/>
          <w:szCs w:val="20"/>
          <w:color w:val="auto"/>
        </w:rPr>
      </w:pPr>
      <w:r>
        <w:rPr>
          <w:rFonts w:ascii="Courier New" w:cs="Courier New" w:eastAsia="Courier New" w:hAnsi="Courier New"/>
          <w:sz w:val="18"/>
          <w:szCs w:val="18"/>
          <w:color w:val="auto"/>
        </w:rPr>
        <w:t>MARVELL TECHNOLOGY GROUP LTD.</w:t>
      </w:r>
    </w:p>
    <w:p>
      <w:pPr>
        <w:spacing w:after="0" w:line="202"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By: /s/ George A. Hervey</w:t>
      </w:r>
    </w:p>
    <w:p>
      <w:pPr>
        <w:spacing w:after="0" w:line="4" w:lineRule="exact"/>
        <w:rPr>
          <w:sz w:val="20"/>
          <w:szCs w:val="20"/>
          <w:color w:val="auto"/>
        </w:rPr>
      </w:pPr>
    </w:p>
    <w:p>
      <w:pPr>
        <w:ind w:left="4960"/>
        <w:spacing w:after="0"/>
        <w:rPr>
          <w:sz w:val="20"/>
          <w:szCs w:val="20"/>
          <w:color w:val="auto"/>
        </w:rPr>
      </w:pPr>
      <w:r>
        <w:rPr>
          <w:rFonts w:ascii="Courier New" w:cs="Courier New" w:eastAsia="Courier New" w:hAnsi="Courier New"/>
          <w:sz w:val="16"/>
          <w:szCs w:val="16"/>
          <w:color w:val="auto"/>
        </w:rPr>
        <w:t>---------------------------------</w:t>
      </w:r>
    </w:p>
    <w:p>
      <w:pPr>
        <w:spacing w:after="0" w:line="16" w:lineRule="exact"/>
        <w:rPr>
          <w:sz w:val="20"/>
          <w:szCs w:val="20"/>
          <w:color w:val="auto"/>
        </w:rPr>
      </w:pPr>
    </w:p>
    <w:p>
      <w:pPr>
        <w:ind w:left="4640"/>
        <w:spacing w:after="0"/>
        <w:rPr>
          <w:sz w:val="20"/>
          <w:szCs w:val="20"/>
          <w:color w:val="auto"/>
        </w:rPr>
      </w:pPr>
      <w:r>
        <w:rPr>
          <w:rFonts w:ascii="Courier New" w:cs="Courier New" w:eastAsia="Courier New" w:hAnsi="Courier New"/>
          <w:sz w:val="18"/>
          <w:szCs w:val="18"/>
          <w:color w:val="auto"/>
        </w:rPr>
        <w:t>Name: George A. Hervey</w:t>
      </w:r>
    </w:p>
    <w:p>
      <w:pPr>
        <w:ind w:left="4640"/>
        <w:spacing w:after="0"/>
        <w:tabs>
          <w:tab w:leader="none" w:pos="5260" w:val="left"/>
        </w:tabs>
        <w:rPr>
          <w:sz w:val="20"/>
          <w:szCs w:val="20"/>
          <w:color w:val="auto"/>
        </w:rPr>
      </w:pPr>
      <w:r>
        <w:rPr>
          <w:rFonts w:ascii="Courier New" w:cs="Courier New" w:eastAsia="Courier New" w:hAnsi="Courier New"/>
          <w:sz w:val="18"/>
          <w:szCs w:val="18"/>
          <w:color w:val="auto"/>
        </w:rPr>
        <w:t>Its:</w:t>
      </w:r>
      <w:r>
        <w:rPr>
          <w:sz w:val="20"/>
          <w:szCs w:val="20"/>
          <w:color w:val="auto"/>
        </w:rPr>
        <w:tab/>
      </w:r>
      <w:r>
        <w:rPr>
          <w:rFonts w:ascii="Courier New" w:cs="Courier New" w:eastAsia="Courier New" w:hAnsi="Courier New"/>
          <w:sz w:val="16"/>
          <w:szCs w:val="16"/>
          <w:color w:val="auto"/>
        </w:rPr>
        <w:t>Vice President of Finance and</w:t>
      </w:r>
    </w:p>
    <w:p>
      <w:pPr>
        <w:ind w:left="5280"/>
        <w:spacing w:after="0"/>
        <w:rPr>
          <w:sz w:val="20"/>
          <w:szCs w:val="20"/>
          <w:color w:val="auto"/>
        </w:rPr>
      </w:pPr>
      <w:r>
        <w:rPr>
          <w:rFonts w:ascii="Courier New" w:cs="Courier New" w:eastAsia="Courier New" w:hAnsi="Courier New"/>
          <w:sz w:val="18"/>
          <w:szCs w:val="18"/>
          <w:color w:val="auto"/>
        </w:rPr>
        <w:t>Chief Financial Officer</w:t>
      </w:r>
    </w:p>
    <w:p>
      <w:pPr>
        <w:sectPr>
          <w:pgSz w:w="11900" w:h="16838" w:orient="portrait"/>
          <w:cols w:equalWidth="0" w:num="1">
            <w:col w:w="10219"/>
          </w:cols>
          <w:pgMar w:left="240" w:top="717" w:right="1440" w:bottom="1440" w:gutter="0" w:footer="0" w:header="0"/>
        </w:sectPr>
      </w:pPr>
    </w:p>
    <w:bookmarkStart w:id="2" w:name="page3"/>
    <w:bookmarkEnd w:id="2"/>
    <w:p>
      <w:pPr>
        <w:ind w:left="3580"/>
        <w:spacing w:after="0"/>
        <w:rPr>
          <w:sz w:val="20"/>
          <w:szCs w:val="20"/>
          <w:color w:val="auto"/>
        </w:rPr>
      </w:pPr>
      <w:r>
        <w:rPr>
          <w:rFonts w:ascii="Courier New" w:cs="Courier New" w:eastAsia="Courier New" w:hAnsi="Courier New"/>
          <w:sz w:val="16"/>
          <w:szCs w:val="16"/>
          <w:color w:val="auto"/>
        </w:rPr>
        <w:t>EXHIBIT INDEX</w:t>
      </w:r>
    </w:p>
    <w:p>
      <w:pPr>
        <w:sectPr>
          <w:pgSz w:w="11900" w:h="16838" w:orient="portrait"/>
          <w:cols w:equalWidth="0" w:num="1">
            <w:col w:w="10219"/>
          </w:cols>
          <w:pgMar w:left="240" w:top="723"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No.</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 -----------</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Document</w:t>
      </w:r>
    </w:p>
    <w:p>
      <w:pPr>
        <w:spacing w:after="0" w:line="4" w:lineRule="exact"/>
        <w:rPr>
          <w:sz w:val="20"/>
          <w:szCs w:val="20"/>
          <w:color w:val="auto"/>
        </w:rPr>
      </w:pPr>
    </w:p>
    <w:p>
      <w:pPr>
        <w:ind w:left="220"/>
        <w:spacing w:after="0"/>
        <w:rPr>
          <w:sz w:val="20"/>
          <w:szCs w:val="20"/>
          <w:color w:val="auto"/>
        </w:rPr>
      </w:pPr>
      <w:r>
        <w:rPr>
          <w:rFonts w:ascii="Courier New" w:cs="Courier New" w:eastAsia="Courier New" w:hAnsi="Courier New"/>
          <w:sz w:val="16"/>
          <w:szCs w:val="16"/>
          <w:color w:val="auto"/>
        </w:rPr>
        <w:t>--------</w:t>
      </w:r>
    </w:p>
    <w:p>
      <w:pPr>
        <w:spacing w:after="0" w:line="200" w:lineRule="exact"/>
        <w:rPr>
          <w:sz w:val="20"/>
          <w:szCs w:val="20"/>
          <w:color w:val="auto"/>
        </w:rPr>
      </w:pPr>
    </w:p>
    <w:p>
      <w:pPr>
        <w:sectPr>
          <w:pgSz w:w="11900" w:h="16838" w:orient="portrait"/>
          <w:cols w:equalWidth="0" w:num="2">
            <w:col w:w="3080" w:space="720"/>
            <w:col w:w="6419"/>
          </w:cols>
          <w:pgMar w:left="240" w:top="723"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Exhibit 99.1</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Press Release issued October 11, 2002.</w:t>
      </w:r>
    </w:p>
    <w:p>
      <w:pPr>
        <w:sectPr>
          <w:pgSz w:w="11900" w:h="16838" w:orient="portrait"/>
          <w:cols w:equalWidth="0" w:num="2">
            <w:col w:w="2340" w:space="720"/>
            <w:col w:w="7159"/>
          </w:cols>
          <w:pgMar w:left="240" w:top="723" w:right="1440" w:bottom="1440" w:gutter="0" w:footer="0" w:header="0"/>
          <w:type w:val="continuous"/>
        </w:sectPr>
      </w:pPr>
    </w:p>
    <w:bookmarkStart w:id="3" w:name="page4"/>
    <w:bookmarkEnd w:id="3"/>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NEWS RELEASE</w:t>
      </w:r>
    </w:p>
    <w:p>
      <w:pPr>
        <w:spacing w:after="0" w:line="201"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MARVELL(R) INTRODUCES FEATURE-RICH YUKON(TM) GIGABIT ETHERNET CONTROLLER FOR</w:t>
      </w:r>
    </w:p>
    <w:p>
      <w:pPr>
        <w:jc w:val="center"/>
        <w:ind w:right="1779"/>
        <w:spacing w:after="0" w:line="238" w:lineRule="auto"/>
        <w:rPr>
          <w:sz w:val="20"/>
          <w:szCs w:val="20"/>
          <w:color w:val="auto"/>
        </w:rPr>
      </w:pPr>
      <w:r>
        <w:rPr>
          <w:rFonts w:ascii="Courier New" w:cs="Courier New" w:eastAsia="Courier New" w:hAnsi="Courier New"/>
          <w:sz w:val="18"/>
          <w:szCs w:val="18"/>
          <w:color w:val="auto"/>
        </w:rPr>
        <w:t>DESKTOP APPLICATIONS</w:t>
      </w:r>
    </w:p>
    <w:p>
      <w:pPr>
        <w:spacing w:after="0" w:line="202" w:lineRule="exact"/>
        <w:rPr>
          <w:sz w:val="20"/>
          <w:szCs w:val="20"/>
          <w:color w:val="auto"/>
        </w:rPr>
      </w:pPr>
    </w:p>
    <w:p>
      <w:pPr>
        <w:ind w:left="320"/>
        <w:spacing w:after="0"/>
        <w:rPr>
          <w:sz w:val="20"/>
          <w:szCs w:val="20"/>
          <w:color w:val="auto"/>
        </w:rPr>
      </w:pPr>
      <w:r>
        <w:rPr>
          <w:rFonts w:ascii="Courier New" w:cs="Courier New" w:eastAsia="Courier New" w:hAnsi="Courier New"/>
          <w:sz w:val="18"/>
          <w:szCs w:val="18"/>
          <w:color w:val="auto"/>
        </w:rPr>
        <w:t>Amends Existing Intel Agreement to Speed Market Deployment of Yukon Product</w:t>
      </w:r>
    </w:p>
    <w:p>
      <w:pPr>
        <w:spacing w:after="0" w:line="207"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Sunnyvale, CA. (October 11, 2002) - Marvell(R) (NASDAQ: MRVL), a technology leader in the development of extreme broadband communications solutions, today introduced its Yukon Gigabit Ethernet controller, offering OEMs "future-proofed" 10/100/1000 plug-and-play PC network connections. The Marvell single-chip Yukon device integrates the Company's market-leading Alaska(R) Gigabit PHY with its proven Gigabit MAC and its complete suite of software drivers. Marvell's Yukon product further extends the Company's leadership in driving cost-effective 10/100/1000 solutions to the desktop and in offering accelerated Gigabit Ethernet deployment.</w:t>
      </w:r>
    </w:p>
    <w:p>
      <w:pPr>
        <w:spacing w:after="0" w:line="214"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The Yukon product is the first desktop solution in the industry to incorporate advanced cable diagnostics by incorporating Marvell's Virtual Cable Tester(TM) (VCT) technology. VCT enables IT managers to easily identify cabling issues with pinpoint accuracy, thus significantly reducing network deployment and maintenance costs. In fact with VCT, deploying Gigabit Ethernet is now more cost-effective than deploying Fast Ethernet.</w:t>
      </w:r>
    </w:p>
    <w:p>
      <w:pPr>
        <w:spacing w:after="0" w:line="210"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The Yukon product is optimized for 32-bit PCI clients, and is the world's first single-chip Gigabit Ethernet PCI product in a 128-pin LQFP package. With the lowest pin count for such a device, the Yukon product minimizes board space, simplifies signal routing and reduces the number of required PCB layers, resulting in the most cost-effective motherboard and low profile NIC implementation on the market today.</w:t>
      </w:r>
    </w:p>
    <w:p>
      <w:pPr>
        <w:spacing w:after="0" w:line="210" w:lineRule="exact"/>
        <w:rPr>
          <w:sz w:val="20"/>
          <w:szCs w:val="20"/>
          <w:color w:val="auto"/>
        </w:rPr>
      </w:pPr>
    </w:p>
    <w:p>
      <w:pPr>
        <w:ind w:right="1779"/>
        <w:spacing w:after="0" w:line="237" w:lineRule="auto"/>
        <w:rPr>
          <w:sz w:val="20"/>
          <w:szCs w:val="20"/>
          <w:color w:val="auto"/>
        </w:rPr>
      </w:pPr>
      <w:r>
        <w:rPr>
          <w:rFonts w:ascii="Courier New" w:cs="Courier New" w:eastAsia="Courier New" w:hAnsi="Courier New"/>
          <w:sz w:val="18"/>
          <w:szCs w:val="18"/>
          <w:color w:val="auto"/>
        </w:rPr>
        <w:t>Marvell's Yukon product delivers the most comprehensive suite of software device drivers, and makes the Yukon product ideal for client applications. As a result of the acquisition of SysKonnect GmbH, Marvell is the only merchant silicon provider that supplies a comprehensive suite of software device drivers for all operating system platforms, including Microsoft(R) Windows(R) 98/Me, NT, 2000, and XP, Linux, SUN(R) OS, IBM(R) AIX((TM)), Novell Netware, and HP(R)-UX. Along with its Yukon product offering, Marvell provides a complete reference design for quick time-to-market implementations.</w:t>
      </w:r>
    </w:p>
    <w:p>
      <w:pPr>
        <w:spacing w:after="0" w:line="212" w:lineRule="exact"/>
        <w:rPr>
          <w:sz w:val="20"/>
          <w:szCs w:val="20"/>
          <w:color w:val="auto"/>
        </w:rPr>
      </w:pPr>
    </w:p>
    <w:p>
      <w:pPr>
        <w:ind w:right="2099"/>
        <w:spacing w:after="0" w:line="237" w:lineRule="auto"/>
        <w:rPr>
          <w:sz w:val="20"/>
          <w:szCs w:val="20"/>
          <w:color w:val="auto"/>
        </w:rPr>
      </w:pPr>
      <w:r>
        <w:rPr>
          <w:rFonts w:ascii="Courier New" w:cs="Courier New" w:eastAsia="Courier New" w:hAnsi="Courier New"/>
          <w:sz w:val="18"/>
          <w:szCs w:val="18"/>
          <w:color w:val="auto"/>
        </w:rPr>
        <w:t>"After completing millions of unit shipments of Gigabit Ethernet devices, Marvell brings high-integration, high-volume economics to 10/100/1000 LOM/NIC implementations, and makes triple speed the logical choice for new desktop network connections. As a result of this cost-effective product offering, Marvell makes choosing Gigabit Ethernet an easy decision for OEMs by allowing them to standardize on a reliable, plug-and-play, triple speed client network connection," stated Ali Khan, Marvell's NIC/LOM Product Marketing Manager for the Communications Business Group.</w:t>
      </w:r>
    </w:p>
    <w:p>
      <w:pPr>
        <w:spacing w:after="0" w:line="212"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"The natural evolution of technology suggests that soon every PC will come standard with 10/100/1000, completing the transition of Gigabit to the desktop. With the addition of our single-chip Yukon device to our broad portfolio of Gigabit-based PHY and switch products, Marvell is now the industry leader in providing the most complete and robust Gigabit solution from the client to the switch," Khan further stated. "Our solution will enable OEMs to standardize on Gigabit Ethernet in all PCs."</w:t>
      </w:r>
    </w:p>
    <w:p>
      <w:pPr>
        <w:spacing w:after="0" w:line="211" w:lineRule="exact"/>
        <w:rPr>
          <w:sz w:val="20"/>
          <w:szCs w:val="20"/>
          <w:color w:val="auto"/>
        </w:rPr>
      </w:pPr>
    </w:p>
    <w:p>
      <w:pPr>
        <w:jc w:val="both"/>
        <w:ind w:right="2319"/>
        <w:spacing w:after="0" w:line="236" w:lineRule="auto"/>
        <w:rPr>
          <w:sz w:val="20"/>
          <w:szCs w:val="20"/>
          <w:color w:val="auto"/>
        </w:rPr>
      </w:pPr>
      <w:r>
        <w:rPr>
          <w:rFonts w:ascii="Courier New" w:cs="Courier New" w:eastAsia="Courier New" w:hAnsi="Courier New"/>
          <w:sz w:val="18"/>
          <w:szCs w:val="18"/>
          <w:color w:val="auto"/>
        </w:rPr>
        <w:t>In announcing its Yukon product, Marvell also announced an amendment to its product development agreement with Intel Corporation. Under this amendment, Marvell agreed to develop a new</w:t>
      </w:r>
    </w:p>
    <w:p>
      <w:pPr>
        <w:sectPr>
          <w:pgSz w:w="11900" w:h="16838" w:orient="portrait"/>
          <w:cols w:equalWidth="0" w:num="1">
            <w:col w:w="10219"/>
          </w:cols>
          <w:pgMar w:left="240" w:top="339" w:right="1440" w:bottom="1440" w:gutter="0" w:footer="0" w:header="0"/>
        </w:sectPr>
      </w:pPr>
    </w:p>
    <w:bookmarkStart w:id="4" w:name="page5"/>
    <w:bookmarkEnd w:id="4"/>
    <w:p>
      <w:pPr>
        <w:ind w:right="1779"/>
        <w:spacing w:after="0" w:line="237" w:lineRule="auto"/>
        <w:rPr>
          <w:sz w:val="20"/>
          <w:szCs w:val="20"/>
          <w:color w:val="auto"/>
        </w:rPr>
      </w:pPr>
      <w:r>
        <w:rPr>
          <w:rFonts w:ascii="Courier New" w:cs="Courier New" w:eastAsia="Courier New" w:hAnsi="Courier New"/>
          <w:sz w:val="18"/>
          <w:szCs w:val="18"/>
          <w:color w:val="auto"/>
        </w:rPr>
        <w:t>integrated device for Intel. Furthermore under the amendment, Marvell and Intel agreed to eliminate product introduction notice requirements and certain joint marketing obligations that existed in the prior agreement. This amendment permits the companies to extend their current product development efforts, while allowing Marvell to freely market and sell its Yukon device.</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AVAILABILITY</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The Yukon desktop device and reference design are now available.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ABOUT MARVELL</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Marvell (NASDAQ: MRVL) is the leading global semiconductor provider of complete broadband communications solutions for the data communications and storage markets.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Galileo Technology Ltd., and SysKonnect GmbH. MSI is headquartered in Sunnyvale, Calif., and designs, develops and markets products on behalf of MIL and MAPL. MSI may be contacted at (408) 222-2500 or at www.marvell.com.</w:t>
      </w:r>
    </w:p>
    <w:p>
      <w:pPr>
        <w:spacing w:after="0" w:line="207" w:lineRule="exact"/>
        <w:rPr>
          <w:sz w:val="20"/>
          <w:szCs w:val="20"/>
          <w:color w:val="auto"/>
        </w:rPr>
      </w:pPr>
    </w:p>
    <w:p>
      <w:pPr>
        <w:ind w:right="1779"/>
        <w:spacing w:after="0" w:line="238" w:lineRule="auto"/>
        <w:rPr>
          <w:sz w:val="20"/>
          <w:szCs w:val="20"/>
          <w:color w:val="auto"/>
        </w:rPr>
      </w:pPr>
      <w:r>
        <w:rPr>
          <w:rFonts w:ascii="Courier New" w:cs="Courier New" w:eastAsia="Courier New" w:hAnsi="Courier New"/>
          <w:sz w:val="18"/>
          <w:szCs w:val="18"/>
          <w:color w:val="auto"/>
        </w:rPr>
        <w:t>SAFE HARBOR STATEMENT OF MARVELL UNDER THE PRIVATE SECURITIES LITIGATION REFORM ACT OF 1995: This release contains forward-looking statements based on projections and assumptions about our products and our markets. Words such as "anticipates," "expects," "intends," "plans," "believes," "seeks," "estimates," "may," "will," "should," and their variations identify forward-looking statements. Statements that refer to, or are based on projections, uncertain events or assumptions also identify forward-looking statements. All such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year ended February 2, 2002 and Marvell's subsequent reports on Form 10-Q. We undertake no obligation to revise or update publicly any forward-looking statements.</w:t>
      </w:r>
    </w:p>
    <w:p>
      <w:pPr>
        <w:spacing w:after="0" w:line="209" w:lineRule="exact"/>
        <w:rPr>
          <w:sz w:val="20"/>
          <w:szCs w:val="20"/>
          <w:color w:val="auto"/>
        </w:rPr>
      </w:pPr>
    </w:p>
    <w:p>
      <w:pPr>
        <w:ind w:right="1879"/>
        <w:spacing w:after="0" w:line="235" w:lineRule="auto"/>
        <w:rPr>
          <w:sz w:val="20"/>
          <w:szCs w:val="20"/>
          <w:color w:val="auto"/>
        </w:rPr>
      </w:pPr>
      <w:r>
        <w:rPr>
          <w:rFonts w:ascii="Courier New" w:cs="Courier New" w:eastAsia="Courier New" w:hAnsi="Courier New"/>
          <w:sz w:val="18"/>
          <w:szCs w:val="18"/>
          <w:color w:val="auto"/>
        </w:rPr>
        <w:t>Marvell(R), the Marvell logo, Virtual Cable Tester, and Yukon are trademarks of Marvell. All other trademarks are the property of their respective owners.</w:t>
      </w:r>
    </w:p>
    <w:p>
      <w:pPr>
        <w:sectPr>
          <w:pgSz w:w="11900" w:h="16838" w:orient="portrait"/>
          <w:cols w:equalWidth="0" w:num="1">
            <w:col w:w="10219"/>
          </w:cols>
          <w:pgMar w:left="240" w:top="520" w:right="1440" w:bottom="1440" w:gutter="0" w:footer="0" w:header="0"/>
        </w:sectPr>
      </w:pPr>
    </w:p>
    <w:bookmarkStart w:id="5" w:name="page6"/>
    <w:bookmarkEnd w:id="5"/>
    <w:p>
      <w:pPr>
        <w:spacing w:after="0"/>
        <w:tabs>
          <w:tab w:leader="none" w:pos="3780" w:val="left"/>
        </w:tabs>
        <w:rPr>
          <w:sz w:val="20"/>
          <w:szCs w:val="20"/>
          <w:color w:val="auto"/>
        </w:rPr>
      </w:pPr>
      <w:r>
        <w:rPr>
          <w:rFonts w:ascii="Courier New" w:cs="Courier New" w:eastAsia="Courier New" w:hAnsi="Courier New"/>
          <w:sz w:val="18"/>
          <w:szCs w:val="18"/>
          <w:color w:val="auto"/>
        </w:rPr>
        <w:t>For further information, contact:</w:t>
      </w:r>
      <w:r>
        <w:rPr>
          <w:sz w:val="20"/>
          <w:szCs w:val="20"/>
          <w:color w:val="auto"/>
        </w:rPr>
        <w:tab/>
      </w:r>
      <w:r>
        <w:rPr>
          <w:rFonts w:ascii="Courier New" w:cs="Courier New" w:eastAsia="Courier New" w:hAnsi="Courier New"/>
          <w:sz w:val="16"/>
          <w:szCs w:val="16"/>
          <w:color w:val="auto"/>
        </w:rPr>
        <w:t>Kathryn Gentry</w:t>
      </w:r>
    </w:p>
    <w:p>
      <w:pPr>
        <w:spacing w:after="0" w:line="4" w:lineRule="exact"/>
        <w:rPr>
          <w:sz w:val="20"/>
          <w:szCs w:val="20"/>
          <w:color w:val="auto"/>
        </w:rPr>
      </w:pPr>
    </w:p>
    <w:p>
      <w:pPr>
        <w:ind w:left="3800"/>
        <w:spacing w:after="0"/>
        <w:rPr>
          <w:sz w:val="20"/>
          <w:szCs w:val="20"/>
          <w:color w:val="auto"/>
        </w:rPr>
      </w:pPr>
      <w:r>
        <w:rPr>
          <w:rFonts w:ascii="Courier New" w:cs="Courier New" w:eastAsia="Courier New" w:hAnsi="Courier New"/>
          <w:sz w:val="16"/>
          <w:szCs w:val="16"/>
          <w:color w:val="auto"/>
        </w:rPr>
        <w:t>Director, Corporate Communications</w:t>
      </w:r>
    </w:p>
    <w:p>
      <w:pPr>
        <w:spacing w:after="0" w:line="16"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Marvell Semiconductor, Inc.</w:t>
      </w:r>
    </w:p>
    <w:p>
      <w:pPr>
        <w:ind w:left="3800"/>
        <w:spacing w:after="0" w:line="238" w:lineRule="auto"/>
        <w:rPr>
          <w:sz w:val="20"/>
          <w:szCs w:val="20"/>
          <w:color w:val="auto"/>
        </w:rPr>
      </w:pPr>
      <w:r>
        <w:rPr>
          <w:rFonts w:ascii="Courier New" w:cs="Courier New" w:eastAsia="Courier New" w:hAnsi="Courier New"/>
          <w:sz w:val="18"/>
          <w:szCs w:val="18"/>
          <w:color w:val="auto"/>
        </w:rPr>
        <w:t>Tel.: 408.222.2500</w:t>
      </w:r>
    </w:p>
    <w:p>
      <w:pPr>
        <w:ind w:left="3800"/>
        <w:spacing w:after="0"/>
        <w:rPr>
          <w:sz w:val="20"/>
          <w:szCs w:val="20"/>
          <w:color w:val="auto"/>
        </w:rPr>
      </w:pPr>
      <w:r>
        <w:rPr>
          <w:rFonts w:ascii="Courier New" w:cs="Courier New" w:eastAsia="Courier New" w:hAnsi="Courier New"/>
          <w:sz w:val="18"/>
          <w:szCs w:val="18"/>
          <w:color w:val="auto"/>
        </w:rPr>
        <w:t>E-mail: kathy@marvell.com</w:t>
      </w:r>
    </w:p>
    <w:p>
      <w:pPr>
        <w:spacing w:after="0" w:line="200" w:lineRule="exact"/>
        <w:rPr>
          <w:sz w:val="20"/>
          <w:szCs w:val="20"/>
          <w:color w:val="auto"/>
        </w:rPr>
      </w:pPr>
    </w:p>
    <w:p>
      <w:pPr>
        <w:ind w:left="3800"/>
        <w:spacing w:after="0"/>
        <w:rPr>
          <w:sz w:val="20"/>
          <w:szCs w:val="20"/>
          <w:color w:val="auto"/>
        </w:rPr>
      </w:pPr>
      <w:r>
        <w:rPr>
          <w:rFonts w:ascii="Courier New" w:cs="Courier New" w:eastAsia="Courier New" w:hAnsi="Courier New"/>
          <w:sz w:val="18"/>
          <w:szCs w:val="18"/>
          <w:color w:val="auto"/>
        </w:rPr>
        <w:t>Ali Khan</w:t>
      </w:r>
    </w:p>
    <w:p>
      <w:pPr>
        <w:ind w:left="3800"/>
        <w:spacing w:after="0" w:line="238" w:lineRule="auto"/>
        <w:rPr>
          <w:sz w:val="20"/>
          <w:szCs w:val="20"/>
          <w:color w:val="auto"/>
        </w:rPr>
      </w:pPr>
      <w:r>
        <w:rPr>
          <w:rFonts w:ascii="Courier New" w:cs="Courier New" w:eastAsia="Courier New" w:hAnsi="Courier New"/>
          <w:sz w:val="18"/>
          <w:szCs w:val="18"/>
          <w:color w:val="auto"/>
        </w:rPr>
        <w:t>Product Marketing Manager</w:t>
      </w:r>
    </w:p>
    <w:p>
      <w:pPr>
        <w:ind w:left="3800"/>
        <w:spacing w:after="0"/>
        <w:rPr>
          <w:sz w:val="20"/>
          <w:szCs w:val="20"/>
          <w:color w:val="auto"/>
        </w:rPr>
      </w:pPr>
      <w:r>
        <w:rPr>
          <w:rFonts w:ascii="Courier New" w:cs="Courier New" w:eastAsia="Courier New" w:hAnsi="Courier New"/>
          <w:sz w:val="18"/>
          <w:szCs w:val="18"/>
          <w:color w:val="auto"/>
        </w:rPr>
        <w:t>Marvell Semiconductor, Inc.</w:t>
      </w:r>
    </w:p>
    <w:p>
      <w:pPr>
        <w:ind w:left="3800"/>
        <w:spacing w:after="0" w:line="237" w:lineRule="auto"/>
        <w:rPr>
          <w:sz w:val="20"/>
          <w:szCs w:val="20"/>
          <w:color w:val="auto"/>
        </w:rPr>
      </w:pPr>
      <w:r>
        <w:rPr>
          <w:rFonts w:ascii="Courier New" w:cs="Courier New" w:eastAsia="Courier New" w:hAnsi="Courier New"/>
          <w:sz w:val="18"/>
          <w:szCs w:val="18"/>
          <w:color w:val="auto"/>
        </w:rPr>
        <w:t>Tel.: 408.222.2500</w:t>
      </w:r>
    </w:p>
    <w:p>
      <w:pPr>
        <w:ind w:left="3800"/>
        <w:spacing w:after="0" w:line="238" w:lineRule="auto"/>
        <w:rPr>
          <w:sz w:val="20"/>
          <w:szCs w:val="20"/>
          <w:color w:val="auto"/>
        </w:rPr>
      </w:pPr>
      <w:r>
        <w:rPr>
          <w:rFonts w:ascii="Courier New" w:cs="Courier New" w:eastAsia="Courier New" w:hAnsi="Courier New"/>
          <w:sz w:val="18"/>
          <w:szCs w:val="18"/>
          <w:color w:val="auto"/>
        </w:rPr>
        <w:t>E-mail: akhan@marvell.com</w:t>
      </w:r>
    </w:p>
    <w:sectPr>
      <w:pgSz w:w="11900" w:h="16838" w:orient="portrait"/>
      <w:cols w:equalWidth="0" w:num="1">
        <w:col w:w="10219"/>
      </w:cols>
      <w:pgMar w:left="240" w:top="514"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2019-12-12T01:02:23Z</dcterms:created>
  <dcterms:modified xsi:type="dcterms:W3CDTF">2019-12-12T01:02:23Z</dcterms:modified>
</cp:coreProperties>
</file>