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199"/>
        <w:spacing w:after="0"/>
        <w:rPr>
          <w:sz w:val="20"/>
          <w:szCs w:val="20"/>
          <w:color w:val="auto"/>
        </w:rPr>
      </w:pPr>
      <w:r>
        <w:rPr>
          <w:rFonts w:ascii="Courier New" w:cs="Courier New" w:eastAsia="Courier New" w:hAnsi="Courier New"/>
          <w:sz w:val="17"/>
          <w:szCs w:val="17"/>
          <w:color w:val="auto"/>
        </w:rPr>
        <w:t>SECURITIES AND EXCHANGE COMMISSION</w:t>
      </w:r>
    </w:p>
    <w:p>
      <w:pPr>
        <w:jc w:val="center"/>
        <w:ind w:right="2199"/>
        <w:spacing w:after="0"/>
        <w:rPr>
          <w:sz w:val="20"/>
          <w:szCs w:val="20"/>
          <w:color w:val="auto"/>
        </w:rPr>
      </w:pPr>
      <w:r>
        <w:rPr>
          <w:rFonts w:ascii="Courier New" w:cs="Courier New" w:eastAsia="Courier New" w:hAnsi="Courier New"/>
          <w:sz w:val="17"/>
          <w:szCs w:val="17"/>
          <w:color w:val="auto"/>
        </w:rPr>
        <w:t>WASHINGTON, D.C. 20549</w:t>
      </w:r>
    </w:p>
    <w:p>
      <w:pPr>
        <w:spacing w:after="0" w:line="193" w:lineRule="exact"/>
        <w:rPr>
          <w:sz w:val="24"/>
          <w:szCs w:val="24"/>
          <w:color w:val="auto"/>
        </w:rPr>
      </w:pPr>
    </w:p>
    <w:p>
      <w:pPr>
        <w:ind w:left="3620"/>
        <w:spacing w:after="0"/>
        <w:rPr>
          <w:sz w:val="20"/>
          <w:szCs w:val="20"/>
          <w:color w:val="auto"/>
        </w:rPr>
      </w:pPr>
      <w:r>
        <w:rPr>
          <w:rFonts w:ascii="Courier New" w:cs="Courier New" w:eastAsia="Courier New" w:hAnsi="Courier New"/>
          <w:sz w:val="17"/>
          <w:szCs w:val="17"/>
          <w:color w:val="auto"/>
        </w:rPr>
        <w:t>FORM 8-K</w:t>
      </w:r>
    </w:p>
    <w:p>
      <w:pPr>
        <w:spacing w:after="0" w:line="193" w:lineRule="exact"/>
        <w:rPr>
          <w:sz w:val="24"/>
          <w:szCs w:val="24"/>
          <w:color w:val="auto"/>
        </w:rPr>
      </w:pPr>
    </w:p>
    <w:p>
      <w:pPr>
        <w:jc w:val="center"/>
        <w:ind w:right="2099"/>
        <w:spacing w:after="0"/>
        <w:rPr>
          <w:sz w:val="20"/>
          <w:szCs w:val="20"/>
          <w:color w:val="auto"/>
        </w:rPr>
      </w:pPr>
      <w:r>
        <w:rPr>
          <w:rFonts w:ascii="Courier New" w:cs="Courier New" w:eastAsia="Courier New" w:hAnsi="Courier New"/>
          <w:sz w:val="17"/>
          <w:szCs w:val="17"/>
          <w:color w:val="auto"/>
        </w:rPr>
        <w:t>CURRENT REPORT PURSUANT</w:t>
      </w:r>
    </w:p>
    <w:p>
      <w:pPr>
        <w:jc w:val="center"/>
        <w:ind w:right="2099"/>
        <w:spacing w:after="0"/>
        <w:rPr>
          <w:sz w:val="20"/>
          <w:szCs w:val="20"/>
          <w:color w:val="auto"/>
        </w:rPr>
      </w:pPr>
      <w:r>
        <w:rPr>
          <w:rFonts w:ascii="Courier New" w:cs="Courier New" w:eastAsia="Courier New" w:hAnsi="Courier New"/>
          <w:sz w:val="17"/>
          <w:szCs w:val="17"/>
          <w:color w:val="auto"/>
        </w:rPr>
        <w:t>TO SECTION 13 OR 15(d) OF THE</w:t>
      </w:r>
    </w:p>
    <w:p>
      <w:pPr>
        <w:jc w:val="center"/>
        <w:ind w:right="2099"/>
        <w:spacing w:after="0"/>
        <w:rPr>
          <w:sz w:val="20"/>
          <w:szCs w:val="20"/>
          <w:color w:val="auto"/>
        </w:rPr>
      </w:pPr>
      <w:r>
        <w:rPr>
          <w:rFonts w:ascii="Courier New" w:cs="Courier New" w:eastAsia="Courier New" w:hAnsi="Courier New"/>
          <w:sz w:val="17"/>
          <w:szCs w:val="17"/>
          <w:color w:val="auto"/>
        </w:rPr>
        <w:t>SECURITIES EXCHANGE ACT OF 1934</w:t>
      </w:r>
    </w:p>
    <w:p>
      <w:pPr>
        <w:spacing w:after="0" w:line="198" w:lineRule="exact"/>
        <w:rPr>
          <w:sz w:val="24"/>
          <w:szCs w:val="24"/>
          <w:color w:val="auto"/>
        </w:rPr>
      </w:pPr>
    </w:p>
    <w:p>
      <w:pPr>
        <w:ind w:left="700"/>
        <w:spacing w:after="0"/>
        <w:rPr>
          <w:sz w:val="20"/>
          <w:szCs w:val="20"/>
          <w:color w:val="auto"/>
        </w:rPr>
      </w:pPr>
      <w:r>
        <w:rPr>
          <w:rFonts w:ascii="Courier New" w:cs="Courier New" w:eastAsia="Courier New" w:hAnsi="Courier New"/>
          <w:sz w:val="16"/>
          <w:szCs w:val="16"/>
          <w:color w:val="auto"/>
        </w:rPr>
        <w:t>DATE OF REPORT (DATE OF EARLIEST EVENT REPORTED): NOVEMBER 21, 2002</w:t>
      </w:r>
    </w:p>
    <w:p>
      <w:pPr>
        <w:spacing w:after="0" w:line="392" w:lineRule="exact"/>
        <w:rPr>
          <w:sz w:val="24"/>
          <w:szCs w:val="24"/>
          <w:color w:val="auto"/>
        </w:rPr>
      </w:pPr>
    </w:p>
    <w:p>
      <w:pPr>
        <w:jc w:val="center"/>
        <w:ind w:right="2099"/>
        <w:spacing w:after="0"/>
        <w:rPr>
          <w:sz w:val="20"/>
          <w:szCs w:val="20"/>
          <w:color w:val="auto"/>
        </w:rPr>
      </w:pPr>
      <w:r>
        <w:rPr>
          <w:rFonts w:ascii="Courier New" w:cs="Courier New" w:eastAsia="Courier New" w:hAnsi="Courier New"/>
          <w:sz w:val="17"/>
          <w:szCs w:val="17"/>
          <w:color w:val="auto"/>
        </w:rPr>
        <w:t>MARVELL TECHNOLOGY GROUP LTD.</w:t>
      </w:r>
    </w:p>
    <w:p>
      <w:pPr>
        <w:jc w:val="center"/>
        <w:ind w:right="2199"/>
        <w:spacing w:after="0"/>
        <w:rPr>
          <w:sz w:val="20"/>
          <w:szCs w:val="20"/>
          <w:color w:val="auto"/>
        </w:rPr>
      </w:pPr>
      <w:r>
        <w:rPr>
          <w:rFonts w:ascii="Courier New" w:cs="Courier New" w:eastAsia="Courier New" w:hAnsi="Courier New"/>
          <w:sz w:val="17"/>
          <w:szCs w:val="17"/>
          <w:color w:val="auto"/>
        </w:rPr>
        <w:t>(Exact name of registrant as specified in its charter)</w:t>
      </w:r>
    </w:p>
    <w:p>
      <w:pPr>
        <w:sectPr>
          <w:pgSz w:w="11900" w:h="16838" w:orient="portrait"/>
          <w:cols w:equalWidth="0" w:num="1">
            <w:col w:w="10219"/>
          </w:cols>
          <w:pgMar w:left="240" w:top="432" w:right="1440" w:bottom="1440" w:gutter="0" w:footer="0" w:header="0"/>
        </w:sectPr>
      </w:pPr>
    </w:p>
    <w:p>
      <w:pPr>
        <w:spacing w:after="0" w:line="200" w:lineRule="exact"/>
        <w:rPr>
          <w:sz w:val="24"/>
          <w:szCs w:val="24"/>
          <w:color w:val="auto"/>
        </w:rPr>
      </w:pPr>
    </w:p>
    <w:p>
      <w:pPr>
        <w:spacing w:after="0" w:line="378" w:lineRule="exact"/>
        <w:rPr>
          <w:sz w:val="24"/>
          <w:szCs w:val="24"/>
          <w:color w:val="auto"/>
        </w:rPr>
      </w:pPr>
    </w:p>
    <w:p>
      <w:pPr>
        <w:ind w:left="1400"/>
        <w:spacing w:after="0"/>
        <w:rPr>
          <w:sz w:val="20"/>
          <w:szCs w:val="20"/>
          <w:color w:val="auto"/>
        </w:rPr>
      </w:pPr>
      <w:r>
        <w:rPr>
          <w:rFonts w:ascii="Courier New" w:cs="Courier New" w:eastAsia="Courier New" w:hAnsi="Courier New"/>
          <w:sz w:val="17"/>
          <w:szCs w:val="17"/>
          <w:color w:val="auto"/>
        </w:rPr>
        <w:t>BERMUDA</w:t>
      </w:r>
    </w:p>
    <w:p>
      <w:pPr>
        <w:spacing w:after="0" w:line="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(State or other jurisdiction of</w:t>
      </w:r>
    </w:p>
    <w:p>
      <w:pPr>
        <w:spacing w:after="0" w:line="6" w:lineRule="exact"/>
        <w:rPr>
          <w:sz w:val="24"/>
          <w:szCs w:val="24"/>
          <w:color w:val="auto"/>
        </w:rPr>
      </w:pPr>
    </w:p>
    <w:p>
      <w:pPr>
        <w:spacing w:after="0"/>
        <w:rPr>
          <w:sz w:val="20"/>
          <w:szCs w:val="20"/>
          <w:color w:val="auto"/>
        </w:rPr>
      </w:pPr>
      <w:r>
        <w:rPr>
          <w:rFonts w:ascii="Courier New" w:cs="Courier New" w:eastAsia="Courier New" w:hAnsi="Courier New"/>
          <w:sz w:val="17"/>
          <w:szCs w:val="17"/>
          <w:color w:val="auto"/>
        </w:rPr>
        <w:t>incorporation or organization)</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8" w:lineRule="exact"/>
        <w:rPr>
          <w:sz w:val="24"/>
          <w:szCs w:val="24"/>
          <w:color w:val="auto"/>
        </w:rPr>
      </w:pPr>
    </w:p>
    <w:p>
      <w:pPr>
        <w:ind w:left="800"/>
        <w:spacing w:after="0"/>
        <w:rPr>
          <w:sz w:val="20"/>
          <w:szCs w:val="20"/>
          <w:color w:val="auto"/>
        </w:rPr>
      </w:pPr>
      <w:r>
        <w:rPr>
          <w:rFonts w:ascii="Courier New" w:cs="Courier New" w:eastAsia="Courier New" w:hAnsi="Courier New"/>
          <w:sz w:val="17"/>
          <w:szCs w:val="17"/>
          <w:color w:val="auto"/>
        </w:rPr>
        <w:t>0-30877</w:t>
      </w:r>
    </w:p>
    <w:p>
      <w:pPr>
        <w:spacing w:after="0" w:line="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8" w:lineRule="exact"/>
        <w:rPr>
          <w:sz w:val="24"/>
          <w:szCs w:val="24"/>
          <w:color w:val="auto"/>
        </w:rPr>
      </w:pPr>
    </w:p>
    <w:p>
      <w:pPr>
        <w:ind w:left="300"/>
        <w:spacing w:after="0"/>
        <w:rPr>
          <w:sz w:val="20"/>
          <w:szCs w:val="20"/>
          <w:color w:val="auto"/>
        </w:rPr>
      </w:pPr>
      <w:r>
        <w:rPr>
          <w:rFonts w:ascii="Courier New" w:cs="Courier New" w:eastAsia="Courier New" w:hAnsi="Courier New"/>
          <w:sz w:val="17"/>
          <w:szCs w:val="17"/>
          <w:color w:val="auto"/>
        </w:rPr>
        <w:t>77-0481679</w:t>
      </w:r>
    </w:p>
    <w:p>
      <w:pPr>
        <w:spacing w:after="0" w:line="6"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(I.R.S. employer</w:t>
      </w:r>
    </w:p>
    <w:p>
      <w:pPr>
        <w:spacing w:after="0" w:line="6" w:lineRule="exact"/>
        <w:rPr>
          <w:sz w:val="24"/>
          <w:szCs w:val="24"/>
          <w:color w:val="auto"/>
        </w:rPr>
      </w:pPr>
    </w:p>
    <w:p>
      <w:pPr>
        <w:ind w:left="100"/>
        <w:spacing w:after="0"/>
        <w:rPr>
          <w:sz w:val="20"/>
          <w:szCs w:val="20"/>
          <w:color w:val="auto"/>
        </w:rPr>
      </w:pPr>
      <w:r>
        <w:rPr>
          <w:rFonts w:ascii="Courier New" w:cs="Courier New" w:eastAsia="Courier New" w:hAnsi="Courier New"/>
          <w:sz w:val="17"/>
          <w:szCs w:val="17"/>
          <w:color w:val="auto"/>
        </w:rPr>
        <w:t>identification</w:t>
      </w:r>
    </w:p>
    <w:p>
      <w:pPr>
        <w:ind w:left="100"/>
        <w:spacing w:after="0"/>
        <w:rPr>
          <w:sz w:val="20"/>
          <w:szCs w:val="20"/>
          <w:color w:val="auto"/>
        </w:rPr>
      </w:pPr>
      <w:r>
        <w:rPr>
          <w:rFonts w:ascii="Courier New" w:cs="Courier New" w:eastAsia="Courier New" w:hAnsi="Courier New"/>
          <w:sz w:val="17"/>
          <w:szCs w:val="17"/>
          <w:color w:val="auto"/>
        </w:rPr>
        <w:t>number)</w:t>
      </w:r>
    </w:p>
    <w:p>
      <w:pPr>
        <w:spacing w:after="0" w:line="193" w:lineRule="exact"/>
        <w:rPr>
          <w:sz w:val="24"/>
          <w:szCs w:val="24"/>
          <w:color w:val="auto"/>
        </w:rPr>
      </w:pPr>
    </w:p>
    <w:p>
      <w:pPr>
        <w:sectPr>
          <w:pgSz w:w="11900" w:h="16838" w:orient="portrait"/>
          <w:cols w:equalWidth="0" w:num="3">
            <w:col w:w="3100" w:space="520"/>
            <w:col w:w="2400" w:space="300"/>
            <w:col w:w="3899"/>
          </w:cols>
          <w:pgMar w:left="240" w:top="432" w:right="1440" w:bottom="1440" w:gutter="0" w:footer="0" w:header="0"/>
          <w:type w:val="continuous"/>
        </w:sectPr>
      </w:pPr>
    </w:p>
    <w:p>
      <w:pPr>
        <w:jc w:val="center"/>
        <w:ind w:right="2099"/>
        <w:spacing w:after="0"/>
        <w:rPr>
          <w:sz w:val="20"/>
          <w:szCs w:val="20"/>
          <w:color w:val="auto"/>
        </w:rPr>
      </w:pPr>
      <w:r>
        <w:rPr>
          <w:rFonts w:ascii="Courier New" w:cs="Courier New" w:eastAsia="Courier New" w:hAnsi="Courier New"/>
          <w:sz w:val="17"/>
          <w:szCs w:val="17"/>
          <w:color w:val="auto"/>
        </w:rPr>
        <w:t>4TH FLOOR</w:t>
      </w:r>
    </w:p>
    <w:p>
      <w:pPr>
        <w:jc w:val="center"/>
        <w:ind w:right="2099"/>
        <w:spacing w:after="0"/>
        <w:rPr>
          <w:sz w:val="20"/>
          <w:szCs w:val="20"/>
          <w:color w:val="auto"/>
        </w:rPr>
      </w:pPr>
      <w:r>
        <w:rPr>
          <w:rFonts w:ascii="Courier New" w:cs="Courier New" w:eastAsia="Courier New" w:hAnsi="Courier New"/>
          <w:sz w:val="17"/>
          <w:szCs w:val="17"/>
          <w:color w:val="auto"/>
        </w:rPr>
        <w:t>WINDSOR PLACE</w:t>
      </w:r>
    </w:p>
    <w:p>
      <w:pPr>
        <w:jc w:val="center"/>
        <w:ind w:right="2099"/>
        <w:spacing w:after="0"/>
        <w:rPr>
          <w:sz w:val="20"/>
          <w:szCs w:val="20"/>
          <w:color w:val="auto"/>
        </w:rPr>
      </w:pPr>
      <w:r>
        <w:rPr>
          <w:rFonts w:ascii="Courier New" w:cs="Courier New" w:eastAsia="Courier New" w:hAnsi="Courier New"/>
          <w:sz w:val="17"/>
          <w:szCs w:val="17"/>
          <w:color w:val="auto"/>
        </w:rPr>
        <w:t>22 QUEEN STREET</w:t>
      </w:r>
    </w:p>
    <w:p>
      <w:pPr>
        <w:jc w:val="center"/>
        <w:ind w:right="2199"/>
        <w:spacing w:after="0"/>
        <w:rPr>
          <w:sz w:val="20"/>
          <w:szCs w:val="20"/>
          <w:color w:val="auto"/>
        </w:rPr>
      </w:pPr>
      <w:r>
        <w:rPr>
          <w:rFonts w:ascii="Courier New" w:cs="Courier New" w:eastAsia="Courier New" w:hAnsi="Courier New"/>
          <w:sz w:val="17"/>
          <w:szCs w:val="17"/>
          <w:color w:val="auto"/>
        </w:rPr>
        <w:t>P.O. BOX HM 1179</w:t>
      </w:r>
    </w:p>
    <w:p>
      <w:pPr>
        <w:jc w:val="center"/>
        <w:ind w:right="2199"/>
        <w:spacing w:after="0"/>
        <w:rPr>
          <w:sz w:val="20"/>
          <w:szCs w:val="20"/>
          <w:color w:val="auto"/>
        </w:rPr>
      </w:pPr>
      <w:r>
        <w:rPr>
          <w:rFonts w:ascii="Courier New" w:cs="Courier New" w:eastAsia="Courier New" w:hAnsi="Courier New"/>
          <w:sz w:val="17"/>
          <w:szCs w:val="17"/>
          <w:color w:val="auto"/>
        </w:rPr>
        <w:t>HAMILTON HM EX</w:t>
      </w:r>
    </w:p>
    <w:p>
      <w:pPr>
        <w:jc w:val="center"/>
        <w:ind w:right="2099"/>
        <w:spacing w:after="0"/>
        <w:rPr>
          <w:sz w:val="20"/>
          <w:szCs w:val="20"/>
          <w:color w:val="auto"/>
        </w:rPr>
      </w:pPr>
      <w:r>
        <w:rPr>
          <w:rFonts w:ascii="Courier New" w:cs="Courier New" w:eastAsia="Courier New" w:hAnsi="Courier New"/>
          <w:sz w:val="17"/>
          <w:szCs w:val="17"/>
          <w:color w:val="auto"/>
        </w:rPr>
        <w:t>BERMUDA</w:t>
      </w:r>
    </w:p>
    <w:p>
      <w:pPr>
        <w:spacing w:after="0" w:line="193" w:lineRule="exact"/>
        <w:rPr>
          <w:sz w:val="24"/>
          <w:szCs w:val="24"/>
          <w:color w:val="auto"/>
        </w:rPr>
      </w:pPr>
    </w:p>
    <w:p>
      <w:pPr>
        <w:ind w:left="1400"/>
        <w:spacing w:after="0"/>
        <w:rPr>
          <w:sz w:val="20"/>
          <w:szCs w:val="20"/>
          <w:color w:val="auto"/>
        </w:rPr>
      </w:pPr>
      <w:r>
        <w:rPr>
          <w:rFonts w:ascii="Courier New" w:cs="Courier New" w:eastAsia="Courier New" w:hAnsi="Courier New"/>
          <w:sz w:val="17"/>
          <w:szCs w:val="17"/>
          <w:color w:val="auto"/>
        </w:rPr>
        <w:t>(Address of principal executive offices and zip code)</w:t>
      </w:r>
    </w:p>
    <w:p>
      <w:pPr>
        <w:spacing w:after="0" w:line="391" w:lineRule="exact"/>
        <w:rPr>
          <w:sz w:val="24"/>
          <w:szCs w:val="24"/>
          <w:color w:val="auto"/>
        </w:rPr>
      </w:pPr>
    </w:p>
    <w:p>
      <w:pPr>
        <w:ind w:left="700"/>
        <w:spacing w:after="0"/>
        <w:rPr>
          <w:sz w:val="20"/>
          <w:szCs w:val="20"/>
          <w:color w:val="auto"/>
        </w:rPr>
      </w:pPr>
      <w:r>
        <w:rPr>
          <w:rFonts w:ascii="Courier New" w:cs="Courier New" w:eastAsia="Courier New" w:hAnsi="Courier New"/>
          <w:sz w:val="16"/>
          <w:szCs w:val="16"/>
          <w:color w:val="auto"/>
        </w:rPr>
        <w:t>REGISTRANT'S TELEPHONE NUMBER, INCLUDING AREA CODE: (441) 296-6395</w:t>
      </w:r>
    </w:p>
    <w:p>
      <w:pPr>
        <w:spacing w:after="0" w:line="391" w:lineRule="exact"/>
        <w:rPr>
          <w:sz w:val="24"/>
          <w:szCs w:val="24"/>
          <w:color w:val="auto"/>
        </w:rPr>
      </w:pPr>
    </w:p>
    <w:p>
      <w:pPr>
        <w:jc w:val="center"/>
        <w:ind w:right="2099"/>
        <w:spacing w:after="0"/>
        <w:rPr>
          <w:sz w:val="20"/>
          <w:szCs w:val="20"/>
          <w:color w:val="auto"/>
        </w:rPr>
      </w:pPr>
      <w:r>
        <w:rPr>
          <w:rFonts w:ascii="Courier New" w:cs="Courier New" w:eastAsia="Courier New" w:hAnsi="Courier New"/>
          <w:sz w:val="17"/>
          <w:szCs w:val="17"/>
          <w:color w:val="auto"/>
        </w:rPr>
        <w:t>N/A</w:t>
      </w:r>
    </w:p>
    <w:p>
      <w:pPr>
        <w:jc w:val="center"/>
        <w:ind w:right="2099"/>
        <w:spacing w:after="0"/>
        <w:rPr>
          <w:sz w:val="20"/>
          <w:szCs w:val="20"/>
          <w:color w:val="auto"/>
        </w:rPr>
      </w:pPr>
      <w:r>
        <w:rPr>
          <w:rFonts w:ascii="Courier New" w:cs="Courier New" w:eastAsia="Courier New" w:hAnsi="Courier New"/>
          <w:sz w:val="17"/>
          <w:szCs w:val="17"/>
          <w:color w:val="auto"/>
        </w:rPr>
        <w:t>(Former name or former address, if changed since last report)</w:t>
      </w:r>
    </w:p>
    <w:p>
      <w:pPr>
        <w:spacing w:after="0" w:line="386" w:lineRule="exact"/>
        <w:rPr>
          <w:sz w:val="24"/>
          <w:szCs w:val="24"/>
          <w:color w:val="auto"/>
        </w:rPr>
      </w:pPr>
    </w:p>
    <w:p>
      <w:pPr>
        <w:ind w:left="3920"/>
        <w:spacing w:after="0"/>
        <w:rPr>
          <w:sz w:val="20"/>
          <w:szCs w:val="20"/>
          <w:color w:val="auto"/>
        </w:rPr>
      </w:pPr>
      <w:r>
        <w:rPr>
          <w:rFonts w:ascii="Courier New" w:cs="Courier New" w:eastAsia="Courier New" w:hAnsi="Courier New"/>
          <w:sz w:val="17"/>
          <w:szCs w:val="17"/>
          <w:color w:val="auto"/>
        </w:rPr>
        <w:t>1</w:t>
      </w:r>
    </w:p>
    <w:p>
      <w:pPr>
        <w:sectPr>
          <w:pgSz w:w="11900" w:h="16838" w:orient="portrait"/>
          <w:cols w:equalWidth="0" w:num="1">
            <w:col w:w="10219"/>
          </w:cols>
          <w:pgMar w:left="240" w:top="432" w:right="1440" w:bottom="1440" w:gutter="0" w:footer="0" w:header="0"/>
          <w:type w:val="continuous"/>
        </w:sectPr>
      </w:pPr>
    </w:p>
    <w:bookmarkStart w:id="1" w:name="page2"/>
    <w:bookmarkEnd w:id="1"/>
    <w:p>
      <w:pPr>
        <w:ind w:left="2000"/>
        <w:spacing w:after="0"/>
        <w:rPr>
          <w:sz w:val="20"/>
          <w:szCs w:val="20"/>
          <w:color w:val="auto"/>
        </w:rPr>
      </w:pPr>
      <w:r>
        <w:rPr>
          <w:rFonts w:ascii="Courier New" w:cs="Courier New" w:eastAsia="Courier New" w:hAnsi="Courier New"/>
          <w:sz w:val="17"/>
          <w:szCs w:val="17"/>
          <w:color w:val="auto"/>
        </w:rPr>
        <w:t>INFORMATION TO BE INCLUDED IN THE REPORT</w:t>
      </w:r>
    </w:p>
    <w:p>
      <w:pPr>
        <w:spacing w:after="0" w:line="193" w:lineRule="exact"/>
        <w:rPr>
          <w:sz w:val="20"/>
          <w:szCs w:val="20"/>
          <w:color w:val="auto"/>
        </w:rPr>
      </w:pPr>
    </w:p>
    <w:p>
      <w:pPr>
        <w:spacing w:after="0"/>
        <w:tabs>
          <w:tab w:leader="none" w:pos="1180" w:val="left"/>
        </w:tabs>
        <w:rPr>
          <w:sz w:val="20"/>
          <w:szCs w:val="20"/>
          <w:color w:val="auto"/>
        </w:rPr>
      </w:pPr>
      <w:r>
        <w:rPr>
          <w:rFonts w:ascii="Courier New" w:cs="Courier New" w:eastAsia="Courier New" w:hAnsi="Courier New"/>
          <w:sz w:val="17"/>
          <w:szCs w:val="17"/>
          <w:color w:val="auto"/>
        </w:rPr>
        <w:t>ITEM 5.</w:t>
      </w:r>
      <w:r>
        <w:rPr>
          <w:sz w:val="20"/>
          <w:szCs w:val="20"/>
          <w:color w:val="auto"/>
        </w:rPr>
        <w:tab/>
      </w:r>
      <w:r>
        <w:rPr>
          <w:rFonts w:ascii="Courier New" w:cs="Courier New" w:eastAsia="Courier New" w:hAnsi="Courier New"/>
          <w:sz w:val="16"/>
          <w:szCs w:val="16"/>
          <w:color w:val="auto"/>
        </w:rPr>
        <w:t>OTHER EVENTS</w:t>
      </w:r>
    </w:p>
    <w:p>
      <w:pPr>
        <w:spacing w:after="0" w:line="198" w:lineRule="exact"/>
        <w:rPr>
          <w:sz w:val="20"/>
          <w:szCs w:val="20"/>
          <w:color w:val="auto"/>
        </w:rPr>
      </w:pPr>
    </w:p>
    <w:p>
      <w:pPr>
        <w:ind w:right="2299" w:firstLine="1203"/>
        <w:spacing w:after="0" w:line="238" w:lineRule="auto"/>
        <w:rPr>
          <w:sz w:val="20"/>
          <w:szCs w:val="20"/>
          <w:color w:val="auto"/>
        </w:rPr>
      </w:pPr>
      <w:r>
        <w:rPr>
          <w:rFonts w:ascii="Courier New" w:cs="Courier New" w:eastAsia="Courier New" w:hAnsi="Courier New"/>
          <w:sz w:val="17"/>
          <w:szCs w:val="17"/>
          <w:color w:val="auto"/>
        </w:rPr>
        <w:t>On November 21, 2002, the Registrant issued a press release announcing its financial results for the third fiscal quarter ended November 2, 2002. Attached hereto as Exhibit 99.1 and incorporated by reference herein is a copy of the November 21, 2002 press release.</w:t>
      </w:r>
    </w:p>
    <w:p>
      <w:pPr>
        <w:spacing w:after="0" w:line="194" w:lineRule="exact"/>
        <w:rPr>
          <w:sz w:val="20"/>
          <w:szCs w:val="20"/>
          <w:color w:val="auto"/>
        </w:rPr>
      </w:pPr>
    </w:p>
    <w:p>
      <w:pPr>
        <w:spacing w:after="0"/>
        <w:tabs>
          <w:tab w:leader="none" w:pos="1180" w:val="left"/>
        </w:tabs>
        <w:rPr>
          <w:sz w:val="20"/>
          <w:szCs w:val="20"/>
          <w:color w:val="auto"/>
        </w:rPr>
      </w:pPr>
      <w:r>
        <w:rPr>
          <w:rFonts w:ascii="Courier New" w:cs="Courier New" w:eastAsia="Courier New" w:hAnsi="Courier New"/>
          <w:sz w:val="17"/>
          <w:szCs w:val="17"/>
          <w:color w:val="auto"/>
        </w:rPr>
        <w:t>ITEM 7.</w:t>
      </w:r>
      <w:r>
        <w:rPr>
          <w:sz w:val="20"/>
          <w:szCs w:val="20"/>
          <w:color w:val="auto"/>
        </w:rPr>
        <w:tab/>
      </w:r>
      <w:r>
        <w:rPr>
          <w:rFonts w:ascii="Courier New" w:cs="Courier New" w:eastAsia="Courier New" w:hAnsi="Courier New"/>
          <w:sz w:val="16"/>
          <w:szCs w:val="16"/>
          <w:color w:val="auto"/>
        </w:rPr>
        <w:t>FINANCIAL STATEMENTS, PRO FORMA FINANCIAL INFORMATION AND EXHIBITS.</w:t>
      </w:r>
    </w:p>
    <w:p>
      <w:pPr>
        <w:sectPr>
          <w:pgSz w:w="11900" w:h="16838" w:orient="portrait"/>
          <w:cols w:equalWidth="0" w:num="1">
            <w:col w:w="10219"/>
          </w:cols>
          <w:pgMar w:left="240" w:top="496"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Exhibit</w:t>
      </w:r>
    </w:p>
    <w:p>
      <w:pPr>
        <w:spacing w:after="0" w:line="6"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Description</w:t>
      </w:r>
    </w:p>
    <w:p>
      <w:pPr>
        <w:spacing w:after="0" w:line="6" w:lineRule="exact"/>
        <w:rPr>
          <w:sz w:val="20"/>
          <w:szCs w:val="20"/>
          <w:color w:val="auto"/>
        </w:rPr>
      </w:pPr>
    </w:p>
    <w:p>
      <w:pPr>
        <w:ind w:left="20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200" w:space="720"/>
            <w:col w:w="6299"/>
          </w:cols>
          <w:pgMar w:left="240" w:top="496" w:right="1440" w:bottom="1440" w:gutter="0" w:footer="0" w:header="0"/>
          <w:type w:val="continuous"/>
        </w:sectPr>
      </w:pP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99.1</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Press Release issued November 21, 2002.</w:t>
      </w:r>
    </w:p>
    <w:p>
      <w:pPr>
        <w:spacing w:after="0" w:line="200" w:lineRule="exact"/>
        <w:rPr>
          <w:sz w:val="20"/>
          <w:szCs w:val="20"/>
          <w:color w:val="auto"/>
        </w:rPr>
      </w:pPr>
    </w:p>
    <w:p>
      <w:pPr>
        <w:sectPr>
          <w:pgSz w:w="11900" w:h="16838" w:orient="portrait"/>
          <w:cols w:equalWidth="0" w:num="2">
            <w:col w:w="3200" w:space="720"/>
            <w:col w:w="6299"/>
          </w:cols>
          <w:pgMar w:left="240" w:top="496" w:right="1440" w:bottom="1440" w:gutter="0" w:footer="0" w:header="0"/>
          <w:type w:val="continuous"/>
        </w:sectPr>
      </w:pPr>
    </w:p>
    <w:p>
      <w:pPr>
        <w:spacing w:after="0" w:line="390" w:lineRule="exact"/>
        <w:rPr>
          <w:sz w:val="20"/>
          <w:szCs w:val="20"/>
          <w:color w:val="auto"/>
        </w:rPr>
      </w:pPr>
    </w:p>
    <w:p>
      <w:pPr>
        <w:ind w:left="3920"/>
        <w:spacing w:after="0"/>
        <w:rPr>
          <w:sz w:val="20"/>
          <w:szCs w:val="20"/>
          <w:color w:val="auto"/>
        </w:rPr>
      </w:pPr>
      <w:r>
        <w:rPr>
          <w:rFonts w:ascii="Courier New" w:cs="Courier New" w:eastAsia="Courier New" w:hAnsi="Courier New"/>
          <w:sz w:val="16"/>
          <w:szCs w:val="16"/>
          <w:color w:val="auto"/>
        </w:rPr>
        <w:t>2</w:t>
      </w:r>
    </w:p>
    <w:p>
      <w:pPr>
        <w:sectPr>
          <w:pgSz w:w="11900" w:h="16838" w:orient="portrait"/>
          <w:cols w:equalWidth="0" w:num="1">
            <w:col w:w="10219"/>
          </w:cols>
          <w:pgMar w:left="240" w:top="496" w:right="1440" w:bottom="1440" w:gutter="0" w:footer="0" w:header="0"/>
          <w:type w:val="continuous"/>
        </w:sectPr>
      </w:pPr>
    </w:p>
    <w:bookmarkStart w:id="2" w:name="page3"/>
    <w:bookmarkEnd w:id="2"/>
    <w:p>
      <w:pPr>
        <w:ind w:left="3520"/>
        <w:spacing w:after="0"/>
        <w:rPr>
          <w:sz w:val="20"/>
          <w:szCs w:val="20"/>
          <w:color w:val="auto"/>
        </w:rPr>
      </w:pPr>
      <w:r>
        <w:rPr>
          <w:rFonts w:ascii="Courier New" w:cs="Courier New" w:eastAsia="Courier New" w:hAnsi="Courier New"/>
          <w:sz w:val="17"/>
          <w:szCs w:val="17"/>
          <w:color w:val="auto"/>
        </w:rPr>
        <w:t>SIGNATURES</w:t>
      </w:r>
    </w:p>
    <w:p>
      <w:pPr>
        <w:spacing w:after="0" w:line="198" w:lineRule="exact"/>
        <w:rPr>
          <w:sz w:val="20"/>
          <w:szCs w:val="20"/>
          <w:color w:val="auto"/>
        </w:rPr>
      </w:pPr>
    </w:p>
    <w:p>
      <w:pPr>
        <w:ind w:right="2199" w:firstLine="1203"/>
        <w:spacing w:after="0" w:line="237" w:lineRule="auto"/>
        <w:rPr>
          <w:sz w:val="20"/>
          <w:szCs w:val="20"/>
          <w:color w:val="auto"/>
        </w:rPr>
      </w:pPr>
      <w:r>
        <w:rPr>
          <w:rFonts w:ascii="Courier New" w:cs="Courier New" w:eastAsia="Courier New" w:hAnsi="Courier New"/>
          <w:sz w:val="17"/>
          <w:szCs w:val="17"/>
          <w:color w:val="auto"/>
        </w:rPr>
        <w:t>Pursuant to the requirements of the Securities Exchange Act of 1934, as amended, the registrant has duly caused this report to be signed on its behalf by the undersigned hereunto duly authorized.</w:t>
      </w:r>
    </w:p>
    <w:p>
      <w:pPr>
        <w:sectPr>
          <w:pgSz w:w="11900" w:h="16838" w:orient="portrait"/>
          <w:cols w:equalWidth="0" w:num="1">
            <w:col w:w="10219"/>
          </w:cols>
          <w:pgMar w:left="240" w:top="496" w:right="1440" w:bottom="1440" w:gutter="0" w:footer="0" w:header="0"/>
        </w:sectPr>
      </w:pP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Date: November 21,</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2002</w:t>
      </w:r>
    </w:p>
    <w:p>
      <w:pPr>
        <w:spacing w:after="0" w:line="20" w:lineRule="exact"/>
        <w:rPr>
          <w:sz w:val="20"/>
          <w:szCs w:val="20"/>
          <w:color w:val="auto"/>
        </w:rPr>
      </w:pPr>
      <w:r>
        <w:rPr>
          <w:sz w:val="20"/>
          <w:szCs w:val="20"/>
          <w:color w:val="auto"/>
        </w:rPr>
        <w:br w:type="column"/>
      </w:r>
    </w:p>
    <w:p>
      <w:pPr>
        <w:spacing w:after="0" w:line="180"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TECHNOLOGY GROUP LTD.</w:t>
      </w:r>
    </w:p>
    <w:p>
      <w:pPr>
        <w:spacing w:after="0" w:line="200" w:lineRule="exact"/>
        <w:rPr>
          <w:sz w:val="20"/>
          <w:szCs w:val="20"/>
          <w:color w:val="auto"/>
        </w:rPr>
      </w:pPr>
    </w:p>
    <w:p>
      <w:pPr>
        <w:sectPr>
          <w:pgSz w:w="11900" w:h="16838" w:orient="portrait"/>
          <w:cols w:equalWidth="0" w:num="3">
            <w:col w:w="1800" w:space="200"/>
            <w:col w:w="1700" w:space="720"/>
            <w:col w:w="5799"/>
          </w:cols>
          <w:pgMar w:left="240" w:top="496" w:right="1440" w:bottom="1440" w:gutter="0" w:footer="0" w:header="0"/>
          <w:type w:val="continuous"/>
        </w:sectPr>
      </w:pPr>
    </w:p>
    <w:p>
      <w:pPr>
        <w:spacing w:after="0" w:line="192" w:lineRule="exact"/>
        <w:rPr>
          <w:sz w:val="20"/>
          <w:szCs w:val="20"/>
          <w:color w:val="auto"/>
        </w:rPr>
      </w:pPr>
    </w:p>
    <w:p>
      <w:pPr>
        <w:ind w:left="4420"/>
        <w:spacing w:after="0"/>
        <w:rPr>
          <w:sz w:val="20"/>
          <w:szCs w:val="20"/>
          <w:color w:val="auto"/>
        </w:rPr>
      </w:pPr>
      <w:r>
        <w:rPr>
          <w:rFonts w:ascii="Courier New" w:cs="Courier New" w:eastAsia="Courier New" w:hAnsi="Courier New"/>
          <w:sz w:val="17"/>
          <w:szCs w:val="17"/>
          <w:color w:val="auto"/>
        </w:rPr>
        <w:t>By: /s/ George A. Hervey</w:t>
      </w:r>
    </w:p>
    <w:p>
      <w:pPr>
        <w:spacing w:after="0" w:line="6" w:lineRule="exact"/>
        <w:rPr>
          <w:sz w:val="20"/>
          <w:szCs w:val="20"/>
          <w:color w:val="auto"/>
        </w:rPr>
      </w:pPr>
    </w:p>
    <w:p>
      <w:pPr>
        <w:ind w:left="4820"/>
        <w:spacing w:after="0"/>
        <w:rPr>
          <w:sz w:val="20"/>
          <w:szCs w:val="20"/>
          <w:color w:val="auto"/>
        </w:rPr>
      </w:pPr>
      <w:r>
        <w:rPr>
          <w:rFonts w:ascii="Courier New" w:cs="Courier New" w:eastAsia="Courier New" w:hAnsi="Courier New"/>
          <w:sz w:val="16"/>
          <w:szCs w:val="16"/>
          <w:color w:val="auto"/>
        </w:rPr>
        <w:t>--------------------------------</w:t>
      </w:r>
    </w:p>
    <w:p>
      <w:pPr>
        <w:spacing w:after="0" w:line="6" w:lineRule="exact"/>
        <w:rPr>
          <w:sz w:val="20"/>
          <w:szCs w:val="20"/>
          <w:color w:val="auto"/>
        </w:rPr>
      </w:pPr>
    </w:p>
    <w:p>
      <w:pPr>
        <w:ind w:left="4420"/>
        <w:spacing w:after="0"/>
        <w:rPr>
          <w:sz w:val="20"/>
          <w:szCs w:val="20"/>
          <w:color w:val="auto"/>
        </w:rPr>
      </w:pPr>
      <w:r>
        <w:rPr>
          <w:rFonts w:ascii="Courier New" w:cs="Courier New" w:eastAsia="Courier New" w:hAnsi="Courier New"/>
          <w:sz w:val="17"/>
          <w:szCs w:val="17"/>
          <w:color w:val="auto"/>
        </w:rPr>
        <w:t>Name: George A. Hervey</w:t>
      </w:r>
    </w:p>
    <w:p>
      <w:pPr>
        <w:ind w:left="4420"/>
        <w:spacing w:after="0"/>
        <w:tabs>
          <w:tab w:leader="none" w:pos="5000" w:val="left"/>
        </w:tabs>
        <w:rPr>
          <w:sz w:val="20"/>
          <w:szCs w:val="20"/>
          <w:color w:val="auto"/>
        </w:rPr>
      </w:pPr>
      <w:r>
        <w:rPr>
          <w:rFonts w:ascii="Courier New" w:cs="Courier New" w:eastAsia="Courier New" w:hAnsi="Courier New"/>
          <w:sz w:val="17"/>
          <w:szCs w:val="17"/>
          <w:color w:val="auto"/>
        </w:rPr>
        <w:t>Its:</w:t>
      </w:r>
      <w:r>
        <w:rPr>
          <w:sz w:val="20"/>
          <w:szCs w:val="20"/>
          <w:color w:val="auto"/>
        </w:rPr>
        <w:tab/>
      </w:r>
      <w:r>
        <w:rPr>
          <w:rFonts w:ascii="Courier New" w:cs="Courier New" w:eastAsia="Courier New" w:hAnsi="Courier New"/>
          <w:sz w:val="16"/>
          <w:szCs w:val="16"/>
          <w:color w:val="auto"/>
        </w:rPr>
        <w:t>Vice President of Finance and</w:t>
      </w:r>
    </w:p>
    <w:p>
      <w:pPr>
        <w:ind w:left="5020"/>
        <w:spacing w:after="0"/>
        <w:rPr>
          <w:sz w:val="20"/>
          <w:szCs w:val="20"/>
          <w:color w:val="auto"/>
        </w:rPr>
      </w:pPr>
      <w:r>
        <w:rPr>
          <w:rFonts w:ascii="Courier New" w:cs="Courier New" w:eastAsia="Courier New" w:hAnsi="Courier New"/>
          <w:sz w:val="17"/>
          <w:szCs w:val="17"/>
          <w:color w:val="auto"/>
        </w:rPr>
        <w:t>Chief Financial Officer</w:t>
      </w:r>
    </w:p>
    <w:p>
      <w:pPr>
        <w:spacing w:after="0" w:line="386" w:lineRule="exact"/>
        <w:rPr>
          <w:sz w:val="20"/>
          <w:szCs w:val="20"/>
          <w:color w:val="auto"/>
        </w:rPr>
      </w:pPr>
    </w:p>
    <w:p>
      <w:pPr>
        <w:ind w:left="3920"/>
        <w:spacing w:after="0"/>
        <w:rPr>
          <w:sz w:val="20"/>
          <w:szCs w:val="20"/>
          <w:color w:val="auto"/>
        </w:rPr>
      </w:pPr>
      <w:r>
        <w:rPr>
          <w:rFonts w:ascii="Courier New" w:cs="Courier New" w:eastAsia="Courier New" w:hAnsi="Courier New"/>
          <w:sz w:val="17"/>
          <w:szCs w:val="17"/>
          <w:color w:val="auto"/>
        </w:rPr>
        <w:t>3</w:t>
      </w:r>
    </w:p>
    <w:p>
      <w:pPr>
        <w:sectPr>
          <w:pgSz w:w="11900" w:h="16838" w:orient="portrait"/>
          <w:cols w:equalWidth="0" w:num="1">
            <w:col w:w="10219"/>
          </w:cols>
          <w:pgMar w:left="240" w:top="496" w:right="1440" w:bottom="1440" w:gutter="0" w:footer="0" w:header="0"/>
          <w:type w:val="continuous"/>
        </w:sectPr>
      </w:pPr>
    </w:p>
    <w:bookmarkStart w:id="3" w:name="page4"/>
    <w:bookmarkEnd w:id="3"/>
    <w:p>
      <w:pPr>
        <w:spacing w:after="0" w:line="391"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ind w:left="1020"/>
        <w:spacing w:after="0"/>
        <w:rPr>
          <w:sz w:val="20"/>
          <w:szCs w:val="20"/>
          <w:color w:val="auto"/>
        </w:rPr>
      </w:pPr>
      <w:r>
        <w:rPr>
          <w:rFonts w:ascii="Courier New" w:cs="Courier New" w:eastAsia="Courier New" w:hAnsi="Courier New"/>
          <w:sz w:val="17"/>
          <w:szCs w:val="17"/>
          <w:color w:val="auto"/>
        </w:rPr>
        <w:t>EXHIBIT INDEX</w:t>
      </w:r>
    </w:p>
    <w:p>
      <w:pPr>
        <w:spacing w:after="0" w:line="198"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issued November 21, 2002.</w:t>
      </w:r>
    </w:p>
    <w:p>
      <w:pPr>
        <w:spacing w:after="0" w:line="200" w:lineRule="exact"/>
        <w:rPr>
          <w:sz w:val="20"/>
          <w:szCs w:val="20"/>
          <w:color w:val="auto"/>
        </w:rPr>
      </w:pPr>
    </w:p>
    <w:p>
      <w:pPr>
        <w:sectPr>
          <w:pgSz w:w="11900" w:h="16838" w:orient="portrait"/>
          <w:cols w:equalWidth="0" w:num="2">
            <w:col w:w="1680" w:space="720"/>
            <w:col w:w="7819"/>
          </w:cols>
          <w:pgMar w:left="240" w:top="496" w:right="1440" w:bottom="1440" w:gutter="0" w:footer="0" w:header="0"/>
        </w:sectPr>
      </w:pPr>
    </w:p>
    <w:p>
      <w:pPr>
        <w:spacing w:after="0" w:line="197" w:lineRule="exact"/>
        <w:rPr>
          <w:sz w:val="20"/>
          <w:szCs w:val="20"/>
          <w:color w:val="auto"/>
        </w:rPr>
      </w:pPr>
    </w:p>
    <w:p>
      <w:pPr>
        <w:ind w:left="39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496" w:right="1440" w:bottom="1440" w:gutter="0" w:footer="0" w:header="0"/>
          <w:type w:val="continuous"/>
        </w:sectPr>
      </w:pPr>
    </w:p>
    <w:bookmarkStart w:id="4" w:name="page5"/>
    <w:bookmarkEnd w:id="4"/>
    <w:p>
      <w:pPr>
        <w:jc w:val="right"/>
        <w:ind w:right="2199"/>
        <w:spacing w:after="0"/>
        <w:rPr>
          <w:sz w:val="20"/>
          <w:szCs w:val="20"/>
          <w:color w:val="auto"/>
        </w:rPr>
      </w:pPr>
      <w:r>
        <w:rPr>
          <w:rFonts w:ascii="Courier New" w:cs="Courier New" w:eastAsia="Courier New" w:hAnsi="Courier New"/>
          <w:sz w:val="17"/>
          <w:szCs w:val="17"/>
          <w:color w:val="auto"/>
        </w:rPr>
        <w:t>Exhibit 99.1</w:t>
      </w:r>
    </w:p>
    <w:p>
      <w:pPr>
        <w:spacing w:after="0" w:line="193"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NEWS RELEASE</w:t>
      </w:r>
    </w:p>
    <w:p>
      <w:pPr>
        <w:spacing w:after="0" w:line="193" w:lineRule="exact"/>
        <w:rPr>
          <w:sz w:val="20"/>
          <w:szCs w:val="20"/>
          <w:color w:val="auto"/>
        </w:rPr>
      </w:pPr>
    </w:p>
    <w:p>
      <w:pPr>
        <w:ind w:left="2000"/>
        <w:spacing w:after="0"/>
        <w:rPr>
          <w:sz w:val="20"/>
          <w:szCs w:val="20"/>
          <w:color w:val="auto"/>
        </w:rPr>
      </w:pPr>
      <w:r>
        <w:rPr>
          <w:rFonts w:ascii="Courier New" w:cs="Courier New" w:eastAsia="Courier New" w:hAnsi="Courier New"/>
          <w:sz w:val="17"/>
          <w:szCs w:val="17"/>
          <w:color w:val="auto"/>
        </w:rPr>
        <w:t>MARVELL(R) TECHNOLOGY GROUP LTD. REPORTS</w:t>
      </w:r>
    </w:p>
    <w:p>
      <w:pPr>
        <w:ind w:left="2000"/>
        <w:spacing w:after="0"/>
        <w:rPr>
          <w:sz w:val="20"/>
          <w:szCs w:val="20"/>
          <w:color w:val="auto"/>
        </w:rPr>
      </w:pPr>
      <w:r>
        <w:rPr>
          <w:rFonts w:ascii="Courier New" w:cs="Courier New" w:eastAsia="Courier New" w:hAnsi="Courier New"/>
          <w:sz w:val="17"/>
          <w:szCs w:val="17"/>
          <w:color w:val="auto"/>
        </w:rPr>
        <w:t>RECORD THIRD QUARTER FISCAL 2003 RESULTS</w:t>
      </w:r>
    </w:p>
    <w:p>
      <w:pPr>
        <w:spacing w:after="0" w:line="198" w:lineRule="exact"/>
        <w:rPr>
          <w:sz w:val="20"/>
          <w:szCs w:val="20"/>
          <w:color w:val="auto"/>
        </w:rPr>
      </w:pPr>
    </w:p>
    <w:p>
      <w:pPr>
        <w:ind w:right="2299"/>
        <w:spacing w:after="0" w:line="238" w:lineRule="auto"/>
        <w:rPr>
          <w:sz w:val="20"/>
          <w:szCs w:val="20"/>
          <w:color w:val="auto"/>
        </w:rPr>
      </w:pPr>
      <w:r>
        <w:rPr>
          <w:rFonts w:ascii="Courier New" w:cs="Courier New" w:eastAsia="Courier New" w:hAnsi="Courier New"/>
          <w:sz w:val="17"/>
          <w:szCs w:val="17"/>
          <w:color w:val="auto"/>
        </w:rPr>
        <w:t>Sunnyvale, CA. (November 21, 2002) - Marvell(R) Technology Group Ltd. (NASDAQ: MRVL), a technology leader in the development of extreme broadband communications solutions, today reported financial results for its third fiscal quarter ended November 2, 2002.</w:t>
      </w:r>
    </w:p>
    <w:p>
      <w:pPr>
        <w:spacing w:after="0" w:line="200" w:lineRule="exact"/>
        <w:rPr>
          <w:sz w:val="20"/>
          <w:szCs w:val="20"/>
          <w:color w:val="auto"/>
        </w:rPr>
      </w:pPr>
    </w:p>
    <w:p>
      <w:pPr>
        <w:ind w:right="2199"/>
        <w:spacing w:after="0" w:line="256" w:lineRule="auto"/>
        <w:rPr>
          <w:sz w:val="20"/>
          <w:szCs w:val="20"/>
          <w:color w:val="auto"/>
        </w:rPr>
      </w:pPr>
      <w:r>
        <w:rPr>
          <w:rFonts w:ascii="Courier New" w:cs="Courier New" w:eastAsia="Courier New" w:hAnsi="Courier New"/>
          <w:sz w:val="16"/>
          <w:szCs w:val="16"/>
          <w:color w:val="auto"/>
        </w:rPr>
        <w:t>Net revenue for the third quarter of fiscal 2003 was a record $135.9 million, an increase of 86% over net revenue of $73.1 million for the third quarter of fiscal 2002 and a 14% sequential increase from net revenue of $119.7 million for the second quarter of fiscal 2003. Net loss under generally accepted accounting principles (GAAP), which includes the effect of acquisition-related expenses, amortization of stock-based compensation and a special charge related to facilities consolidation was $7.7 million, or $0.06 per share (diluted), for the third quarter of fiscal 2003, compared with net loss under GAAP of $105.1 million, or $0.92 per share (diluted), for the third quarter of fiscal 2002.</w:t>
      </w:r>
    </w:p>
    <w:p>
      <w:pPr>
        <w:spacing w:after="0" w:line="187" w:lineRule="exact"/>
        <w:rPr>
          <w:sz w:val="20"/>
          <w:szCs w:val="20"/>
          <w:color w:val="auto"/>
        </w:rPr>
      </w:pPr>
    </w:p>
    <w:p>
      <w:pPr>
        <w:ind w:right="2199"/>
        <w:spacing w:after="0" w:line="239" w:lineRule="auto"/>
        <w:rPr>
          <w:sz w:val="20"/>
          <w:szCs w:val="20"/>
          <w:color w:val="auto"/>
        </w:rPr>
      </w:pPr>
      <w:r>
        <w:rPr>
          <w:rFonts w:ascii="Courier New" w:cs="Courier New" w:eastAsia="Courier New" w:hAnsi="Courier New"/>
          <w:sz w:val="17"/>
          <w:szCs w:val="17"/>
          <w:color w:val="auto"/>
        </w:rPr>
        <w:t>Net revenue for the nine months ended November 2, 2002 was $354.4 million, an increase of 72% over net revenue of $206.0 million for nine months ended October 27, 2001. Net loss under GAAP was $47.9 million, or $0.40 per share (diluted), for the nine months ended November 2, 2002, compared with net loss under GAAP of $315.3 million, or $2.77 per share (diluted), for the nine months ended October 27, 2001.</w:t>
      </w:r>
    </w:p>
    <w:p>
      <w:pPr>
        <w:spacing w:after="0" w:line="198" w:lineRule="exact"/>
        <w:rPr>
          <w:sz w:val="20"/>
          <w:szCs w:val="20"/>
          <w:color w:val="auto"/>
        </w:rPr>
      </w:pPr>
    </w:p>
    <w:p>
      <w:pPr>
        <w:ind w:right="2199"/>
        <w:spacing w:after="0" w:line="239" w:lineRule="auto"/>
        <w:rPr>
          <w:sz w:val="20"/>
          <w:szCs w:val="20"/>
          <w:color w:val="auto"/>
        </w:rPr>
      </w:pPr>
      <w:r>
        <w:rPr>
          <w:rFonts w:ascii="Courier New" w:cs="Courier New" w:eastAsia="Courier New" w:hAnsi="Courier New"/>
          <w:sz w:val="17"/>
          <w:szCs w:val="17"/>
          <w:color w:val="auto"/>
        </w:rPr>
        <w:t>Pro forma net income, which excludes the effect of acquisition-related expenses, amortization of stock-based compensation and a special charge related to facilities consolidation in fiscal 2003, was $17.6 million, or $0.14 per share (diluted), for the third quarter of fiscal 2003, compared with pro forma net income of $3.4 million, or $0.03 per share (diluted), for the third quarter of fiscal 2002. Pro forma net income was $42.3 million, or $0.33 per share (diluted), for the nine months ended November 2, 2002, compared with pro forma net income of $11.3 million, or $0.09 per share (diluted), for the nine months ended October 27, 2001.</w:t>
      </w:r>
    </w:p>
    <w:p>
      <w:pPr>
        <w:spacing w:after="0" w:line="201" w:lineRule="exact"/>
        <w:rPr>
          <w:sz w:val="20"/>
          <w:szCs w:val="20"/>
          <w:color w:val="auto"/>
        </w:rPr>
      </w:pPr>
    </w:p>
    <w:p>
      <w:pPr>
        <w:ind w:right="2499"/>
        <w:spacing w:after="0" w:line="239" w:lineRule="auto"/>
        <w:rPr>
          <w:sz w:val="20"/>
          <w:szCs w:val="20"/>
          <w:color w:val="auto"/>
        </w:rPr>
      </w:pPr>
      <w:r>
        <w:rPr>
          <w:rFonts w:ascii="Courier New" w:cs="Courier New" w:eastAsia="Courier New" w:hAnsi="Courier New"/>
          <w:sz w:val="17"/>
          <w:szCs w:val="17"/>
          <w:color w:val="auto"/>
        </w:rPr>
        <w:t>"Q3 was another very strong quarter for Marvell," stated Dr. Sehat Sutardja, Marvell's President and CEO. "We recorded record revenues in both our data storage and data communications businesses driven largely by the continued adoption of Gigabit Ethernet to the desktop and our integrated system-on-chip storage solutions. Additionally, we are very excited about the designs we are receiving with our new Yukon((TM)) Gigabit Ethernet controllers, Serial ATA solutions, Libertas(TM) wireless LAN products, and Prestera(TM) family of Gigabit Ethernet switches."</w:t>
      </w:r>
    </w:p>
    <w:p>
      <w:pPr>
        <w:spacing w:after="0" w:line="200" w:lineRule="exact"/>
        <w:rPr>
          <w:sz w:val="20"/>
          <w:szCs w:val="20"/>
          <w:color w:val="auto"/>
        </w:rPr>
      </w:pPr>
    </w:p>
    <w:p>
      <w:pPr>
        <w:ind w:right="2399"/>
        <w:spacing w:after="0" w:line="256" w:lineRule="auto"/>
        <w:rPr>
          <w:sz w:val="20"/>
          <w:szCs w:val="20"/>
          <w:color w:val="auto"/>
        </w:rPr>
      </w:pPr>
      <w:r>
        <w:rPr>
          <w:rFonts w:ascii="Courier New" w:cs="Courier New" w:eastAsia="Courier New" w:hAnsi="Courier New"/>
          <w:sz w:val="16"/>
          <w:szCs w:val="16"/>
          <w:color w:val="auto"/>
        </w:rPr>
        <w:t>Marvell will be conducting a conference call today at 1:45 p.m. PST to discuss its third quarter fiscal 2003 financial results. To listen to the conference call, investors can dial (706) 679-0800 approximately fifteen minutes prior to the initiation of the teleconference and refer to conference code 6564396. Replay of the conference call will be available until November 28, 2002 at midnight by calling (706) 645-9291. The conference call will also be available via the web at www.marvell.com until December 21, 2002.</w:t>
      </w:r>
    </w:p>
    <w:p>
      <w:pPr>
        <w:sectPr>
          <w:pgSz w:w="11900" w:h="16838" w:orient="portrait"/>
          <w:cols w:equalWidth="0" w:num="1">
            <w:col w:w="10219"/>
          </w:cols>
          <w:pgMar w:left="240" w:top="329" w:right="1440" w:bottom="1440" w:gutter="0" w:footer="0" w:header="0"/>
        </w:sectPr>
      </w:pPr>
    </w:p>
    <w:bookmarkStart w:id="5" w:name="page6"/>
    <w:bookmarkEnd w:id="5"/>
    <w:p>
      <w:pPr>
        <w:spacing w:after="0"/>
        <w:rPr>
          <w:sz w:val="20"/>
          <w:szCs w:val="20"/>
          <w:color w:val="auto"/>
        </w:rPr>
      </w:pPr>
      <w:r>
        <w:rPr>
          <w:rFonts w:ascii="Courier New" w:cs="Courier New" w:eastAsia="Courier New" w:hAnsi="Courier New"/>
          <w:sz w:val="17"/>
          <w:szCs w:val="17"/>
          <w:color w:val="auto"/>
        </w:rPr>
        <w:t>ABOUT MARVELL</w:t>
      </w:r>
    </w:p>
    <w:p>
      <w:pPr>
        <w:spacing w:after="0" w:line="198" w:lineRule="exact"/>
        <w:rPr>
          <w:sz w:val="20"/>
          <w:szCs w:val="20"/>
          <w:color w:val="auto"/>
        </w:rPr>
      </w:pPr>
    </w:p>
    <w:p>
      <w:pPr>
        <w:ind w:right="2199"/>
        <w:spacing w:after="0" w:line="239" w:lineRule="auto"/>
        <w:rPr>
          <w:sz w:val="20"/>
          <w:szCs w:val="20"/>
          <w:color w:val="auto"/>
        </w:rPr>
      </w:pPr>
      <w:r>
        <w:rPr>
          <w:rFonts w:ascii="Courier New" w:cs="Courier New" w:eastAsia="Courier New" w:hAnsi="Courier New"/>
          <w:sz w:val="17"/>
          <w:szCs w:val="17"/>
          <w:color w:val="auto"/>
        </w:rPr>
        <w:t>Marvell (NASDAQ: MRVL) is the leading global semiconductor provider of complete broadband communications solutions for the data communications and storage markets.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Galileo Technology Ltd., and SysKonnect GmbH. MSI is headquartered in Sunnyvale, Calif., and designs, develops and markets products on behalf of MIL and MAPL. MSI may be contacted at (408) 222-2500 or at www.marvell.com.</w:t>
      </w:r>
    </w:p>
    <w:p>
      <w:pPr>
        <w:spacing w:after="0" w:line="204" w:lineRule="exact"/>
        <w:rPr>
          <w:sz w:val="20"/>
          <w:szCs w:val="20"/>
          <w:color w:val="auto"/>
        </w:rPr>
      </w:pPr>
    </w:p>
    <w:p>
      <w:pPr>
        <w:ind w:right="2699"/>
        <w:spacing w:after="0" w:line="236" w:lineRule="auto"/>
        <w:rPr>
          <w:sz w:val="20"/>
          <w:szCs w:val="20"/>
          <w:color w:val="auto"/>
        </w:rPr>
      </w:pPr>
      <w:r>
        <w:rPr>
          <w:rFonts w:ascii="Courier New" w:cs="Courier New" w:eastAsia="Courier New" w:hAnsi="Courier New"/>
          <w:sz w:val="17"/>
          <w:szCs w:val="17"/>
          <w:color w:val="auto"/>
        </w:rPr>
        <w:t>SAFE HARBOR STATEMENT UNDER THE PRIVATE SECURITIES LITIGATION REFORM ACT OF 1995:</w:t>
      </w:r>
    </w:p>
    <w:p>
      <w:pPr>
        <w:spacing w:after="0" w:line="199" w:lineRule="exact"/>
        <w:rPr>
          <w:sz w:val="20"/>
          <w:szCs w:val="20"/>
          <w:color w:val="auto"/>
        </w:rPr>
      </w:pPr>
    </w:p>
    <w:p>
      <w:pPr>
        <w:ind w:right="2199"/>
        <w:spacing w:after="0" w:line="255" w:lineRule="auto"/>
        <w:rPr>
          <w:sz w:val="20"/>
          <w:szCs w:val="20"/>
          <w:color w:val="auto"/>
        </w:rPr>
      </w:pPr>
      <w:r>
        <w:rPr>
          <w:rFonts w:ascii="Courier New" w:cs="Courier New" w:eastAsia="Courier New" w:hAnsi="Courier New"/>
          <w:sz w:val="16"/>
          <w:szCs w:val="16"/>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2, 2002 and Marvell's subsequent reports on Form 10-Q. We undertake no obligation to revise or update publicly any forward-looking statements.</w:t>
      </w:r>
    </w:p>
    <w:p>
      <w:pPr>
        <w:spacing w:after="0" w:line="195" w:lineRule="exact"/>
        <w:rPr>
          <w:sz w:val="20"/>
          <w:szCs w:val="20"/>
          <w:color w:val="auto"/>
        </w:rPr>
      </w:pPr>
    </w:p>
    <w:p>
      <w:pPr>
        <w:ind w:right="2199"/>
        <w:spacing w:after="0" w:line="237" w:lineRule="auto"/>
        <w:rPr>
          <w:sz w:val="20"/>
          <w:szCs w:val="20"/>
          <w:color w:val="auto"/>
        </w:rPr>
      </w:pPr>
      <w:r>
        <w:rPr>
          <w:rFonts w:ascii="Courier New" w:cs="Courier New" w:eastAsia="Courier New" w:hAnsi="Courier New"/>
          <w:sz w:val="17"/>
          <w:szCs w:val="17"/>
          <w:color w:val="auto"/>
        </w:rPr>
        <w:t>Marvell(R), the Marvell logo, Libertas(TM), Prestera(TM) and Yukon(TM) are trademarks of Marvell. All other trademarks are the property of their respective owners.</w:t>
      </w:r>
    </w:p>
    <w:p>
      <w:pPr>
        <w:sectPr>
          <w:pgSz w:w="11900" w:h="16838" w:orient="portrait"/>
          <w:cols w:equalWidth="0" w:num="1">
            <w:col w:w="10219"/>
          </w:cols>
          <w:pgMar w:left="240" w:top="496" w:right="1440" w:bottom="1440" w:gutter="0" w:footer="0" w:header="0"/>
        </w:sectPr>
      </w:pPr>
    </w:p>
    <w:bookmarkStart w:id="6" w:name="page7"/>
    <w:bookmarkEnd w:id="6"/>
    <w:p>
      <w:pPr>
        <w:jc w:val="center"/>
        <w:ind w:right="2400"/>
        <w:spacing w:after="0"/>
        <w:rPr>
          <w:sz w:val="20"/>
          <w:szCs w:val="20"/>
          <w:color w:val="auto"/>
        </w:rPr>
      </w:pPr>
      <w:r>
        <w:rPr>
          <w:rFonts w:ascii="Courier New" w:cs="Courier New" w:eastAsia="Courier New" w:hAnsi="Courier New"/>
          <w:sz w:val="17"/>
          <w:szCs w:val="17"/>
          <w:color w:val="auto"/>
        </w:rPr>
        <w:t>MARVELL TECHNOLOGY GROUP LTD.</w:t>
      </w:r>
    </w:p>
    <w:p>
      <w:pPr>
        <w:jc w:val="center"/>
        <w:ind w:right="2400"/>
        <w:spacing w:after="0"/>
        <w:rPr>
          <w:sz w:val="20"/>
          <w:szCs w:val="20"/>
          <w:color w:val="auto"/>
        </w:rPr>
      </w:pPr>
      <w:r>
        <w:rPr>
          <w:rFonts w:ascii="Courier New" w:cs="Courier New" w:eastAsia="Courier New" w:hAnsi="Courier New"/>
          <w:sz w:val="17"/>
          <w:szCs w:val="17"/>
          <w:color w:val="auto"/>
        </w:rPr>
        <w:t>CONSOLIDATED STATEMENTS OF OPERATIONS</w:t>
      </w:r>
    </w:p>
    <w:p>
      <w:pPr>
        <w:jc w:val="center"/>
        <w:ind w:right="2400"/>
        <w:spacing w:after="0"/>
        <w:rPr>
          <w:sz w:val="20"/>
          <w:szCs w:val="20"/>
          <w:color w:val="auto"/>
        </w:rPr>
      </w:pPr>
      <w:r>
        <w:rPr>
          <w:rFonts w:ascii="Courier New" w:cs="Courier New" w:eastAsia="Courier New" w:hAnsi="Courier New"/>
          <w:sz w:val="17"/>
          <w:szCs w:val="17"/>
          <w:color w:val="auto"/>
        </w:rPr>
        <w:t>(UNAUDITED)</w:t>
      </w:r>
    </w:p>
    <w:tbl>
      <w:tblPr>
        <w:tblLayout w:type="fixed"/>
        <w:tblInd w:w="0" w:type="dxa"/>
        <w:tblCellMar>
          <w:top w:w="0" w:type="dxa"/>
          <w:left w:w="0" w:type="dxa"/>
          <w:bottom w:w="0" w:type="dxa"/>
          <w:right w:w="0" w:type="dxa"/>
        </w:tblCellMar>
      </w:tblPr>
      <w:tr>
        <w:trPr>
          <w:trHeight w:val="193"/>
        </w:trPr>
        <w:tc>
          <w:tcPr>
            <w:tcW w:w="6220" w:type="dxa"/>
            <w:vAlign w:val="bottom"/>
            <w:gridSpan w:val="3"/>
          </w:tcPr>
          <w:p>
            <w:pPr>
              <w:jc w:val="right"/>
              <w:ind w:right="116"/>
              <w:spacing w:after="0"/>
              <w:rPr>
                <w:sz w:val="20"/>
                <w:szCs w:val="20"/>
                <w:color w:val="auto"/>
              </w:rPr>
            </w:pPr>
            <w:r>
              <w:rPr>
                <w:rFonts w:ascii="Courier New" w:cs="Courier New" w:eastAsia="Courier New" w:hAnsi="Courier New"/>
                <w:sz w:val="17"/>
                <w:szCs w:val="17"/>
                <w:color w:val="auto"/>
              </w:rPr>
              <w:t>(IN THOUSANDS, EXCEPT PER SHARE AMOUNTS)</w:t>
            </w:r>
          </w:p>
        </w:tc>
        <w:tc>
          <w:tcPr>
            <w:tcW w:w="4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300" w:type="dxa"/>
            <w:vAlign w:val="bottom"/>
          </w:tcPr>
          <w:p>
            <w:pPr>
              <w:spacing w:after="0"/>
              <w:rPr>
                <w:sz w:val="16"/>
                <w:szCs w:val="16"/>
                <w:color w:val="auto"/>
              </w:rPr>
            </w:pPr>
          </w:p>
        </w:tc>
      </w:tr>
      <w:tr>
        <w:trPr>
          <w:trHeight w:val="771"/>
        </w:trPr>
        <w:tc>
          <w:tcPr>
            <w:tcW w:w="472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2560" w:type="dxa"/>
            <w:vAlign w:val="bottom"/>
            <w:gridSpan w:val="3"/>
          </w:tcPr>
          <w:p>
            <w:pPr>
              <w:ind w:left="160"/>
              <w:spacing w:after="0"/>
              <w:rPr>
                <w:sz w:val="20"/>
                <w:szCs w:val="20"/>
                <w:color w:val="auto"/>
              </w:rPr>
            </w:pPr>
            <w:r>
              <w:rPr>
                <w:rFonts w:ascii="Courier New" w:cs="Courier New" w:eastAsia="Courier New" w:hAnsi="Courier New"/>
                <w:sz w:val="17"/>
                <w:szCs w:val="17"/>
                <w:color w:val="auto"/>
              </w:rPr>
              <w:t>THREE MONTHS ENDED</w:t>
            </w:r>
          </w:p>
        </w:tc>
        <w:tc>
          <w:tcPr>
            <w:tcW w:w="2800" w:type="dxa"/>
            <w:vAlign w:val="bottom"/>
            <w:gridSpan w:val="2"/>
          </w:tcPr>
          <w:p>
            <w:pPr>
              <w:ind w:left="600"/>
              <w:spacing w:after="0"/>
              <w:rPr>
                <w:sz w:val="20"/>
                <w:szCs w:val="20"/>
                <w:color w:val="auto"/>
              </w:rPr>
            </w:pPr>
            <w:r>
              <w:rPr>
                <w:rFonts w:ascii="Courier New" w:cs="Courier New" w:eastAsia="Courier New" w:hAnsi="Courier New"/>
                <w:sz w:val="17"/>
                <w:szCs w:val="17"/>
                <w:color w:val="auto"/>
              </w:rPr>
              <w:t>NINE MONTHS ENDED</w:t>
            </w:r>
          </w:p>
        </w:tc>
      </w:tr>
      <w:tr>
        <w:trPr>
          <w:trHeight w:val="193"/>
        </w:trPr>
        <w:tc>
          <w:tcPr>
            <w:tcW w:w="4720" w:type="dxa"/>
            <w:vAlign w:val="bottom"/>
          </w:tcPr>
          <w:p>
            <w:pPr>
              <w:spacing w:after="0"/>
              <w:rPr>
                <w:sz w:val="16"/>
                <w:szCs w:val="16"/>
                <w:color w:val="auto"/>
              </w:rPr>
            </w:pPr>
          </w:p>
        </w:tc>
        <w:tc>
          <w:tcPr>
            <w:tcW w:w="3000" w:type="dxa"/>
            <w:vAlign w:val="bottom"/>
            <w:gridSpan w:val="4"/>
          </w:tcPr>
          <w:p>
            <w:pPr>
              <w:jc w:val="right"/>
              <w:ind w:right="116"/>
              <w:spacing w:after="0"/>
              <w:rPr>
                <w:sz w:val="20"/>
                <w:szCs w:val="20"/>
                <w:color w:val="auto"/>
              </w:rPr>
            </w:pPr>
            <w:r>
              <w:rPr>
                <w:rFonts w:ascii="Courier New" w:cs="Courier New" w:eastAsia="Courier New" w:hAnsi="Courier New"/>
                <w:sz w:val="17"/>
                <w:szCs w:val="17"/>
                <w:color w:val="auto"/>
              </w:rPr>
              <w:t>--------------------------</w:t>
            </w:r>
          </w:p>
        </w:tc>
        <w:tc>
          <w:tcPr>
            <w:tcW w:w="28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116"/>
              <w:spacing w:after="0"/>
              <w:rPr>
                <w:sz w:val="20"/>
                <w:szCs w:val="20"/>
                <w:color w:val="auto"/>
              </w:rPr>
            </w:pPr>
            <w:r>
              <w:rPr>
                <w:rFonts w:ascii="Courier New" w:cs="Courier New" w:eastAsia="Courier New" w:hAnsi="Courier New"/>
                <w:sz w:val="17"/>
                <w:szCs w:val="17"/>
                <w:color w:val="auto"/>
              </w:rPr>
              <w:t>NOVEMBER 2,</w:t>
            </w:r>
          </w:p>
        </w:tc>
        <w:tc>
          <w:tcPr>
            <w:tcW w:w="1500" w:type="dxa"/>
            <w:vAlign w:val="bottom"/>
            <w:gridSpan w:val="2"/>
          </w:tcPr>
          <w:p>
            <w:pPr>
              <w:jc w:val="right"/>
              <w:ind w:right="116"/>
              <w:spacing w:after="0"/>
              <w:rPr>
                <w:sz w:val="20"/>
                <w:szCs w:val="20"/>
                <w:color w:val="auto"/>
              </w:rPr>
            </w:pPr>
            <w:r>
              <w:rPr>
                <w:rFonts w:ascii="Courier New" w:cs="Courier New" w:eastAsia="Courier New" w:hAnsi="Courier New"/>
                <w:sz w:val="17"/>
                <w:szCs w:val="17"/>
                <w:color w:val="auto"/>
              </w:rPr>
              <w:t>OCTOBER 27,</w:t>
            </w:r>
          </w:p>
        </w:tc>
        <w:tc>
          <w:tcPr>
            <w:tcW w:w="15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NOVEMBER 2,</w:t>
            </w:r>
          </w:p>
        </w:tc>
        <w:tc>
          <w:tcPr>
            <w:tcW w:w="1300" w:type="dxa"/>
            <w:vAlign w:val="bottom"/>
          </w:tcPr>
          <w:p>
            <w:pPr>
              <w:jc w:val="right"/>
              <w:spacing w:after="0"/>
              <w:rPr>
                <w:sz w:val="20"/>
                <w:szCs w:val="20"/>
                <w:color w:val="auto"/>
              </w:rPr>
            </w:pPr>
            <w:r>
              <w:rPr>
                <w:rFonts w:ascii="Courier New" w:cs="Courier New" w:eastAsia="Courier New" w:hAnsi="Courier New"/>
                <w:sz w:val="17"/>
                <w:szCs w:val="17"/>
                <w:color w:val="auto"/>
              </w:rPr>
              <w:t>OCTOBER 27,</w:t>
            </w:r>
          </w:p>
        </w:tc>
      </w:tr>
      <w:tr>
        <w:trPr>
          <w:trHeight w:val="193"/>
        </w:trPr>
        <w:tc>
          <w:tcPr>
            <w:tcW w:w="47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060" w:type="dxa"/>
            <w:vAlign w:val="bottom"/>
          </w:tcPr>
          <w:p>
            <w:pPr>
              <w:ind w:left="160"/>
              <w:spacing w:after="0"/>
              <w:rPr>
                <w:sz w:val="20"/>
                <w:szCs w:val="20"/>
                <w:color w:val="auto"/>
              </w:rPr>
            </w:pPr>
            <w:r>
              <w:rPr>
                <w:rFonts w:ascii="Courier New" w:cs="Courier New" w:eastAsia="Courier New" w:hAnsi="Courier New"/>
                <w:sz w:val="17"/>
                <w:szCs w:val="17"/>
                <w:color w:val="auto"/>
              </w:rPr>
              <w:t>2002</w:t>
            </w:r>
          </w:p>
        </w:tc>
        <w:tc>
          <w:tcPr>
            <w:tcW w:w="400" w:type="dxa"/>
            <w:vAlign w:val="bottom"/>
          </w:tcPr>
          <w:p>
            <w:pPr>
              <w:spacing w:after="0"/>
              <w:rPr>
                <w:sz w:val="16"/>
                <w:szCs w:val="16"/>
                <w:color w:val="auto"/>
              </w:rPr>
            </w:pPr>
          </w:p>
        </w:tc>
        <w:tc>
          <w:tcPr>
            <w:tcW w:w="1100" w:type="dxa"/>
            <w:vAlign w:val="bottom"/>
          </w:tcPr>
          <w:p>
            <w:pPr>
              <w:jc w:val="right"/>
              <w:ind w:right="416"/>
              <w:spacing w:after="0"/>
              <w:rPr>
                <w:sz w:val="20"/>
                <w:szCs w:val="20"/>
                <w:color w:val="auto"/>
              </w:rPr>
            </w:pPr>
            <w:r>
              <w:rPr>
                <w:rFonts w:ascii="Courier New" w:cs="Courier New" w:eastAsia="Courier New" w:hAnsi="Courier New"/>
                <w:sz w:val="17"/>
                <w:szCs w:val="17"/>
                <w:color w:val="auto"/>
              </w:rPr>
              <w:t>2001</w:t>
            </w:r>
          </w:p>
        </w:tc>
        <w:tc>
          <w:tcPr>
            <w:tcW w:w="1500" w:type="dxa"/>
            <w:vAlign w:val="bottom"/>
          </w:tcPr>
          <w:p>
            <w:pPr>
              <w:ind w:left="600"/>
              <w:spacing w:after="0"/>
              <w:rPr>
                <w:sz w:val="20"/>
                <w:szCs w:val="20"/>
                <w:color w:val="auto"/>
              </w:rPr>
            </w:pPr>
            <w:r>
              <w:rPr>
                <w:rFonts w:ascii="Courier New" w:cs="Courier New" w:eastAsia="Courier New" w:hAnsi="Courier New"/>
                <w:sz w:val="17"/>
                <w:szCs w:val="17"/>
                <w:color w:val="auto"/>
              </w:rPr>
              <w:t>2002</w:t>
            </w:r>
          </w:p>
        </w:tc>
        <w:tc>
          <w:tcPr>
            <w:tcW w:w="13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2001</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472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$ 135,944</w:t>
            </w:r>
          </w:p>
        </w:tc>
        <w:tc>
          <w:tcPr>
            <w:tcW w:w="4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73,100</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$ 354,438</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$ 205,979</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62,925</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33,491</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162,738</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95,071</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73,019</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39,609</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191,700</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110,908</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4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300" w:type="dxa"/>
            <w:vAlign w:val="bottom"/>
          </w:tcPr>
          <w:p>
            <w:pPr>
              <w:spacing w:after="0"/>
              <w:rPr>
                <w:sz w:val="16"/>
                <w:szCs w:val="16"/>
                <w:color w:val="auto"/>
              </w:rPr>
            </w:pP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Research and development</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38,817</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24,072</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103,025</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65,981</w:t>
            </w: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Selling and marketing</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12,298</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9,980</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35,631</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29,628</w:t>
            </w: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General and administrative</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3,582</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3,329</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10,747</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10,048</w:t>
            </w: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Amortization of stock-based compensation</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2,187</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4,051</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6,661</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12,259</w:t>
            </w: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Amortization of goodwill and acquired</w:t>
            </w:r>
          </w:p>
        </w:tc>
        <w:tc>
          <w:tcPr>
            <w:tcW w:w="4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500" w:type="dxa"/>
            <w:vAlign w:val="bottom"/>
          </w:tcPr>
          <w:p>
            <w:pPr>
              <w:spacing w:after="0"/>
              <w:rPr>
                <w:sz w:val="16"/>
                <w:szCs w:val="16"/>
                <w:color w:val="auto"/>
              </w:rPr>
            </w:pPr>
          </w:p>
        </w:tc>
        <w:tc>
          <w:tcPr>
            <w:tcW w:w="1300" w:type="dxa"/>
            <w:vAlign w:val="bottom"/>
          </w:tcPr>
          <w:p>
            <w:pPr>
              <w:spacing w:after="0"/>
              <w:rPr>
                <w:sz w:val="16"/>
                <w:szCs w:val="16"/>
                <w:color w:val="auto"/>
              </w:rPr>
            </w:pPr>
          </w:p>
        </w:tc>
      </w:tr>
      <w:tr>
        <w:trPr>
          <w:trHeight w:val="193"/>
        </w:trPr>
        <w:tc>
          <w:tcPr>
            <w:tcW w:w="4720" w:type="dxa"/>
            <w:vAlign w:val="bottom"/>
          </w:tcPr>
          <w:p>
            <w:pPr>
              <w:ind w:left="900"/>
              <w:spacing w:after="0"/>
              <w:rPr>
                <w:sz w:val="20"/>
                <w:szCs w:val="20"/>
                <w:color w:val="auto"/>
              </w:rPr>
            </w:pPr>
            <w:r>
              <w:rPr>
                <w:rFonts w:ascii="Courier New" w:cs="Courier New" w:eastAsia="Courier New" w:hAnsi="Courier New"/>
                <w:sz w:val="17"/>
                <w:szCs w:val="17"/>
                <w:color w:val="auto"/>
              </w:rPr>
              <w:t>intangible assets</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21,323</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104,508</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63,969</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313,524</w:t>
            </w:r>
          </w:p>
        </w:tc>
      </w:tr>
      <w:tr>
        <w:trPr>
          <w:trHeight w:val="193"/>
        </w:trPr>
        <w:tc>
          <w:tcPr>
            <w:tcW w:w="4720" w:type="dxa"/>
            <w:vAlign w:val="bottom"/>
          </w:tcPr>
          <w:p>
            <w:pPr>
              <w:ind w:left="500"/>
              <w:spacing w:after="0"/>
              <w:rPr>
                <w:sz w:val="20"/>
                <w:szCs w:val="20"/>
                <w:color w:val="auto"/>
              </w:rPr>
            </w:pPr>
            <w:r>
              <w:rPr>
                <w:rFonts w:ascii="Courier New" w:cs="Courier New" w:eastAsia="Courier New" w:hAnsi="Courier New"/>
                <w:sz w:val="17"/>
                <w:szCs w:val="17"/>
                <w:color w:val="auto"/>
              </w:rPr>
              <w:t>Facilities consolidation charge</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1,763</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19,562</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ind w:left="900"/>
              <w:spacing w:after="0"/>
              <w:rPr>
                <w:sz w:val="20"/>
                <w:szCs w:val="20"/>
                <w:color w:val="auto"/>
              </w:rPr>
            </w:pPr>
            <w:r>
              <w:rPr>
                <w:rFonts w:ascii="Courier New" w:cs="Courier New" w:eastAsia="Courier New" w:hAnsi="Courier New"/>
                <w:sz w:val="17"/>
                <w:szCs w:val="17"/>
                <w:color w:val="auto"/>
              </w:rPr>
              <w:t>Total operating expenses</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79,970</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145,940</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239,595</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431,440</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Operating loss</w:t>
            </w:r>
          </w:p>
        </w:tc>
        <w:tc>
          <w:tcPr>
            <w:tcW w:w="440" w:type="dxa"/>
            <w:vAlign w:val="bottom"/>
          </w:tcPr>
          <w:p>
            <w:pPr>
              <w:spacing w:after="0"/>
              <w:rPr>
                <w:sz w:val="16"/>
                <w:szCs w:val="16"/>
                <w:color w:val="auto"/>
              </w:rPr>
            </w:pPr>
          </w:p>
        </w:tc>
        <w:tc>
          <w:tcPr>
            <w:tcW w:w="106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(6,951)</w:t>
            </w:r>
          </w:p>
        </w:tc>
        <w:tc>
          <w:tcPr>
            <w:tcW w:w="400" w:type="dxa"/>
            <w:vAlign w:val="bottom"/>
          </w:tcPr>
          <w:p>
            <w:pPr>
              <w:spacing w:after="0"/>
              <w:rPr>
                <w:sz w:val="16"/>
                <w:szCs w:val="16"/>
                <w:color w:val="auto"/>
              </w:rPr>
            </w:pPr>
          </w:p>
        </w:tc>
        <w:tc>
          <w:tcPr>
            <w:tcW w:w="1100" w:type="dxa"/>
            <w:vAlign w:val="bottom"/>
          </w:tcPr>
          <w:p>
            <w:pPr>
              <w:jc w:val="right"/>
              <w:ind w:right="116"/>
              <w:spacing w:after="0"/>
              <w:rPr>
                <w:sz w:val="20"/>
                <w:szCs w:val="20"/>
                <w:color w:val="auto"/>
              </w:rPr>
            </w:pPr>
            <w:r>
              <w:rPr>
                <w:rFonts w:ascii="Courier New" w:cs="Courier New" w:eastAsia="Courier New" w:hAnsi="Courier New"/>
                <w:sz w:val="17"/>
                <w:szCs w:val="17"/>
                <w:color w:val="auto"/>
                <w:w w:val="95"/>
              </w:rPr>
              <w:t>(106,331)</w:t>
            </w:r>
          </w:p>
        </w:tc>
        <w:tc>
          <w:tcPr>
            <w:tcW w:w="15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(47,895)</w:t>
            </w:r>
          </w:p>
        </w:tc>
        <w:tc>
          <w:tcPr>
            <w:tcW w:w="1300" w:type="dxa"/>
            <w:vAlign w:val="bottom"/>
          </w:tcPr>
          <w:p>
            <w:pPr>
              <w:jc w:val="right"/>
              <w:spacing w:after="0"/>
              <w:rPr>
                <w:sz w:val="20"/>
                <w:szCs w:val="20"/>
                <w:color w:val="auto"/>
              </w:rPr>
            </w:pPr>
            <w:r>
              <w:rPr>
                <w:rFonts w:ascii="Courier New" w:cs="Courier New" w:eastAsia="Courier New" w:hAnsi="Courier New"/>
                <w:sz w:val="17"/>
                <w:szCs w:val="17"/>
                <w:color w:val="auto"/>
              </w:rPr>
              <w:t>(320,532)</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1,670</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1,817</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5,715</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7,243</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Loss before income taxes</w:t>
            </w:r>
          </w:p>
        </w:tc>
        <w:tc>
          <w:tcPr>
            <w:tcW w:w="440" w:type="dxa"/>
            <w:vAlign w:val="bottom"/>
          </w:tcPr>
          <w:p>
            <w:pPr>
              <w:spacing w:after="0"/>
              <w:rPr>
                <w:sz w:val="16"/>
                <w:szCs w:val="16"/>
                <w:color w:val="auto"/>
              </w:rPr>
            </w:pPr>
          </w:p>
        </w:tc>
        <w:tc>
          <w:tcPr>
            <w:tcW w:w="106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(5,281)</w:t>
            </w:r>
          </w:p>
        </w:tc>
        <w:tc>
          <w:tcPr>
            <w:tcW w:w="400" w:type="dxa"/>
            <w:vAlign w:val="bottom"/>
          </w:tcPr>
          <w:p>
            <w:pPr>
              <w:spacing w:after="0"/>
              <w:rPr>
                <w:sz w:val="16"/>
                <w:szCs w:val="16"/>
                <w:color w:val="auto"/>
              </w:rPr>
            </w:pPr>
          </w:p>
        </w:tc>
        <w:tc>
          <w:tcPr>
            <w:tcW w:w="1100" w:type="dxa"/>
            <w:vAlign w:val="bottom"/>
          </w:tcPr>
          <w:p>
            <w:pPr>
              <w:jc w:val="right"/>
              <w:ind w:right="116"/>
              <w:spacing w:after="0"/>
              <w:rPr>
                <w:sz w:val="20"/>
                <w:szCs w:val="20"/>
                <w:color w:val="auto"/>
              </w:rPr>
            </w:pPr>
            <w:r>
              <w:rPr>
                <w:rFonts w:ascii="Courier New" w:cs="Courier New" w:eastAsia="Courier New" w:hAnsi="Courier New"/>
                <w:sz w:val="17"/>
                <w:szCs w:val="17"/>
                <w:color w:val="auto"/>
                <w:w w:val="95"/>
              </w:rPr>
              <w:t>(104,514)</w:t>
            </w:r>
          </w:p>
        </w:tc>
        <w:tc>
          <w:tcPr>
            <w:tcW w:w="15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(42,180)</w:t>
            </w:r>
          </w:p>
        </w:tc>
        <w:tc>
          <w:tcPr>
            <w:tcW w:w="1300" w:type="dxa"/>
            <w:vAlign w:val="bottom"/>
          </w:tcPr>
          <w:p>
            <w:pPr>
              <w:jc w:val="right"/>
              <w:spacing w:after="0"/>
              <w:rPr>
                <w:sz w:val="20"/>
                <w:szCs w:val="20"/>
                <w:color w:val="auto"/>
              </w:rPr>
            </w:pPr>
            <w:r>
              <w:rPr>
                <w:rFonts w:ascii="Courier New" w:cs="Courier New" w:eastAsia="Courier New" w:hAnsi="Courier New"/>
                <w:sz w:val="17"/>
                <w:szCs w:val="17"/>
                <w:color w:val="auto"/>
              </w:rPr>
              <w:t>(313,289)</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440" w:type="dxa"/>
            <w:vAlign w:val="bottom"/>
          </w:tcPr>
          <w:p>
            <w:pPr>
              <w:spacing w:after="0"/>
              <w:rPr>
                <w:sz w:val="16"/>
                <w:szCs w:val="16"/>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2,399</w:t>
            </w:r>
          </w:p>
        </w:tc>
        <w:tc>
          <w:tcPr>
            <w:tcW w:w="400" w:type="dxa"/>
            <w:vAlign w:val="bottom"/>
          </w:tcPr>
          <w:p>
            <w:pPr>
              <w:spacing w:after="0"/>
              <w:rPr>
                <w:sz w:val="16"/>
                <w:szCs w:val="16"/>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607</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5,760</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1,995</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4720" w:type="dxa"/>
            <w:vAlign w:val="bottom"/>
          </w:tcPr>
          <w:p>
            <w:pPr>
              <w:spacing w:after="0"/>
              <w:rPr>
                <w:sz w:val="20"/>
                <w:szCs w:val="20"/>
                <w:color w:val="auto"/>
              </w:rPr>
            </w:pPr>
            <w:r>
              <w:rPr>
                <w:rFonts w:ascii="Courier New" w:cs="Courier New" w:eastAsia="Courier New" w:hAnsi="Courier New"/>
                <w:sz w:val="17"/>
                <w:szCs w:val="17"/>
                <w:color w:val="auto"/>
              </w:rPr>
              <w:t>Net loss</w:t>
            </w:r>
          </w:p>
        </w:tc>
        <w:tc>
          <w:tcPr>
            <w:tcW w:w="4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(7,680)</w:t>
            </w:r>
          </w:p>
        </w:tc>
        <w:tc>
          <w:tcPr>
            <w:tcW w:w="1500" w:type="dxa"/>
            <w:vAlign w:val="bottom"/>
            <w:gridSpan w:val="2"/>
          </w:tcPr>
          <w:p>
            <w:pPr>
              <w:jc w:val="right"/>
              <w:ind w:right="116"/>
              <w:spacing w:after="0"/>
              <w:rPr>
                <w:sz w:val="20"/>
                <w:szCs w:val="20"/>
                <w:color w:val="auto"/>
              </w:rPr>
            </w:pPr>
            <w:r>
              <w:rPr>
                <w:rFonts w:ascii="Courier New" w:cs="Courier New" w:eastAsia="Courier New" w:hAnsi="Courier New"/>
                <w:sz w:val="17"/>
                <w:szCs w:val="17"/>
                <w:color w:val="auto"/>
              </w:rPr>
              <w:t>$(105,121)</w:t>
            </w:r>
          </w:p>
        </w:tc>
        <w:tc>
          <w:tcPr>
            <w:tcW w:w="15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 (47,940)</w:t>
            </w:r>
          </w:p>
        </w:tc>
        <w:tc>
          <w:tcPr>
            <w:tcW w:w="1300" w:type="dxa"/>
            <w:vAlign w:val="bottom"/>
          </w:tcPr>
          <w:p>
            <w:pPr>
              <w:jc w:val="right"/>
              <w:spacing w:after="0"/>
              <w:rPr>
                <w:sz w:val="20"/>
                <w:szCs w:val="20"/>
                <w:color w:val="auto"/>
              </w:rPr>
            </w:pPr>
            <w:r>
              <w:rPr>
                <w:rFonts w:ascii="Courier New" w:cs="Courier New" w:eastAsia="Courier New" w:hAnsi="Courier New"/>
                <w:sz w:val="17"/>
                <w:szCs w:val="17"/>
                <w:color w:val="auto"/>
              </w:rPr>
              <w:t>$(315,284)</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4720" w:type="dxa"/>
            <w:vAlign w:val="bottom"/>
          </w:tcPr>
          <w:p>
            <w:pPr>
              <w:spacing w:after="0"/>
              <w:rPr>
                <w:sz w:val="20"/>
                <w:szCs w:val="20"/>
                <w:color w:val="auto"/>
              </w:rPr>
            </w:pPr>
            <w:r>
              <w:rPr>
                <w:rFonts w:ascii="Courier New" w:cs="Courier New" w:eastAsia="Courier New" w:hAnsi="Courier New"/>
                <w:sz w:val="17"/>
                <w:szCs w:val="17"/>
                <w:color w:val="auto"/>
              </w:rPr>
              <w:t>Basic and diluted net loss per share</w:t>
            </w:r>
          </w:p>
        </w:tc>
        <w:tc>
          <w:tcPr>
            <w:tcW w:w="4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06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(0.06)</w:t>
            </w:r>
          </w:p>
        </w:tc>
        <w:tc>
          <w:tcPr>
            <w:tcW w:w="4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(0.92)</w:t>
            </w:r>
          </w:p>
        </w:tc>
        <w:tc>
          <w:tcPr>
            <w:tcW w:w="1500" w:type="dxa"/>
            <w:vAlign w:val="bottom"/>
          </w:tcPr>
          <w:p>
            <w:pPr>
              <w:jc w:val="right"/>
              <w:ind w:right="116"/>
              <w:spacing w:after="0"/>
              <w:rPr>
                <w:sz w:val="20"/>
                <w:szCs w:val="20"/>
                <w:color w:val="auto"/>
              </w:rPr>
            </w:pPr>
            <w:r>
              <w:rPr>
                <w:rFonts w:ascii="Courier New" w:cs="Courier New" w:eastAsia="Courier New" w:hAnsi="Courier New"/>
                <w:sz w:val="17"/>
                <w:szCs w:val="17"/>
                <w:color w:val="auto"/>
              </w:rPr>
              <w:t>$   (0.40)</w:t>
            </w:r>
          </w:p>
        </w:tc>
        <w:tc>
          <w:tcPr>
            <w:tcW w:w="1300" w:type="dxa"/>
            <w:vAlign w:val="bottom"/>
          </w:tcPr>
          <w:p>
            <w:pPr>
              <w:jc w:val="right"/>
              <w:spacing w:after="0"/>
              <w:rPr>
                <w:sz w:val="20"/>
                <w:szCs w:val="20"/>
                <w:color w:val="auto"/>
              </w:rPr>
            </w:pPr>
            <w:r>
              <w:rPr>
                <w:rFonts w:ascii="Courier New" w:cs="Courier New" w:eastAsia="Courier New" w:hAnsi="Courier New"/>
                <w:sz w:val="17"/>
                <w:szCs w:val="17"/>
                <w:color w:val="auto"/>
              </w:rPr>
              <w:t>$   (2.77)</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4720" w:type="dxa"/>
            <w:vAlign w:val="bottom"/>
          </w:tcPr>
          <w:p>
            <w:pPr>
              <w:spacing w:after="0"/>
              <w:rPr>
                <w:sz w:val="20"/>
                <w:szCs w:val="20"/>
                <w:color w:val="auto"/>
              </w:rPr>
            </w:pPr>
            <w:r>
              <w:rPr>
                <w:rFonts w:ascii="Courier New" w:cs="Courier New" w:eastAsia="Courier New" w:hAnsi="Courier New"/>
                <w:sz w:val="17"/>
                <w:szCs w:val="17"/>
                <w:color w:val="auto"/>
              </w:rPr>
              <w:t>Weighted average shares -- basic and diluted</w:t>
            </w:r>
          </w:p>
        </w:tc>
        <w:tc>
          <w:tcPr>
            <w:tcW w:w="440" w:type="dxa"/>
            <w:vAlign w:val="bottom"/>
          </w:tcPr>
          <w:p>
            <w:pPr>
              <w:spacing w:after="0"/>
              <w:rPr>
                <w:sz w:val="24"/>
                <w:szCs w:val="24"/>
                <w:color w:val="auto"/>
              </w:rPr>
            </w:pPr>
          </w:p>
        </w:tc>
        <w:tc>
          <w:tcPr>
            <w:tcW w:w="10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119,577</w:t>
            </w:r>
          </w:p>
        </w:tc>
        <w:tc>
          <w:tcPr>
            <w:tcW w:w="400" w:type="dxa"/>
            <w:vAlign w:val="bottom"/>
          </w:tcPr>
          <w:p>
            <w:pPr>
              <w:spacing w:after="0"/>
              <w:rPr>
                <w:sz w:val="24"/>
                <w:szCs w:val="24"/>
                <w:color w:val="auto"/>
              </w:rPr>
            </w:pPr>
          </w:p>
        </w:tc>
        <w:tc>
          <w:tcPr>
            <w:tcW w:w="11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114,787</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118,851</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113,673</w:t>
            </w:r>
          </w:p>
        </w:tc>
      </w:tr>
      <w:tr>
        <w:trPr>
          <w:trHeight w:val="193"/>
        </w:trPr>
        <w:tc>
          <w:tcPr>
            <w:tcW w:w="4720" w:type="dxa"/>
            <w:vAlign w:val="bottom"/>
          </w:tcPr>
          <w:p>
            <w:pPr>
              <w:spacing w:after="0"/>
              <w:rPr>
                <w:sz w:val="16"/>
                <w:szCs w:val="16"/>
                <w:color w:val="auto"/>
              </w:rPr>
            </w:pP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13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bl>
    <w:p>
      <w:pPr>
        <w:sectPr>
          <w:pgSz w:w="11900" w:h="16838" w:orient="portrait"/>
          <w:cols w:equalWidth="0" w:num="1">
            <w:col w:w="10520"/>
          </w:cols>
          <w:pgMar w:left="240" w:top="496" w:right="1139" w:bottom="1440" w:gutter="0" w:footer="0" w:header="0"/>
        </w:sectPr>
      </w:pPr>
    </w:p>
    <w:bookmarkStart w:id="7" w:name="page8"/>
    <w:bookmarkEnd w:id="7"/>
    <w:p>
      <w:pPr>
        <w:jc w:val="center"/>
        <w:ind w:right="3400"/>
        <w:spacing w:after="0"/>
        <w:rPr>
          <w:sz w:val="20"/>
          <w:szCs w:val="20"/>
          <w:color w:val="auto"/>
        </w:rPr>
      </w:pPr>
      <w:r>
        <w:rPr>
          <w:rFonts w:ascii="Courier New" w:cs="Courier New" w:eastAsia="Courier New" w:hAnsi="Courier New"/>
          <w:sz w:val="17"/>
          <w:szCs w:val="17"/>
          <w:color w:val="auto"/>
        </w:rPr>
        <w:t>MARVELL TECHNOLOGY GROUP LTD.</w:t>
      </w:r>
    </w:p>
    <w:p>
      <w:pPr>
        <w:jc w:val="center"/>
        <w:ind w:right="3400"/>
        <w:spacing w:after="0"/>
        <w:rPr>
          <w:sz w:val="20"/>
          <w:szCs w:val="20"/>
          <w:color w:val="auto"/>
        </w:rPr>
      </w:pPr>
      <w:r>
        <w:rPr>
          <w:rFonts w:ascii="Courier New" w:cs="Courier New" w:eastAsia="Courier New" w:hAnsi="Courier New"/>
          <w:sz w:val="17"/>
          <w:szCs w:val="17"/>
          <w:color w:val="auto"/>
        </w:rPr>
        <w:t>PRO FORMA CONSOLIDATED STATEMENTS OF OPERATIONS</w:t>
      </w:r>
    </w:p>
    <w:p>
      <w:pPr>
        <w:jc w:val="center"/>
        <w:ind w:right="3400"/>
        <w:spacing w:after="0"/>
        <w:rPr>
          <w:sz w:val="20"/>
          <w:szCs w:val="20"/>
          <w:color w:val="auto"/>
        </w:rPr>
      </w:pPr>
      <w:r>
        <w:rPr>
          <w:rFonts w:ascii="Courier New" w:cs="Courier New" w:eastAsia="Courier New" w:hAnsi="Courier New"/>
          <w:sz w:val="17"/>
          <w:szCs w:val="17"/>
          <w:color w:val="auto"/>
        </w:rPr>
        <w:t>(UNAUDITED)</w:t>
      </w:r>
    </w:p>
    <w:tbl>
      <w:tblPr>
        <w:tblLayout w:type="fixed"/>
        <w:tblInd w:w="0" w:type="dxa"/>
        <w:tblCellMar>
          <w:top w:w="0" w:type="dxa"/>
          <w:left w:w="0" w:type="dxa"/>
          <w:bottom w:w="0" w:type="dxa"/>
          <w:right w:w="0" w:type="dxa"/>
        </w:tblCellMar>
      </w:tblPr>
      <w:tr>
        <w:trPr>
          <w:trHeight w:val="193"/>
        </w:trPr>
        <w:tc>
          <w:tcPr>
            <w:tcW w:w="6720" w:type="dxa"/>
            <w:vAlign w:val="bottom"/>
            <w:gridSpan w:val="3"/>
          </w:tcPr>
          <w:p>
            <w:pPr>
              <w:jc w:val="right"/>
              <w:ind w:right="616"/>
              <w:spacing w:after="0"/>
              <w:rPr>
                <w:sz w:val="20"/>
                <w:szCs w:val="20"/>
                <w:color w:val="auto"/>
              </w:rPr>
            </w:pPr>
            <w:r>
              <w:rPr>
                <w:rFonts w:ascii="Courier New" w:cs="Courier New" w:eastAsia="Courier New" w:hAnsi="Courier New"/>
                <w:sz w:val="17"/>
                <w:szCs w:val="17"/>
                <w:color w:val="auto"/>
              </w:rPr>
              <w:t>(IN THOUSANDS, EXCEPT PER SHARE AMOUNTS)</w:t>
            </w:r>
          </w:p>
        </w:tc>
        <w:tc>
          <w:tcPr>
            <w:tcW w:w="5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900" w:type="dxa"/>
            <w:vAlign w:val="bottom"/>
          </w:tcPr>
          <w:p>
            <w:pPr>
              <w:spacing w:after="0"/>
              <w:rPr>
                <w:sz w:val="16"/>
                <w:szCs w:val="16"/>
                <w:color w:val="auto"/>
              </w:rPr>
            </w:pPr>
          </w:p>
        </w:tc>
      </w:tr>
      <w:tr>
        <w:trPr>
          <w:trHeight w:val="771"/>
        </w:trPr>
        <w:tc>
          <w:tcPr>
            <w:tcW w:w="50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860" w:type="dxa"/>
            <w:vAlign w:val="bottom"/>
            <w:gridSpan w:val="3"/>
          </w:tcPr>
          <w:p>
            <w:pPr>
              <w:jc w:val="right"/>
              <w:ind w:right="816"/>
              <w:spacing w:after="0"/>
              <w:rPr>
                <w:sz w:val="20"/>
                <w:szCs w:val="20"/>
                <w:color w:val="auto"/>
              </w:rPr>
            </w:pPr>
            <w:r>
              <w:rPr>
                <w:rFonts w:ascii="Courier New" w:cs="Courier New" w:eastAsia="Courier New" w:hAnsi="Courier New"/>
                <w:sz w:val="17"/>
                <w:szCs w:val="17"/>
                <w:color w:val="auto"/>
              </w:rPr>
              <w:t>THREE MONTHS ENDED</w:t>
            </w:r>
          </w:p>
        </w:tc>
        <w:tc>
          <w:tcPr>
            <w:tcW w:w="560" w:type="dxa"/>
            <w:vAlign w:val="bottom"/>
          </w:tcPr>
          <w:p>
            <w:pPr>
              <w:spacing w:after="0"/>
              <w:rPr>
                <w:sz w:val="24"/>
                <w:szCs w:val="24"/>
                <w:color w:val="auto"/>
              </w:rPr>
            </w:pPr>
          </w:p>
        </w:tc>
        <w:tc>
          <w:tcPr>
            <w:tcW w:w="2540" w:type="dxa"/>
            <w:vAlign w:val="bottom"/>
            <w:gridSpan w:val="3"/>
          </w:tcPr>
          <w:p>
            <w:pPr>
              <w:jc w:val="right"/>
              <w:ind w:right="516"/>
              <w:spacing w:after="0"/>
              <w:rPr>
                <w:sz w:val="20"/>
                <w:szCs w:val="20"/>
                <w:color w:val="auto"/>
              </w:rPr>
            </w:pPr>
            <w:r>
              <w:rPr>
                <w:rFonts w:ascii="Courier New" w:cs="Courier New" w:eastAsia="Courier New" w:hAnsi="Courier New"/>
                <w:sz w:val="17"/>
                <w:szCs w:val="17"/>
                <w:color w:val="auto"/>
              </w:rPr>
              <w:t>NINE MONTHS ENDED</w:t>
            </w:r>
          </w:p>
        </w:tc>
      </w:tr>
      <w:tr>
        <w:trPr>
          <w:trHeight w:val="193"/>
        </w:trPr>
        <w:tc>
          <w:tcPr>
            <w:tcW w:w="5020" w:type="dxa"/>
            <w:vAlign w:val="bottom"/>
          </w:tcPr>
          <w:p>
            <w:pPr>
              <w:spacing w:after="0"/>
              <w:rPr>
                <w:sz w:val="16"/>
                <w:szCs w:val="16"/>
                <w:color w:val="auto"/>
              </w:rPr>
            </w:pPr>
          </w:p>
        </w:tc>
        <w:tc>
          <w:tcPr>
            <w:tcW w:w="3400" w:type="dxa"/>
            <w:vAlign w:val="bottom"/>
            <w:gridSpan w:val="4"/>
          </w:tcPr>
          <w:p>
            <w:pPr>
              <w:jc w:val="right"/>
              <w:ind w:right="216"/>
              <w:spacing w:after="0"/>
              <w:rPr>
                <w:sz w:val="20"/>
                <w:szCs w:val="20"/>
                <w:color w:val="auto"/>
              </w:rPr>
            </w:pPr>
            <w:r>
              <w:rPr>
                <w:rFonts w:ascii="Courier New" w:cs="Courier New" w:eastAsia="Courier New" w:hAnsi="Courier New"/>
                <w:sz w:val="17"/>
                <w:szCs w:val="17"/>
                <w:color w:val="auto"/>
              </w:rPr>
              <w:t>----------------------------</w:t>
            </w:r>
          </w:p>
        </w:tc>
        <w:tc>
          <w:tcPr>
            <w:tcW w:w="3100" w:type="dxa"/>
            <w:vAlign w:val="bottom"/>
            <w:gridSpan w:val="4"/>
          </w:tcPr>
          <w:p>
            <w:pPr>
              <w:jc w:val="right"/>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NOVEMBER 2,</w:t>
            </w:r>
          </w:p>
        </w:tc>
        <w:tc>
          <w:tcPr>
            <w:tcW w:w="17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OCTOBER 27,</w:t>
            </w:r>
          </w:p>
        </w:tc>
        <w:tc>
          <w:tcPr>
            <w:tcW w:w="17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NOVEMBER 2,</w:t>
            </w:r>
          </w:p>
        </w:tc>
        <w:tc>
          <w:tcPr>
            <w:tcW w:w="14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OCTOBER 27,</w:t>
            </w:r>
          </w:p>
        </w:tc>
      </w:tr>
      <w:tr>
        <w:trPr>
          <w:trHeight w:val="193"/>
        </w:trPr>
        <w:tc>
          <w:tcPr>
            <w:tcW w:w="50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60" w:type="dxa"/>
            <w:vAlign w:val="bottom"/>
          </w:tcPr>
          <w:p>
            <w:pPr>
              <w:jc w:val="right"/>
              <w:ind w:right="616"/>
              <w:spacing w:after="0"/>
              <w:rPr>
                <w:sz w:val="20"/>
                <w:szCs w:val="20"/>
                <w:color w:val="auto"/>
              </w:rPr>
            </w:pPr>
            <w:r>
              <w:rPr>
                <w:rFonts w:ascii="Courier New" w:cs="Courier New" w:eastAsia="Courier New" w:hAnsi="Courier New"/>
                <w:sz w:val="17"/>
                <w:szCs w:val="17"/>
                <w:color w:val="auto"/>
              </w:rPr>
              <w:t>2002</w:t>
            </w:r>
          </w:p>
        </w:tc>
        <w:tc>
          <w:tcPr>
            <w:tcW w:w="500" w:type="dxa"/>
            <w:vAlign w:val="bottom"/>
          </w:tcPr>
          <w:p>
            <w:pPr>
              <w:spacing w:after="0"/>
              <w:rPr>
                <w:sz w:val="16"/>
                <w:szCs w:val="16"/>
                <w:color w:val="auto"/>
              </w:rPr>
            </w:pPr>
          </w:p>
        </w:tc>
        <w:tc>
          <w:tcPr>
            <w:tcW w:w="120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2001</w:t>
            </w:r>
          </w:p>
        </w:tc>
        <w:tc>
          <w:tcPr>
            <w:tcW w:w="560" w:type="dxa"/>
            <w:vAlign w:val="bottom"/>
          </w:tcPr>
          <w:p>
            <w:pPr>
              <w:spacing w:after="0"/>
              <w:rPr>
                <w:sz w:val="16"/>
                <w:szCs w:val="16"/>
                <w:color w:val="auto"/>
              </w:rPr>
            </w:pPr>
          </w:p>
        </w:tc>
        <w:tc>
          <w:tcPr>
            <w:tcW w:w="1140" w:type="dxa"/>
            <w:vAlign w:val="bottom"/>
          </w:tcPr>
          <w:p>
            <w:pPr>
              <w:jc w:val="right"/>
              <w:ind w:right="516"/>
              <w:spacing w:after="0"/>
              <w:rPr>
                <w:sz w:val="20"/>
                <w:szCs w:val="20"/>
                <w:color w:val="auto"/>
              </w:rPr>
            </w:pPr>
            <w:r>
              <w:rPr>
                <w:rFonts w:ascii="Courier New" w:cs="Courier New" w:eastAsia="Courier New" w:hAnsi="Courier New"/>
                <w:sz w:val="17"/>
                <w:szCs w:val="17"/>
                <w:color w:val="auto"/>
              </w:rPr>
              <w:t>2002</w:t>
            </w:r>
          </w:p>
        </w:tc>
        <w:tc>
          <w:tcPr>
            <w:tcW w:w="500" w:type="dxa"/>
            <w:vAlign w:val="bottom"/>
          </w:tcPr>
          <w:p>
            <w:pPr>
              <w:spacing w:after="0"/>
              <w:rPr>
                <w:sz w:val="16"/>
                <w:szCs w:val="16"/>
                <w:color w:val="auto"/>
              </w:rPr>
            </w:pPr>
          </w:p>
        </w:tc>
        <w:tc>
          <w:tcPr>
            <w:tcW w:w="9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2001</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02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$ 135,944</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73,100</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$ 354,438</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$ 205,979</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62,925</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33,491</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162,738</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94,275</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73,019</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39,609</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191,700</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111,704</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5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900" w:type="dxa"/>
            <w:vAlign w:val="bottom"/>
          </w:tcPr>
          <w:p>
            <w:pPr>
              <w:spacing w:after="0"/>
              <w:rPr>
                <w:sz w:val="16"/>
                <w:szCs w:val="16"/>
                <w:color w:val="auto"/>
              </w:rPr>
            </w:pPr>
          </w:p>
        </w:tc>
      </w:tr>
      <w:tr>
        <w:trPr>
          <w:trHeight w:val="193"/>
        </w:trPr>
        <w:tc>
          <w:tcPr>
            <w:tcW w:w="5020" w:type="dxa"/>
            <w:vAlign w:val="bottom"/>
          </w:tcPr>
          <w:p>
            <w:pPr>
              <w:ind w:left="500"/>
              <w:spacing w:after="0"/>
              <w:rPr>
                <w:sz w:val="20"/>
                <w:szCs w:val="20"/>
                <w:color w:val="auto"/>
              </w:rPr>
            </w:pPr>
            <w:r>
              <w:rPr>
                <w:rFonts w:ascii="Courier New" w:cs="Courier New" w:eastAsia="Courier New" w:hAnsi="Courier New"/>
                <w:sz w:val="17"/>
                <w:szCs w:val="17"/>
                <w:color w:val="auto"/>
              </w:rPr>
              <w:t>Research and development</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38,817</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24,072</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103,025</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65,981</w:t>
            </w:r>
          </w:p>
        </w:tc>
      </w:tr>
      <w:tr>
        <w:trPr>
          <w:trHeight w:val="193"/>
        </w:trPr>
        <w:tc>
          <w:tcPr>
            <w:tcW w:w="5020" w:type="dxa"/>
            <w:vAlign w:val="bottom"/>
          </w:tcPr>
          <w:p>
            <w:pPr>
              <w:ind w:left="500"/>
              <w:spacing w:after="0"/>
              <w:rPr>
                <w:sz w:val="20"/>
                <w:szCs w:val="20"/>
                <w:color w:val="auto"/>
              </w:rPr>
            </w:pPr>
            <w:r>
              <w:rPr>
                <w:rFonts w:ascii="Courier New" w:cs="Courier New" w:eastAsia="Courier New" w:hAnsi="Courier New"/>
                <w:sz w:val="17"/>
                <w:szCs w:val="17"/>
                <w:color w:val="auto"/>
              </w:rPr>
              <w:t>Selling and marketing</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12,298</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9,980</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35,631</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29,628</w:t>
            </w:r>
          </w:p>
        </w:tc>
      </w:tr>
      <w:tr>
        <w:trPr>
          <w:trHeight w:val="193"/>
        </w:trPr>
        <w:tc>
          <w:tcPr>
            <w:tcW w:w="5020" w:type="dxa"/>
            <w:vAlign w:val="bottom"/>
          </w:tcPr>
          <w:p>
            <w:pPr>
              <w:ind w:left="500"/>
              <w:spacing w:after="0"/>
              <w:rPr>
                <w:sz w:val="20"/>
                <w:szCs w:val="20"/>
                <w:color w:val="auto"/>
              </w:rPr>
            </w:pPr>
            <w:r>
              <w:rPr>
                <w:rFonts w:ascii="Courier New" w:cs="Courier New" w:eastAsia="Courier New" w:hAnsi="Courier New"/>
                <w:sz w:val="17"/>
                <w:szCs w:val="17"/>
                <w:color w:val="auto"/>
              </w:rPr>
              <w:t>General and administrative</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3,582</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3,329</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10,747</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10,048</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ind w:left="900"/>
              <w:spacing w:after="0"/>
              <w:rPr>
                <w:sz w:val="20"/>
                <w:szCs w:val="20"/>
                <w:color w:val="auto"/>
              </w:rPr>
            </w:pPr>
            <w:r>
              <w:rPr>
                <w:rFonts w:ascii="Courier New" w:cs="Courier New" w:eastAsia="Courier New" w:hAnsi="Courier New"/>
                <w:sz w:val="17"/>
                <w:szCs w:val="17"/>
                <w:color w:val="auto"/>
              </w:rPr>
              <w:t>Total operating expenses</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54,697</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37,381</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149,403</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105,657</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Operating income</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18,322</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2,228</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42,297</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6,047</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1,670</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1,817</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5,715</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7,243</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Income before income taxes</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19,992</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4,045</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48,012</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13,290</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2,399</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607</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5,760</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1,995</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Pro forma net income</w:t>
            </w:r>
          </w:p>
        </w:tc>
        <w:tc>
          <w:tcPr>
            <w:tcW w:w="5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17,593</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3,438</w:t>
            </w:r>
          </w:p>
        </w:tc>
        <w:tc>
          <w:tcPr>
            <w:tcW w:w="5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42,252</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11,295</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020" w:type="dxa"/>
            <w:vAlign w:val="bottom"/>
          </w:tcPr>
          <w:p>
            <w:pPr>
              <w:spacing w:after="0"/>
              <w:rPr>
                <w:sz w:val="20"/>
                <w:szCs w:val="20"/>
                <w:color w:val="auto"/>
              </w:rPr>
            </w:pPr>
            <w:r>
              <w:rPr>
                <w:rFonts w:ascii="Courier New" w:cs="Courier New" w:eastAsia="Courier New" w:hAnsi="Courier New"/>
                <w:sz w:val="17"/>
                <w:szCs w:val="17"/>
                <w:color w:val="auto"/>
              </w:rPr>
              <w:t>Basic pro forma net income per share</w:t>
            </w:r>
          </w:p>
        </w:tc>
        <w:tc>
          <w:tcPr>
            <w:tcW w:w="5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0.15</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0.03</w:t>
            </w:r>
          </w:p>
        </w:tc>
        <w:tc>
          <w:tcPr>
            <w:tcW w:w="5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0.36</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0.10</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Diluted pro forma net income per share</w:t>
            </w:r>
          </w:p>
        </w:tc>
        <w:tc>
          <w:tcPr>
            <w:tcW w:w="5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0.14</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0.03</w:t>
            </w:r>
          </w:p>
        </w:tc>
        <w:tc>
          <w:tcPr>
            <w:tcW w:w="5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0.33</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0.09</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020" w:type="dxa"/>
            <w:vAlign w:val="bottom"/>
          </w:tcPr>
          <w:p>
            <w:pPr>
              <w:spacing w:after="0"/>
              <w:rPr>
                <w:sz w:val="20"/>
                <w:szCs w:val="20"/>
                <w:color w:val="auto"/>
              </w:rPr>
            </w:pPr>
            <w:r>
              <w:rPr>
                <w:rFonts w:ascii="Courier New" w:cs="Courier New" w:eastAsia="Courier New" w:hAnsi="Courier New"/>
                <w:sz w:val="17"/>
                <w:szCs w:val="17"/>
                <w:color w:val="auto"/>
              </w:rPr>
              <w:t>Weighted average shares -- basic</w:t>
            </w:r>
          </w:p>
        </w:tc>
        <w:tc>
          <w:tcPr>
            <w:tcW w:w="540" w:type="dxa"/>
            <w:vAlign w:val="bottom"/>
          </w:tcPr>
          <w:p>
            <w:pPr>
              <w:spacing w:after="0"/>
              <w:rPr>
                <w:sz w:val="24"/>
                <w:szCs w:val="24"/>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119,577</w:t>
            </w:r>
          </w:p>
        </w:tc>
        <w:tc>
          <w:tcPr>
            <w:tcW w:w="500" w:type="dxa"/>
            <w:vAlign w:val="bottom"/>
          </w:tcPr>
          <w:p>
            <w:pPr>
              <w:spacing w:after="0"/>
              <w:rPr>
                <w:sz w:val="24"/>
                <w:szCs w:val="24"/>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114,787</w:t>
            </w:r>
          </w:p>
        </w:tc>
        <w:tc>
          <w:tcPr>
            <w:tcW w:w="560" w:type="dxa"/>
            <w:vAlign w:val="bottom"/>
          </w:tcPr>
          <w:p>
            <w:pPr>
              <w:spacing w:after="0"/>
              <w:rPr>
                <w:sz w:val="24"/>
                <w:szCs w:val="24"/>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118,851</w:t>
            </w:r>
          </w:p>
        </w:tc>
        <w:tc>
          <w:tcPr>
            <w:tcW w:w="500" w:type="dxa"/>
            <w:vAlign w:val="bottom"/>
          </w:tcPr>
          <w:p>
            <w:pPr>
              <w:spacing w:after="0"/>
              <w:rPr>
                <w:sz w:val="24"/>
                <w:szCs w:val="24"/>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113,673</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Weighted average shares -- diluted</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127,589</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127,249</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129,891</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126,616</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020" w:type="dxa"/>
            <w:vAlign w:val="bottom"/>
          </w:tcPr>
          <w:p>
            <w:pPr>
              <w:spacing w:after="0"/>
              <w:rPr>
                <w:sz w:val="20"/>
                <w:szCs w:val="20"/>
                <w:color w:val="auto"/>
              </w:rPr>
            </w:pPr>
            <w:r>
              <w:rPr>
                <w:rFonts w:ascii="Courier New" w:cs="Courier New" w:eastAsia="Courier New" w:hAnsi="Courier New"/>
                <w:sz w:val="17"/>
                <w:szCs w:val="17"/>
                <w:color w:val="auto"/>
              </w:rPr>
              <w:t>RECONCILIATION TO GAAP NET LOSS:</w:t>
            </w:r>
          </w:p>
        </w:tc>
        <w:tc>
          <w:tcPr>
            <w:tcW w:w="5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900" w:type="dxa"/>
            <w:vAlign w:val="bottom"/>
          </w:tcPr>
          <w:p>
            <w:pPr>
              <w:spacing w:after="0"/>
              <w:rPr>
                <w:sz w:val="24"/>
                <w:szCs w:val="24"/>
                <w:color w:val="auto"/>
              </w:rPr>
            </w:pPr>
          </w:p>
        </w:tc>
      </w:tr>
      <w:tr>
        <w:trPr>
          <w:trHeight w:val="385"/>
        </w:trPr>
        <w:tc>
          <w:tcPr>
            <w:tcW w:w="5020" w:type="dxa"/>
            <w:vAlign w:val="bottom"/>
          </w:tcPr>
          <w:p>
            <w:pPr>
              <w:spacing w:after="0"/>
              <w:rPr>
                <w:sz w:val="20"/>
                <w:szCs w:val="20"/>
                <w:color w:val="auto"/>
              </w:rPr>
            </w:pPr>
            <w:r>
              <w:rPr>
                <w:rFonts w:ascii="Courier New" w:cs="Courier New" w:eastAsia="Courier New" w:hAnsi="Courier New"/>
                <w:sz w:val="17"/>
                <w:szCs w:val="17"/>
                <w:color w:val="auto"/>
              </w:rPr>
              <w:t>Pro forma net income</w:t>
            </w:r>
          </w:p>
        </w:tc>
        <w:tc>
          <w:tcPr>
            <w:tcW w:w="5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17,593</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3,438</w:t>
            </w:r>
          </w:p>
        </w:tc>
        <w:tc>
          <w:tcPr>
            <w:tcW w:w="56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42,252</w:t>
            </w:r>
          </w:p>
        </w:tc>
        <w:tc>
          <w:tcPr>
            <w:tcW w:w="50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11,295</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Amortization of stock-based compensation</w:t>
            </w:r>
          </w:p>
        </w:tc>
        <w:tc>
          <w:tcPr>
            <w:tcW w:w="540" w:type="dxa"/>
            <w:vAlign w:val="bottom"/>
          </w:tcPr>
          <w:p>
            <w:pPr>
              <w:spacing w:after="0"/>
              <w:rPr>
                <w:sz w:val="16"/>
                <w:szCs w:val="16"/>
                <w:color w:val="auto"/>
              </w:rPr>
            </w:pPr>
          </w:p>
        </w:tc>
        <w:tc>
          <w:tcPr>
            <w:tcW w:w="11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(2,187)</w:t>
            </w:r>
          </w:p>
        </w:tc>
        <w:tc>
          <w:tcPr>
            <w:tcW w:w="500" w:type="dxa"/>
            <w:vAlign w:val="bottom"/>
          </w:tcPr>
          <w:p>
            <w:pPr>
              <w:spacing w:after="0"/>
              <w:rPr>
                <w:sz w:val="16"/>
                <w:szCs w:val="16"/>
                <w:color w:val="auto"/>
              </w:rPr>
            </w:pPr>
          </w:p>
        </w:tc>
        <w:tc>
          <w:tcPr>
            <w:tcW w:w="120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(4,051)</w:t>
            </w:r>
          </w:p>
        </w:tc>
        <w:tc>
          <w:tcPr>
            <w:tcW w:w="560" w:type="dxa"/>
            <w:vAlign w:val="bottom"/>
          </w:tcPr>
          <w:p>
            <w:pPr>
              <w:spacing w:after="0"/>
              <w:rPr>
                <w:sz w:val="16"/>
                <w:szCs w:val="16"/>
                <w:color w:val="auto"/>
              </w:rPr>
            </w:pPr>
          </w:p>
        </w:tc>
        <w:tc>
          <w:tcPr>
            <w:tcW w:w="114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(6,661)</w:t>
            </w:r>
          </w:p>
        </w:tc>
        <w:tc>
          <w:tcPr>
            <w:tcW w:w="50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7"/>
                <w:szCs w:val="17"/>
                <w:color w:val="auto"/>
              </w:rPr>
              <w:t>(12,259)</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Amortization of goodwill and acquired</w:t>
            </w:r>
          </w:p>
        </w:tc>
        <w:tc>
          <w:tcPr>
            <w:tcW w:w="5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12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900" w:type="dxa"/>
            <w:vAlign w:val="bottom"/>
          </w:tcPr>
          <w:p>
            <w:pPr>
              <w:spacing w:after="0"/>
              <w:rPr>
                <w:sz w:val="16"/>
                <w:szCs w:val="16"/>
                <w:color w:val="auto"/>
              </w:rPr>
            </w:pPr>
          </w:p>
        </w:tc>
      </w:tr>
      <w:tr>
        <w:trPr>
          <w:trHeight w:val="193"/>
        </w:trPr>
        <w:tc>
          <w:tcPr>
            <w:tcW w:w="5020" w:type="dxa"/>
            <w:vAlign w:val="bottom"/>
          </w:tcPr>
          <w:p>
            <w:pPr>
              <w:ind w:left="500"/>
              <w:spacing w:after="0"/>
              <w:rPr>
                <w:sz w:val="20"/>
                <w:szCs w:val="20"/>
                <w:color w:val="auto"/>
              </w:rPr>
            </w:pPr>
            <w:r>
              <w:rPr>
                <w:rFonts w:ascii="Courier New" w:cs="Courier New" w:eastAsia="Courier New" w:hAnsi="Courier New"/>
                <w:sz w:val="17"/>
                <w:szCs w:val="17"/>
                <w:color w:val="auto"/>
              </w:rPr>
              <w:t>intangible assets</w:t>
            </w:r>
          </w:p>
        </w:tc>
        <w:tc>
          <w:tcPr>
            <w:tcW w:w="540" w:type="dxa"/>
            <w:vAlign w:val="bottom"/>
          </w:tcPr>
          <w:p>
            <w:pPr>
              <w:spacing w:after="0"/>
              <w:rPr>
                <w:sz w:val="16"/>
                <w:szCs w:val="16"/>
                <w:color w:val="auto"/>
              </w:rPr>
            </w:pPr>
          </w:p>
        </w:tc>
        <w:tc>
          <w:tcPr>
            <w:tcW w:w="11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(21,323)</w:t>
            </w:r>
          </w:p>
        </w:tc>
        <w:tc>
          <w:tcPr>
            <w:tcW w:w="500" w:type="dxa"/>
            <w:vAlign w:val="bottom"/>
          </w:tcPr>
          <w:p>
            <w:pPr>
              <w:spacing w:after="0"/>
              <w:rPr>
                <w:sz w:val="16"/>
                <w:szCs w:val="16"/>
                <w:color w:val="auto"/>
              </w:rPr>
            </w:pPr>
          </w:p>
        </w:tc>
        <w:tc>
          <w:tcPr>
            <w:tcW w:w="1200" w:type="dxa"/>
            <w:vAlign w:val="bottom"/>
          </w:tcPr>
          <w:p>
            <w:pPr>
              <w:jc w:val="right"/>
              <w:ind w:right="216"/>
              <w:spacing w:after="0"/>
              <w:rPr>
                <w:sz w:val="20"/>
                <w:szCs w:val="20"/>
                <w:color w:val="auto"/>
              </w:rPr>
            </w:pPr>
            <w:r>
              <w:rPr>
                <w:rFonts w:ascii="Courier New" w:cs="Courier New" w:eastAsia="Courier New" w:hAnsi="Courier New"/>
                <w:sz w:val="17"/>
                <w:szCs w:val="17"/>
                <w:color w:val="auto"/>
                <w:w w:val="95"/>
              </w:rPr>
              <w:t>(104,508)</w:t>
            </w:r>
          </w:p>
        </w:tc>
        <w:tc>
          <w:tcPr>
            <w:tcW w:w="560" w:type="dxa"/>
            <w:vAlign w:val="bottom"/>
          </w:tcPr>
          <w:p>
            <w:pPr>
              <w:spacing w:after="0"/>
              <w:rPr>
                <w:sz w:val="16"/>
                <w:szCs w:val="16"/>
                <w:color w:val="auto"/>
              </w:rPr>
            </w:pPr>
          </w:p>
        </w:tc>
        <w:tc>
          <w:tcPr>
            <w:tcW w:w="114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(63,969)</w:t>
            </w:r>
          </w:p>
        </w:tc>
        <w:tc>
          <w:tcPr>
            <w:tcW w:w="50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7"/>
                <w:szCs w:val="17"/>
                <w:color w:val="auto"/>
                <w:w w:val="95"/>
              </w:rPr>
              <w:t>(313,524)</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Facilities consolidation charge</w:t>
            </w:r>
          </w:p>
        </w:tc>
        <w:tc>
          <w:tcPr>
            <w:tcW w:w="540" w:type="dxa"/>
            <w:vAlign w:val="bottom"/>
          </w:tcPr>
          <w:p>
            <w:pPr>
              <w:spacing w:after="0"/>
              <w:rPr>
                <w:sz w:val="16"/>
                <w:szCs w:val="16"/>
                <w:color w:val="auto"/>
              </w:rPr>
            </w:pPr>
          </w:p>
        </w:tc>
        <w:tc>
          <w:tcPr>
            <w:tcW w:w="11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(1,763)</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spacing w:after="0"/>
              <w:rPr>
                <w:sz w:val="16"/>
                <w:szCs w:val="16"/>
                <w:color w:val="auto"/>
              </w:rPr>
            </w:pPr>
          </w:p>
        </w:tc>
        <w:tc>
          <w:tcPr>
            <w:tcW w:w="114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(19,562)</w:t>
            </w:r>
          </w:p>
        </w:tc>
        <w:tc>
          <w:tcPr>
            <w:tcW w:w="500" w:type="dxa"/>
            <w:vAlign w:val="bottom"/>
          </w:tcPr>
          <w:p>
            <w:pPr>
              <w:spacing w:after="0"/>
              <w:rPr>
                <w:sz w:val="16"/>
                <w:szCs w:val="16"/>
                <w:color w:val="auto"/>
              </w:rPr>
            </w:pPr>
          </w:p>
        </w:tc>
        <w:tc>
          <w:tcPr>
            <w:tcW w:w="900" w:type="dxa"/>
            <w:vAlign w:val="bottom"/>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Amortization of inventory fair value adjustment</w:t>
            </w:r>
          </w:p>
        </w:tc>
        <w:tc>
          <w:tcPr>
            <w:tcW w:w="540" w:type="dxa"/>
            <w:vAlign w:val="bottom"/>
          </w:tcPr>
          <w:p>
            <w:pPr>
              <w:spacing w:after="0"/>
              <w:rPr>
                <w:sz w:val="16"/>
                <w:szCs w:val="16"/>
                <w:color w:val="auto"/>
              </w:rPr>
            </w:pPr>
          </w:p>
        </w:tc>
        <w:tc>
          <w:tcPr>
            <w:tcW w:w="116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500" w:type="dxa"/>
            <w:vAlign w:val="bottom"/>
          </w:tcPr>
          <w:p>
            <w:pPr>
              <w:spacing w:after="0"/>
              <w:rPr>
                <w:sz w:val="16"/>
                <w:szCs w:val="16"/>
                <w:color w:val="auto"/>
              </w:rPr>
            </w:pPr>
          </w:p>
        </w:tc>
        <w:tc>
          <w:tcPr>
            <w:tcW w:w="120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560" w:type="dxa"/>
            <w:vAlign w:val="bottom"/>
          </w:tcPr>
          <w:p>
            <w:pPr>
              <w:spacing w:after="0"/>
              <w:rPr>
                <w:sz w:val="16"/>
                <w:szCs w:val="16"/>
                <w:color w:val="auto"/>
              </w:rPr>
            </w:pPr>
          </w:p>
        </w:tc>
        <w:tc>
          <w:tcPr>
            <w:tcW w:w="11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500" w:type="dxa"/>
            <w:vAlign w:val="bottom"/>
          </w:tcPr>
          <w:p>
            <w:pPr>
              <w:spacing w:after="0"/>
              <w:rPr>
                <w:sz w:val="16"/>
                <w:szCs w:val="16"/>
                <w:color w:val="auto"/>
              </w:rPr>
            </w:pPr>
          </w:p>
        </w:tc>
        <w:tc>
          <w:tcPr>
            <w:tcW w:w="900" w:type="dxa"/>
            <w:vAlign w:val="bottom"/>
          </w:tcPr>
          <w:p>
            <w:pPr>
              <w:jc w:val="right"/>
              <w:spacing w:after="0"/>
              <w:rPr>
                <w:sz w:val="20"/>
                <w:szCs w:val="20"/>
                <w:color w:val="auto"/>
              </w:rPr>
            </w:pPr>
            <w:r>
              <w:rPr>
                <w:rFonts w:ascii="Courier New" w:cs="Courier New" w:eastAsia="Courier New" w:hAnsi="Courier New"/>
                <w:sz w:val="17"/>
                <w:szCs w:val="17"/>
                <w:color w:val="auto"/>
              </w:rPr>
              <w:t>(796)</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020" w:type="dxa"/>
            <w:vAlign w:val="bottom"/>
          </w:tcPr>
          <w:p>
            <w:pPr>
              <w:spacing w:after="0"/>
              <w:rPr>
                <w:sz w:val="20"/>
                <w:szCs w:val="20"/>
                <w:color w:val="auto"/>
              </w:rPr>
            </w:pPr>
            <w:r>
              <w:rPr>
                <w:rFonts w:ascii="Courier New" w:cs="Courier New" w:eastAsia="Courier New" w:hAnsi="Courier New"/>
                <w:sz w:val="17"/>
                <w:szCs w:val="17"/>
                <w:color w:val="auto"/>
              </w:rPr>
              <w:t>GAAP net loss</w:t>
            </w:r>
          </w:p>
        </w:tc>
        <w:tc>
          <w:tcPr>
            <w:tcW w:w="54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160" w:type="dxa"/>
            <w:vAlign w:val="bottom"/>
          </w:tcPr>
          <w:p>
            <w:pPr>
              <w:jc w:val="right"/>
              <w:ind w:right="216"/>
              <w:spacing w:after="0"/>
              <w:rPr>
                <w:sz w:val="20"/>
                <w:szCs w:val="20"/>
                <w:color w:val="auto"/>
              </w:rPr>
            </w:pPr>
            <w:r>
              <w:rPr>
                <w:rFonts w:ascii="Courier New" w:cs="Courier New" w:eastAsia="Courier New" w:hAnsi="Courier New"/>
                <w:sz w:val="17"/>
                <w:szCs w:val="17"/>
                <w:color w:val="auto"/>
              </w:rPr>
              <w:t>(7,680)</w:t>
            </w:r>
          </w:p>
        </w:tc>
        <w:tc>
          <w:tcPr>
            <w:tcW w:w="17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$(105,121)</w:t>
            </w:r>
          </w:p>
        </w:tc>
        <w:tc>
          <w:tcPr>
            <w:tcW w:w="1700" w:type="dxa"/>
            <w:vAlign w:val="bottom"/>
            <w:gridSpan w:val="2"/>
          </w:tcPr>
          <w:p>
            <w:pPr>
              <w:jc w:val="right"/>
              <w:ind w:right="216"/>
              <w:spacing w:after="0"/>
              <w:rPr>
                <w:sz w:val="20"/>
                <w:szCs w:val="20"/>
                <w:color w:val="auto"/>
              </w:rPr>
            </w:pPr>
            <w:r>
              <w:rPr>
                <w:rFonts w:ascii="Courier New" w:cs="Courier New" w:eastAsia="Courier New" w:hAnsi="Courier New"/>
                <w:sz w:val="17"/>
                <w:szCs w:val="17"/>
                <w:color w:val="auto"/>
              </w:rPr>
              <w:t>$ (47,940)</w:t>
            </w:r>
          </w:p>
        </w:tc>
        <w:tc>
          <w:tcPr>
            <w:tcW w:w="14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$(315,284)</w:t>
            </w:r>
          </w:p>
        </w:tc>
      </w:tr>
      <w:tr>
        <w:trPr>
          <w:trHeight w:val="193"/>
        </w:trPr>
        <w:tc>
          <w:tcPr>
            <w:tcW w:w="5020" w:type="dxa"/>
            <w:vAlign w:val="bottom"/>
          </w:tcPr>
          <w:p>
            <w:pPr>
              <w:spacing w:after="0"/>
              <w:rPr>
                <w:sz w:val="16"/>
                <w:szCs w:val="16"/>
                <w:color w:val="auto"/>
              </w:rPr>
            </w:pP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700" w:type="dxa"/>
            <w:vAlign w:val="bottom"/>
            <w:gridSpan w:val="2"/>
          </w:tcPr>
          <w:p>
            <w:pPr>
              <w:jc w:val="right"/>
              <w:ind w:right="316"/>
              <w:spacing w:after="0"/>
              <w:rPr>
                <w:sz w:val="20"/>
                <w:szCs w:val="20"/>
                <w:color w:val="auto"/>
              </w:rPr>
            </w:pPr>
            <w:r>
              <w:rPr>
                <w:rFonts w:ascii="Courier New" w:cs="Courier New" w:eastAsia="Courier New" w:hAnsi="Courier New"/>
                <w:sz w:val="17"/>
                <w:szCs w:val="17"/>
                <w:color w:val="auto"/>
              </w:rPr>
              <w:t>=========</w:t>
            </w:r>
          </w:p>
        </w:tc>
        <w:tc>
          <w:tcPr>
            <w:tcW w:w="140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bl>
    <w:p>
      <w:pPr>
        <w:spacing w:after="0" w:line="391" w:lineRule="exact"/>
        <w:rPr>
          <w:sz w:val="20"/>
          <w:szCs w:val="20"/>
          <w:color w:val="auto"/>
        </w:rPr>
      </w:pPr>
    </w:p>
    <w:p>
      <w:pPr>
        <w:ind w:right="3500"/>
        <w:spacing w:after="0" w:line="239" w:lineRule="auto"/>
        <w:rPr>
          <w:sz w:val="20"/>
          <w:szCs w:val="20"/>
          <w:color w:val="auto"/>
        </w:rPr>
      </w:pPr>
      <w:r>
        <w:rPr>
          <w:rFonts w:ascii="Courier New" w:cs="Courier New" w:eastAsia="Courier New" w:hAnsi="Courier New"/>
          <w:sz w:val="17"/>
          <w:szCs w:val="17"/>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loss under generally accepted accounting principles with the impact of non cash stock-based compensation charges, charges associated with purchase accounting, and charges for facilities consolidation.</w:t>
      </w:r>
    </w:p>
    <w:p>
      <w:pPr>
        <w:sectPr>
          <w:pgSz w:w="11900" w:h="16838" w:orient="portrait"/>
          <w:cols w:equalWidth="0" w:num="1">
            <w:col w:w="11520"/>
          </w:cols>
          <w:pgMar w:left="240" w:top="496" w:right="139" w:bottom="1440" w:gutter="0" w:footer="0" w:header="0"/>
        </w:sectPr>
      </w:pPr>
    </w:p>
    <w:bookmarkStart w:id="8" w:name="page9"/>
    <w:bookmarkEnd w:id="8"/>
    <w:p>
      <w:pPr>
        <w:jc w:val="center"/>
        <w:ind w:right="2099"/>
        <w:spacing w:after="0"/>
        <w:rPr>
          <w:sz w:val="20"/>
          <w:szCs w:val="20"/>
          <w:color w:val="auto"/>
        </w:rPr>
      </w:pPr>
      <w:r>
        <w:rPr>
          <w:rFonts w:ascii="Courier New" w:cs="Courier New" w:eastAsia="Courier New" w:hAnsi="Courier New"/>
          <w:sz w:val="17"/>
          <w:szCs w:val="17"/>
          <w:color w:val="auto"/>
        </w:rPr>
        <w:t>MARVELL TECHNOLOGY GROUP LTD.</w:t>
      </w:r>
    </w:p>
    <w:p>
      <w:pPr>
        <w:jc w:val="center"/>
        <w:ind w:right="2099"/>
        <w:spacing w:after="0"/>
        <w:rPr>
          <w:sz w:val="20"/>
          <w:szCs w:val="20"/>
          <w:color w:val="auto"/>
        </w:rPr>
      </w:pPr>
      <w:r>
        <w:rPr>
          <w:rFonts w:ascii="Courier New" w:cs="Courier New" w:eastAsia="Courier New" w:hAnsi="Courier New"/>
          <w:sz w:val="17"/>
          <w:szCs w:val="17"/>
          <w:color w:val="auto"/>
        </w:rPr>
        <w:t>Consolidated Balance Sheets</w:t>
      </w:r>
    </w:p>
    <w:p>
      <w:pPr>
        <w:jc w:val="center"/>
        <w:ind w:right="2099"/>
        <w:spacing w:after="0"/>
        <w:rPr>
          <w:sz w:val="20"/>
          <w:szCs w:val="20"/>
          <w:color w:val="auto"/>
        </w:rPr>
      </w:pPr>
      <w:r>
        <w:rPr>
          <w:rFonts w:ascii="Courier New" w:cs="Courier New" w:eastAsia="Courier New" w:hAnsi="Courier New"/>
          <w:sz w:val="17"/>
          <w:szCs w:val="17"/>
          <w:color w:val="auto"/>
        </w:rPr>
        <w:t>(Unaudited)</w:t>
      </w:r>
    </w:p>
    <w:p>
      <w:pPr>
        <w:ind w:left="3320"/>
        <w:spacing w:after="0"/>
        <w:rPr>
          <w:sz w:val="20"/>
          <w:szCs w:val="20"/>
          <w:color w:val="auto"/>
        </w:rPr>
      </w:pPr>
      <w:r>
        <w:rPr>
          <w:rFonts w:ascii="Courier New" w:cs="Courier New" w:eastAsia="Courier New" w:hAnsi="Courier New"/>
          <w:sz w:val="17"/>
          <w:szCs w:val="17"/>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tbl>
      <w:tblPr>
        <w:tblLayout w:type="fixed"/>
        <w:tblInd w:w="0" w:type="dxa"/>
        <w:tblCellMar>
          <w:top w:w="0" w:type="dxa"/>
          <w:left w:w="0" w:type="dxa"/>
          <w:bottom w:w="0" w:type="dxa"/>
          <w:right w:w="0" w:type="dxa"/>
        </w:tblCellMar>
      </w:tblPr>
      <w:tr>
        <w:trPr>
          <w:trHeight w:val="193"/>
        </w:trPr>
        <w:tc>
          <w:tcPr>
            <w:tcW w:w="5460" w:type="dxa"/>
            <w:vAlign w:val="bottom"/>
          </w:tcPr>
          <w:p>
            <w:pPr>
              <w:spacing w:after="0"/>
              <w:rPr>
                <w:sz w:val="16"/>
                <w:szCs w:val="16"/>
                <w:color w:val="auto"/>
              </w:rPr>
            </w:pPr>
          </w:p>
        </w:tc>
        <w:tc>
          <w:tcPr>
            <w:tcW w:w="190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NOVEMBER 2,</w:t>
            </w:r>
          </w:p>
        </w:tc>
        <w:tc>
          <w:tcPr>
            <w:tcW w:w="156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FEBRUARY 2,</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ASSETS</w:t>
            </w:r>
          </w:p>
        </w:tc>
        <w:tc>
          <w:tcPr>
            <w:tcW w:w="500" w:type="dxa"/>
            <w:vAlign w:val="bottom"/>
          </w:tcPr>
          <w:p>
            <w:pPr>
              <w:spacing w:after="0"/>
              <w:rPr>
                <w:sz w:val="16"/>
                <w:szCs w:val="16"/>
                <w:color w:val="auto"/>
              </w:rPr>
            </w:pPr>
          </w:p>
        </w:tc>
        <w:tc>
          <w:tcPr>
            <w:tcW w:w="1400" w:type="dxa"/>
            <w:vAlign w:val="bottom"/>
          </w:tcPr>
          <w:p>
            <w:pPr>
              <w:jc w:val="right"/>
              <w:ind w:right="656"/>
              <w:spacing w:after="0"/>
              <w:rPr>
                <w:sz w:val="20"/>
                <w:szCs w:val="20"/>
                <w:color w:val="auto"/>
              </w:rPr>
            </w:pPr>
            <w:r>
              <w:rPr>
                <w:rFonts w:ascii="Courier New" w:cs="Courier New" w:eastAsia="Courier New" w:hAnsi="Courier New"/>
                <w:sz w:val="17"/>
                <w:szCs w:val="17"/>
                <w:color w:val="auto"/>
              </w:rPr>
              <w:t>2002</w:t>
            </w:r>
          </w:p>
        </w:tc>
        <w:tc>
          <w:tcPr>
            <w:tcW w:w="520" w:type="dxa"/>
            <w:vAlign w:val="bottom"/>
          </w:tcPr>
          <w:p>
            <w:pPr>
              <w:spacing w:after="0"/>
              <w:rPr>
                <w:sz w:val="16"/>
                <w:szCs w:val="16"/>
                <w:color w:val="auto"/>
              </w:rPr>
            </w:pPr>
          </w:p>
        </w:tc>
        <w:tc>
          <w:tcPr>
            <w:tcW w:w="1040" w:type="dxa"/>
            <w:vAlign w:val="bottom"/>
          </w:tcPr>
          <w:p>
            <w:pPr>
              <w:jc w:val="right"/>
              <w:ind w:right="316"/>
              <w:spacing w:after="0"/>
              <w:rPr>
                <w:sz w:val="20"/>
                <w:szCs w:val="20"/>
                <w:color w:val="auto"/>
              </w:rPr>
            </w:pPr>
            <w:r>
              <w:rPr>
                <w:rFonts w:ascii="Courier New" w:cs="Courier New" w:eastAsia="Courier New" w:hAnsi="Courier New"/>
                <w:sz w:val="17"/>
                <w:szCs w:val="17"/>
                <w:color w:val="auto"/>
              </w:rPr>
              <w:t>2002</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460" w:type="dxa"/>
            <w:vAlign w:val="bottom"/>
          </w:tcPr>
          <w:p>
            <w:pPr>
              <w:spacing w:after="0"/>
              <w:rPr>
                <w:sz w:val="20"/>
                <w:szCs w:val="20"/>
                <w:color w:val="auto"/>
              </w:rPr>
            </w:pPr>
            <w:r>
              <w:rPr>
                <w:rFonts w:ascii="Courier New" w:cs="Courier New" w:eastAsia="Courier New" w:hAnsi="Courier New"/>
                <w:sz w:val="17"/>
                <w:szCs w:val="17"/>
                <w:color w:val="auto"/>
              </w:rPr>
              <w:t>Current assets:</w:t>
            </w:r>
          </w:p>
        </w:tc>
        <w:tc>
          <w:tcPr>
            <w:tcW w:w="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Cash and cash equivalents</w:t>
            </w:r>
          </w:p>
        </w:tc>
        <w:tc>
          <w:tcPr>
            <w:tcW w:w="50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119,603</w:t>
            </w:r>
          </w:p>
        </w:tc>
        <w:tc>
          <w:tcPr>
            <w:tcW w:w="5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114,483</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Short-term investments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136,794</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135,761</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Accounts receivable, net</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72,152</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42,150</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Inventory, net</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48,684</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23,600</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Prepaid expenses and other current assets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20,271</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23,422</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current assets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397,504</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339,416</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Property and equipment, net</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68,296</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52,924</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Goodwill and acquired intangible assets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1,616,771</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1,680,740</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Other noncurrent assets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30,828</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17,975</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assets</w:t>
            </w: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$ 2,113,399</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$ 2,091,055</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460" w:type="dxa"/>
            <w:vAlign w:val="bottom"/>
          </w:tcPr>
          <w:p>
            <w:pPr>
              <w:spacing w:after="0"/>
              <w:rPr>
                <w:sz w:val="20"/>
                <w:szCs w:val="20"/>
                <w:color w:val="auto"/>
              </w:rPr>
            </w:pPr>
            <w:r>
              <w:rPr>
                <w:rFonts w:ascii="Courier New" w:cs="Courier New" w:eastAsia="Courier New" w:hAnsi="Courier New"/>
                <w:sz w:val="17"/>
                <w:szCs w:val="17"/>
                <w:color w:val="auto"/>
              </w:rPr>
              <w:t>LIABILITIES AND SHAREHOLDERS' EQUITY</w:t>
            </w:r>
          </w:p>
        </w:tc>
        <w:tc>
          <w:tcPr>
            <w:tcW w:w="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Current liabilities:</w:t>
            </w:r>
          </w:p>
        </w:tc>
        <w:tc>
          <w:tcPr>
            <w:tcW w:w="500" w:type="dxa"/>
            <w:vAlign w:val="bottom"/>
          </w:tcPr>
          <w:p>
            <w:pPr>
              <w:spacing w:after="0"/>
              <w:rPr>
                <w:sz w:val="16"/>
                <w:szCs w:val="16"/>
                <w:color w:val="auto"/>
              </w:rPr>
            </w:pPr>
          </w:p>
        </w:tc>
        <w:tc>
          <w:tcPr>
            <w:tcW w:w="14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40" w:type="dxa"/>
            <w:vAlign w:val="bottom"/>
          </w:tcPr>
          <w:p>
            <w:pPr>
              <w:spacing w:after="0"/>
              <w:rPr>
                <w:sz w:val="16"/>
                <w:szCs w:val="16"/>
                <w:color w:val="auto"/>
              </w:rPr>
            </w:pPr>
          </w:p>
        </w:tc>
      </w:tr>
      <w:tr>
        <w:trPr>
          <w:trHeight w:val="385"/>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Accounts payable</w:t>
            </w:r>
          </w:p>
        </w:tc>
        <w:tc>
          <w:tcPr>
            <w:tcW w:w="50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46,613</w:t>
            </w:r>
          </w:p>
        </w:tc>
        <w:tc>
          <w:tcPr>
            <w:tcW w:w="5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30,990</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Accrued liabilities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42,549</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25,838</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Income taxes payable</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21,489</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17,744</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Deferred revenue</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12,443</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8,907</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Current portion of capital lease obligations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3,756</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1,039</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current liabilities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126,850</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84,518</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Capital lease obligations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14,397</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10,017</w:t>
            </w:r>
          </w:p>
        </w:tc>
      </w:tr>
      <w:tr>
        <w:trPr>
          <w:trHeight w:val="193"/>
        </w:trPr>
        <w:tc>
          <w:tcPr>
            <w:tcW w:w="5460" w:type="dxa"/>
            <w:vAlign w:val="bottom"/>
          </w:tcPr>
          <w:p>
            <w:pPr>
              <w:spacing w:after="0"/>
              <w:rPr>
                <w:sz w:val="20"/>
                <w:szCs w:val="20"/>
                <w:color w:val="auto"/>
              </w:rPr>
            </w:pPr>
            <w:r>
              <w:rPr>
                <w:rFonts w:ascii="Courier New" w:cs="Courier New" w:eastAsia="Courier New" w:hAnsi="Courier New"/>
                <w:sz w:val="17"/>
                <w:szCs w:val="17"/>
                <w:color w:val="auto"/>
              </w:rPr>
              <w:t>Other long-term liabilities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5,847</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6,793</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liabilities</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147,094</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101,328</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385"/>
        </w:trPr>
        <w:tc>
          <w:tcPr>
            <w:tcW w:w="5460" w:type="dxa"/>
            <w:vAlign w:val="bottom"/>
          </w:tcPr>
          <w:p>
            <w:pPr>
              <w:spacing w:after="0"/>
              <w:rPr>
                <w:sz w:val="20"/>
                <w:szCs w:val="20"/>
                <w:color w:val="auto"/>
              </w:rPr>
            </w:pPr>
            <w:r>
              <w:rPr>
                <w:rFonts w:ascii="Courier New" w:cs="Courier New" w:eastAsia="Courier New" w:hAnsi="Courier New"/>
                <w:sz w:val="17"/>
                <w:szCs w:val="17"/>
                <w:color w:val="auto"/>
              </w:rPr>
              <w:t>Shareholders' equity:</w:t>
            </w:r>
          </w:p>
        </w:tc>
        <w:tc>
          <w:tcPr>
            <w:tcW w:w="5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Common stock</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241</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238</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Additional paid-in capital</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2,668,992</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2,646,757</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Deferred stock-based compensation</w:t>
            </w:r>
          </w:p>
        </w:tc>
        <w:tc>
          <w:tcPr>
            <w:tcW w:w="500" w:type="dxa"/>
            <w:vAlign w:val="bottom"/>
          </w:tcPr>
          <w:p>
            <w:pPr>
              <w:spacing w:after="0"/>
              <w:rPr>
                <w:sz w:val="16"/>
                <w:szCs w:val="16"/>
                <w:color w:val="auto"/>
              </w:rPr>
            </w:pPr>
          </w:p>
        </w:tc>
        <w:tc>
          <w:tcPr>
            <w:tcW w:w="1400" w:type="dxa"/>
            <w:vAlign w:val="bottom"/>
          </w:tcPr>
          <w:p>
            <w:pPr>
              <w:jc w:val="right"/>
              <w:ind w:right="256"/>
              <w:spacing w:after="0"/>
              <w:rPr>
                <w:sz w:val="20"/>
                <w:szCs w:val="20"/>
                <w:color w:val="auto"/>
              </w:rPr>
            </w:pPr>
            <w:r>
              <w:rPr>
                <w:rFonts w:ascii="Courier New" w:cs="Courier New" w:eastAsia="Courier New" w:hAnsi="Courier New"/>
                <w:sz w:val="17"/>
                <w:szCs w:val="17"/>
                <w:color w:val="auto"/>
              </w:rPr>
              <w:t>(8,887)</w:t>
            </w:r>
          </w:p>
        </w:tc>
        <w:tc>
          <w:tcPr>
            <w:tcW w:w="520" w:type="dxa"/>
            <w:vAlign w:val="bottom"/>
          </w:tcPr>
          <w:p>
            <w:pPr>
              <w:spacing w:after="0"/>
              <w:rPr>
                <w:sz w:val="16"/>
                <w:szCs w:val="16"/>
                <w:color w:val="auto"/>
              </w:rPr>
            </w:pPr>
          </w:p>
        </w:tc>
        <w:tc>
          <w:tcPr>
            <w:tcW w:w="1040" w:type="dxa"/>
            <w:vAlign w:val="bottom"/>
          </w:tcPr>
          <w:p>
            <w:pPr>
              <w:jc w:val="right"/>
              <w:spacing w:after="0"/>
              <w:rPr>
                <w:sz w:val="20"/>
                <w:szCs w:val="20"/>
                <w:color w:val="auto"/>
              </w:rPr>
            </w:pPr>
            <w:r>
              <w:rPr>
                <w:rFonts w:ascii="Courier New" w:cs="Courier New" w:eastAsia="Courier New" w:hAnsi="Courier New"/>
                <w:sz w:val="17"/>
                <w:szCs w:val="17"/>
                <w:color w:val="auto"/>
              </w:rPr>
              <w:t>(10,099)</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Accumulated other comprehensive income</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2,014</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946</w:t>
            </w:r>
          </w:p>
        </w:tc>
      </w:tr>
      <w:tr>
        <w:trPr>
          <w:trHeight w:val="193"/>
        </w:trPr>
        <w:tc>
          <w:tcPr>
            <w:tcW w:w="5460" w:type="dxa"/>
            <w:vAlign w:val="bottom"/>
          </w:tcPr>
          <w:p>
            <w:pPr>
              <w:ind w:left="500"/>
              <w:spacing w:after="0"/>
              <w:rPr>
                <w:sz w:val="20"/>
                <w:szCs w:val="20"/>
                <w:color w:val="auto"/>
              </w:rPr>
            </w:pPr>
            <w:r>
              <w:rPr>
                <w:rFonts w:ascii="Courier New" w:cs="Courier New" w:eastAsia="Courier New" w:hAnsi="Courier New"/>
                <w:sz w:val="17"/>
                <w:szCs w:val="17"/>
                <w:color w:val="auto"/>
              </w:rPr>
              <w:t>Accumulated deficit</w:t>
            </w:r>
          </w:p>
        </w:tc>
        <w:tc>
          <w:tcPr>
            <w:tcW w:w="500" w:type="dxa"/>
            <w:vAlign w:val="bottom"/>
          </w:tcPr>
          <w:p>
            <w:pPr>
              <w:spacing w:after="0"/>
              <w:rPr>
                <w:sz w:val="16"/>
                <w:szCs w:val="16"/>
                <w:color w:val="auto"/>
              </w:rPr>
            </w:pPr>
          </w:p>
        </w:tc>
        <w:tc>
          <w:tcPr>
            <w:tcW w:w="1400" w:type="dxa"/>
            <w:vAlign w:val="bottom"/>
          </w:tcPr>
          <w:p>
            <w:pPr>
              <w:jc w:val="right"/>
              <w:ind w:right="256"/>
              <w:spacing w:after="0"/>
              <w:rPr>
                <w:sz w:val="20"/>
                <w:szCs w:val="20"/>
                <w:color w:val="auto"/>
              </w:rPr>
            </w:pPr>
            <w:r>
              <w:rPr>
                <w:rFonts w:ascii="Courier New" w:cs="Courier New" w:eastAsia="Courier New" w:hAnsi="Courier New"/>
                <w:sz w:val="17"/>
                <w:szCs w:val="17"/>
                <w:color w:val="auto"/>
              </w:rPr>
              <w:t>(696,055)</w:t>
            </w:r>
          </w:p>
        </w:tc>
        <w:tc>
          <w:tcPr>
            <w:tcW w:w="520" w:type="dxa"/>
            <w:vAlign w:val="bottom"/>
          </w:tcPr>
          <w:p>
            <w:pPr>
              <w:spacing w:after="0"/>
              <w:rPr>
                <w:sz w:val="16"/>
                <w:szCs w:val="16"/>
                <w:color w:val="auto"/>
              </w:rPr>
            </w:pPr>
          </w:p>
        </w:tc>
        <w:tc>
          <w:tcPr>
            <w:tcW w:w="1040" w:type="dxa"/>
            <w:vAlign w:val="bottom"/>
          </w:tcPr>
          <w:p>
            <w:pPr>
              <w:jc w:val="right"/>
              <w:spacing w:after="0"/>
              <w:rPr>
                <w:sz w:val="20"/>
                <w:szCs w:val="20"/>
                <w:color w:val="auto"/>
              </w:rPr>
            </w:pPr>
            <w:r>
              <w:rPr>
                <w:rFonts w:ascii="Courier New" w:cs="Courier New" w:eastAsia="Courier New" w:hAnsi="Courier New"/>
                <w:sz w:val="17"/>
                <w:szCs w:val="17"/>
                <w:color w:val="auto"/>
              </w:rPr>
              <w:t>(648,115)</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shareholders' equity</w:t>
            </w:r>
          </w:p>
        </w:tc>
        <w:tc>
          <w:tcPr>
            <w:tcW w:w="500" w:type="dxa"/>
            <w:vAlign w:val="bottom"/>
          </w:tcPr>
          <w:p>
            <w:pPr>
              <w:spacing w:after="0"/>
              <w:rPr>
                <w:sz w:val="16"/>
                <w:szCs w:val="16"/>
                <w:color w:val="auto"/>
              </w:rPr>
            </w:pPr>
          </w:p>
        </w:tc>
        <w:tc>
          <w:tcPr>
            <w:tcW w:w="1400" w:type="dxa"/>
            <w:vAlign w:val="bottom"/>
          </w:tcPr>
          <w:p>
            <w:pPr>
              <w:jc w:val="right"/>
              <w:ind w:right="356"/>
              <w:spacing w:after="0"/>
              <w:rPr>
                <w:sz w:val="20"/>
                <w:szCs w:val="20"/>
                <w:color w:val="auto"/>
              </w:rPr>
            </w:pPr>
            <w:r>
              <w:rPr>
                <w:rFonts w:ascii="Courier New" w:cs="Courier New" w:eastAsia="Courier New" w:hAnsi="Courier New"/>
                <w:sz w:val="17"/>
                <w:szCs w:val="17"/>
                <w:color w:val="auto"/>
              </w:rPr>
              <w:t>1,966,305</w:t>
            </w:r>
          </w:p>
        </w:tc>
        <w:tc>
          <w:tcPr>
            <w:tcW w:w="520" w:type="dxa"/>
            <w:vAlign w:val="bottom"/>
          </w:tcPr>
          <w:p>
            <w:pPr>
              <w:spacing w:after="0"/>
              <w:rPr>
                <w:sz w:val="16"/>
                <w:szCs w:val="16"/>
                <w:color w:val="auto"/>
              </w:rPr>
            </w:pPr>
          </w:p>
        </w:tc>
        <w:tc>
          <w:tcPr>
            <w:tcW w:w="1040" w:type="dxa"/>
            <w:vAlign w:val="bottom"/>
          </w:tcPr>
          <w:p>
            <w:pPr>
              <w:jc w:val="right"/>
              <w:ind w:right="16"/>
              <w:spacing w:after="0"/>
              <w:rPr>
                <w:sz w:val="20"/>
                <w:szCs w:val="20"/>
                <w:color w:val="auto"/>
              </w:rPr>
            </w:pPr>
            <w:r>
              <w:rPr>
                <w:rFonts w:ascii="Courier New" w:cs="Courier New" w:eastAsia="Courier New" w:hAnsi="Courier New"/>
                <w:sz w:val="17"/>
                <w:szCs w:val="17"/>
                <w:color w:val="auto"/>
              </w:rPr>
              <w:t>1,989,727</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r>
        <w:trPr>
          <w:trHeight w:val="193"/>
        </w:trPr>
        <w:tc>
          <w:tcPr>
            <w:tcW w:w="5460" w:type="dxa"/>
            <w:vAlign w:val="bottom"/>
          </w:tcPr>
          <w:p>
            <w:pPr>
              <w:ind w:left="900"/>
              <w:spacing w:after="0"/>
              <w:rPr>
                <w:sz w:val="20"/>
                <w:szCs w:val="20"/>
                <w:color w:val="auto"/>
              </w:rPr>
            </w:pPr>
            <w:r>
              <w:rPr>
                <w:rFonts w:ascii="Courier New" w:cs="Courier New" w:eastAsia="Courier New" w:hAnsi="Courier New"/>
                <w:sz w:val="17"/>
                <w:szCs w:val="17"/>
                <w:color w:val="auto"/>
              </w:rPr>
              <w:t>Total liabilities and shareholders' equity</w:t>
            </w: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$ 2,113,399</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$ 2,091,055</w:t>
            </w:r>
          </w:p>
        </w:tc>
      </w:tr>
      <w:tr>
        <w:trPr>
          <w:trHeight w:val="193"/>
        </w:trPr>
        <w:tc>
          <w:tcPr>
            <w:tcW w:w="5460" w:type="dxa"/>
            <w:vAlign w:val="bottom"/>
          </w:tcPr>
          <w:p>
            <w:pPr>
              <w:spacing w:after="0"/>
              <w:rPr>
                <w:sz w:val="16"/>
                <w:szCs w:val="16"/>
                <w:color w:val="auto"/>
              </w:rPr>
            </w:pPr>
          </w:p>
        </w:tc>
        <w:tc>
          <w:tcPr>
            <w:tcW w:w="1900" w:type="dxa"/>
            <w:vAlign w:val="bottom"/>
            <w:gridSpan w:val="2"/>
          </w:tcPr>
          <w:p>
            <w:pPr>
              <w:jc w:val="right"/>
              <w:ind w:right="356"/>
              <w:spacing w:after="0"/>
              <w:rPr>
                <w:sz w:val="20"/>
                <w:szCs w:val="20"/>
                <w:color w:val="auto"/>
              </w:rPr>
            </w:pPr>
            <w:r>
              <w:rPr>
                <w:rFonts w:ascii="Courier New" w:cs="Courier New" w:eastAsia="Courier New" w:hAnsi="Courier New"/>
                <w:sz w:val="17"/>
                <w:szCs w:val="17"/>
                <w:color w:val="auto"/>
              </w:rPr>
              <w:t>===========</w:t>
            </w:r>
          </w:p>
        </w:tc>
        <w:tc>
          <w:tcPr>
            <w:tcW w:w="1560" w:type="dxa"/>
            <w:vAlign w:val="bottom"/>
            <w:gridSpan w:val="2"/>
          </w:tcPr>
          <w:p>
            <w:pPr>
              <w:jc w:val="right"/>
              <w:ind w:right="16"/>
              <w:spacing w:after="0"/>
              <w:rPr>
                <w:sz w:val="20"/>
                <w:szCs w:val="20"/>
                <w:color w:val="auto"/>
              </w:rPr>
            </w:pPr>
            <w:r>
              <w:rPr>
                <w:rFonts w:ascii="Courier New" w:cs="Courier New" w:eastAsia="Courier New" w:hAnsi="Courier New"/>
                <w:sz w:val="17"/>
                <w:szCs w:val="17"/>
                <w:color w:val="auto"/>
              </w:rPr>
              <w:t>===========</w:t>
            </w:r>
          </w:p>
        </w:tc>
      </w:tr>
    </w:tbl>
    <w:p>
      <w:pPr>
        <w:spacing w:after="0" w:line="1" w:lineRule="exact"/>
        <w:rPr>
          <w:sz w:val="20"/>
          <w:szCs w:val="20"/>
          <w:color w:val="auto"/>
        </w:rPr>
      </w:pPr>
    </w:p>
    <w:sectPr>
      <w:pgSz w:w="11900" w:h="16838" w:orient="portrait"/>
      <w:cols w:equalWidth="0" w:num="1">
        <w:col w:w="10219"/>
      </w:cols>
      <w:pgMar w:left="240" w:top="49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2019-12-14T20:30:14Z</dcterms:created>
  <dcterms:modified xsi:type="dcterms:W3CDTF">2019-12-14T20:30:14Z</dcterms:modified>
</cp:coreProperties>
</file>