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6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ind w:left="926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Times New Roman" w:cs="Times New Roman" w:eastAsia="Times New Roman" w:hAnsi="Times New Roman"/>
          <w:sz w:val="18"/>
          <w:szCs w:val="18"/>
          <w:color w:val="auto"/>
        </w:rPr>
        <w:t>OMB Number: 3235-0145</w:t>
      </w:r>
    </w:p>
    <w:p>
      <w:pPr>
        <w:spacing w:after="0" w:line="17" w:lineRule="exact"/>
        <w:rPr>
          <w:sz w:val="20"/>
          <w:szCs w:val="20"/>
          <w:color w:val="auto"/>
        </w:rPr>
      </w:pPr>
    </w:p>
    <w:p>
      <w:pPr>
        <w:ind w:left="9300"/>
        <w:spacing w:after="0"/>
        <w:rPr>
          <w:sz w:val="20"/>
          <w:szCs w:val="20"/>
          <w:color w:val="auto"/>
        </w:rPr>
      </w:pPr>
      <w:r>
        <w:rPr>
          <w:rFonts w:ascii="Times New Roman" w:cs="Times New Roman" w:eastAsia="Times New Roman" w:hAnsi="Times New Roman"/>
          <w:sz w:val="16"/>
          <w:szCs w:val="16"/>
          <w:color w:val="auto"/>
        </w:rPr>
        <w:t>Expires: December 31, 2005</w:t>
      </w:r>
    </w:p>
    <w:p>
      <w:pPr>
        <w:spacing w:after="0" w:line="79" w:lineRule="exact"/>
        <w:rPr>
          <w:sz w:val="20"/>
          <w:szCs w:val="20"/>
          <w:color w:val="auto"/>
        </w:rPr>
      </w:pPr>
    </w:p>
    <w:p>
      <w:pPr>
        <w:ind w:left="9300"/>
        <w:spacing w:after="0"/>
        <w:rPr>
          <w:sz w:val="20"/>
          <w:szCs w:val="20"/>
          <w:color w:val="auto"/>
        </w:rPr>
      </w:pPr>
      <w:r>
        <w:rPr>
          <w:rFonts w:ascii="Times New Roman" w:cs="Times New Roman" w:eastAsia="Times New Roman" w:hAnsi="Times New Roman"/>
          <w:sz w:val="18"/>
          <w:szCs w:val="18"/>
          <w:color w:val="auto"/>
        </w:rPr>
        <w:t>Estimated average burden</w:t>
      </w:r>
    </w:p>
    <w:p>
      <w:pPr>
        <w:spacing w:after="0" w:line="21" w:lineRule="exact"/>
        <w:rPr>
          <w:sz w:val="20"/>
          <w:szCs w:val="20"/>
          <w:color w:val="auto"/>
        </w:rPr>
      </w:pPr>
    </w:p>
    <w:p>
      <w:pPr>
        <w:ind w:left="9300"/>
        <w:spacing w:after="0"/>
        <w:rPr>
          <w:sz w:val="20"/>
          <w:szCs w:val="20"/>
          <w:color w:val="auto"/>
        </w:rPr>
      </w:pPr>
      <w:r>
        <w:rPr>
          <w:rFonts w:ascii="Times New Roman" w:cs="Times New Roman" w:eastAsia="Times New Roman" w:hAnsi="Times New Roman"/>
          <w:sz w:val="18"/>
          <w:szCs w:val="18"/>
          <w:color w:val="auto"/>
        </w:rPr>
        <w:t>hours per response...11</w:t>
      </w:r>
    </w:p>
    <w:p>
      <w:pPr>
        <w:spacing w:after="0" w:line="200" w:lineRule="exact"/>
        <w:rPr>
          <w:sz w:val="20"/>
          <w:szCs w:val="20"/>
          <w:color w:val="auto"/>
        </w:rPr>
      </w:pPr>
    </w:p>
    <w:p>
      <w:pPr>
        <w:spacing w:after="0" w:line="28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24"/>
          <w:szCs w:val="24"/>
          <w:color w:val="auto"/>
        </w:rPr>
        <w:t>UNITED STATES</w:t>
      </w:r>
    </w:p>
    <w:p>
      <w:pPr>
        <w:spacing w:after="0" w:line="3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24"/>
          <w:szCs w:val="24"/>
          <w:color w:val="auto"/>
        </w:rPr>
        <w:t>SECURITIES AND EXCHANGE COMMISSION</w:t>
      </w:r>
    </w:p>
    <w:p>
      <w:pPr>
        <w:spacing w:after="0" w:line="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16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32"/>
          <w:szCs w:val="32"/>
          <w:color w:val="auto"/>
        </w:rPr>
        <w:t>SCHEDULE 13G</w:t>
      </w:r>
    </w:p>
    <w:p>
      <w:pPr>
        <w:spacing w:after="0" w:line="24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Under the Securities Exchange Act of 1934</w:t>
      </w:r>
    </w:p>
    <w:p>
      <w:pPr>
        <w:spacing w:after="0" w:line="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(Amendment No. 1)*</w:t>
      </w:r>
    </w:p>
    <w:p>
      <w:pPr>
        <w:spacing w:after="0" w:line="21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(Name of Issuer)</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Common stock, par value $0.002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(Title of Class of Securities)</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(Cusip Number)</w:t>
      </w:r>
    </w:p>
    <w:p>
      <w:pPr>
        <w:spacing w:after="0" w:line="22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December 31, 2002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27" w:lineRule="exact"/>
        <w:rPr>
          <w:sz w:val="20"/>
          <w:szCs w:val="20"/>
          <w:color w:val="auto"/>
        </w:rPr>
      </w:pPr>
    </w:p>
    <w:p>
      <w:pPr>
        <w:ind w:left="3720"/>
        <w:spacing w:after="0"/>
        <w:rPr>
          <w:sz w:val="20"/>
          <w:szCs w:val="20"/>
          <w:color w:val="auto"/>
        </w:rPr>
      </w:pPr>
      <w:r>
        <w:rPr>
          <w:rFonts w:ascii="Times New Roman" w:cs="Times New Roman" w:eastAsia="Times New Roman" w:hAnsi="Times New Roman"/>
          <w:sz w:val="18"/>
          <w:szCs w:val="18"/>
          <w:color w:val="auto"/>
        </w:rPr>
        <w:t>(Date of Event Which Requires Filing of this Statement)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Check the appropriate box to designate the rule pursuant to which this Schedule is filed:</w:t>
      </w:r>
    </w:p>
    <w:p>
      <w:pPr>
        <w:spacing w:after="0" w:line="212"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2"/>
          <w:szCs w:val="22"/>
          <w:color w:val="auto"/>
        </w:rPr>
        <w:t xml:space="preserve">o </w:t>
      </w:r>
      <w:r>
        <w:rPr>
          <w:rFonts w:ascii="Times New Roman" w:cs="Times New Roman" w:eastAsia="Times New Roman" w:hAnsi="Times New Roman"/>
          <w:sz w:val="17"/>
          <w:szCs w:val="17"/>
          <w:color w:val="auto"/>
        </w:rPr>
        <w:t>Rule 13d-1 (b)</w:t>
      </w:r>
    </w:p>
    <w:p>
      <w:pPr>
        <w:spacing w:after="0" w:line="20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22"/>
          <w:szCs w:val="22"/>
          <w:color w:val="auto"/>
        </w:rPr>
        <w:t xml:space="preserve">o </w:t>
      </w:r>
      <w:r>
        <w:rPr>
          <w:rFonts w:ascii="Times New Roman" w:cs="Times New Roman" w:eastAsia="Times New Roman" w:hAnsi="Times New Roman"/>
          <w:sz w:val="17"/>
          <w:szCs w:val="17"/>
          <w:color w:val="auto"/>
        </w:rPr>
        <w:t>Rule 13d-1 (c)</w:t>
      </w:r>
    </w:p>
    <w:p>
      <w:pPr>
        <w:spacing w:after="0" w:line="260" w:lineRule="exact"/>
        <w:rPr>
          <w:sz w:val="20"/>
          <w:szCs w:val="20"/>
          <w:color w:val="auto"/>
        </w:rPr>
      </w:pPr>
    </w:p>
    <w:p>
      <w:pPr>
        <w:ind w:left="600" w:hanging="241"/>
        <w:spacing w:after="0"/>
        <w:tabs>
          <w:tab w:leader="none" w:pos="600" w:val="left"/>
        </w:tabs>
        <w:numPr>
          <w:ilvl w:val="0"/>
          <w:numId w:val="1"/>
        </w:numPr>
        <w:rPr>
          <w:rFonts w:ascii="MS PGothic" w:cs="MS PGothic" w:eastAsia="MS PGothic" w:hAnsi="MS PGothic"/>
          <w:sz w:val="22"/>
          <w:szCs w:val="22"/>
          <w:color w:val="auto"/>
        </w:rPr>
      </w:pPr>
      <w:r>
        <w:rPr>
          <w:rFonts w:ascii="Times New Roman" w:cs="Times New Roman" w:eastAsia="Times New Roman" w:hAnsi="Times New Roman"/>
          <w:sz w:val="18"/>
          <w:szCs w:val="18"/>
          <w:color w:val="auto"/>
        </w:rPr>
        <w:t>Rule 13d-1 (d)</w:t>
      </w:r>
    </w:p>
    <w:p>
      <w:pPr>
        <w:spacing w:after="0" w:line="204" w:lineRule="exact"/>
        <w:rPr>
          <w:sz w:val="20"/>
          <w:szCs w:val="20"/>
          <w:color w:val="auto"/>
        </w:rPr>
      </w:pPr>
    </w:p>
    <w:p>
      <w:pPr>
        <w:ind w:right="100"/>
        <w:spacing w:after="0" w:line="275" w:lineRule="auto"/>
        <w:rPr>
          <w:sz w:val="20"/>
          <w:szCs w:val="20"/>
          <w:color w:val="auto"/>
        </w:rPr>
      </w:pPr>
      <w:r>
        <w:rPr>
          <w:rFonts w:ascii="Times New Roman" w:cs="Times New Roman" w:eastAsia="Times New Roman" w:hAnsi="Times New Roman"/>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4" w:lineRule="exact"/>
        <w:rPr>
          <w:sz w:val="20"/>
          <w:szCs w:val="20"/>
          <w:color w:val="auto"/>
        </w:rPr>
      </w:pPr>
    </w:p>
    <w:p>
      <w:pPr>
        <w:ind w:right="180"/>
        <w:spacing w:after="0" w:line="275" w:lineRule="auto"/>
        <w:rPr>
          <w:sz w:val="20"/>
          <w:szCs w:val="20"/>
          <w:color w:val="auto"/>
        </w:rPr>
      </w:pPr>
      <w:r>
        <w:rPr>
          <w:rFonts w:ascii="Times New Roman" w:cs="Times New Roman" w:eastAsia="Times New Roman" w:hAnsi="Times New Roman"/>
          <w:sz w:val="18"/>
          <w:szCs w:val="18"/>
          <w:color w:val="auto"/>
        </w:rPr>
        <w:t>The information required in the remainder of this cover page shall not be deemed to be “filed” for the purpose of Section 18 of the Securities Exchange Act of 1934 or otherwise subject to the liabilities of that section of the Act but shall be subject to all other provisions of the Act (however, see the notes).</w:t>
      </w:r>
    </w:p>
    <w:p>
      <w:pPr>
        <w:spacing w:after="0" w:line="17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Page 1 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240" w:top="679" w:right="359" w:bottom="1440" w:gutter="0" w:footer="0" w:header="0"/>
        </w:sectPr>
      </w:pPr>
    </w:p>
    <w:bookmarkStart w:id="2" w:name="page3"/>
    <w:bookmarkEnd w:id="2"/>
    <w:p>
      <w:pPr>
        <w:jc w:val="center"/>
        <w:spacing w:after="0"/>
        <w:rPr>
          <w:sz w:val="20"/>
          <w:szCs w:val="20"/>
          <w:color w:val="auto"/>
        </w:rPr>
      </w:pPr>
      <w:r>
        <w:rPr>
          <w:rFonts w:ascii="Times New Roman" w:cs="Times New Roman" w:eastAsia="Times New Roman" w:hAnsi="Times New Roman"/>
          <w:sz w:val="16"/>
          <w:szCs w:val="16"/>
          <w:color w:val="auto"/>
        </w:rPr>
        <w:t>13G</w:t>
      </w:r>
    </w:p>
    <w:p>
      <w:pPr>
        <w:spacing w:after="0" w:line="1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CUSIP No. G 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149860</wp:posOffset>
            </wp:positionV>
            <wp:extent cx="718185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ectPr>
          <w:pgSz w:w="11900" w:h="16838" w:orient="portrait"/>
          <w:cols w:equalWidth="0" w:num="1">
            <w:col w:w="11300"/>
          </w:cols>
          <w:pgMar w:left="300" w:top="1314" w:right="299" w:bottom="1440" w:gutter="0" w:footer="0" w:header="0"/>
        </w:sectPr>
      </w:pPr>
    </w:p>
    <w:p>
      <w:pPr>
        <w:spacing w:after="0" w:line="200" w:lineRule="exact"/>
        <w:rPr>
          <w:sz w:val="20"/>
          <w:szCs w:val="20"/>
          <w:color w:val="auto"/>
        </w:rPr>
      </w:pPr>
    </w:p>
    <w:p>
      <w:pPr>
        <w:spacing w:after="0" w:line="268" w:lineRule="exact"/>
        <w:rPr>
          <w:sz w:val="20"/>
          <w:szCs w:val="20"/>
          <w:color w:val="auto"/>
        </w:rPr>
      </w:pPr>
    </w:p>
    <w:p>
      <w:pPr>
        <w:jc w:val="both"/>
        <w:ind w:left="460"/>
        <w:spacing w:after="0"/>
        <w:tabs>
          <w:tab w:leader="none" w:pos="800" w:val="left"/>
        </w:tabs>
        <w:rPr>
          <w:sz w:val="20"/>
          <w:szCs w:val="20"/>
          <w:color w:val="auto"/>
        </w:rPr>
      </w:pPr>
      <w:r>
        <w:rPr>
          <w:rFonts w:ascii="Times New Roman" w:cs="Times New Roman" w:eastAsia="Times New Roman" w:hAnsi="Times New Roman"/>
          <w:sz w:val="18"/>
          <w:szCs w:val="18"/>
          <w:color w:val="auto"/>
        </w:rPr>
        <w:t>1.</w:t>
        <w:tab/>
        <w:t>Name of Reporting Person:</w:t>
      </w:r>
    </w:p>
    <w:p>
      <w:pPr>
        <w:spacing w:after="0" w:line="21" w:lineRule="exact"/>
        <w:rPr>
          <w:sz w:val="20"/>
          <w:szCs w:val="20"/>
          <w:color w:val="auto"/>
        </w:rPr>
      </w:pPr>
    </w:p>
    <w:p>
      <w:pPr>
        <w:jc w:val="right"/>
        <w:ind w:right="1160"/>
        <w:spacing w:after="0"/>
        <w:rPr>
          <w:sz w:val="20"/>
          <w:szCs w:val="20"/>
          <w:color w:val="auto"/>
        </w:rPr>
      </w:pPr>
      <w:r>
        <w:rPr>
          <w:rFonts w:ascii="Times New Roman" w:cs="Times New Roman" w:eastAsia="Times New Roman" w:hAnsi="Times New Roman"/>
          <w:sz w:val="18"/>
          <w:szCs w:val="18"/>
          <w:color w:val="auto"/>
        </w:rPr>
        <w:t>Kuo Wei (“Herbert”) Chang</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I.R.S. Identification Nos. of above persons (entities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-2971800</wp:posOffset>
            </wp:positionH>
            <wp:positionV relativeFrom="paragraph">
              <wp:posOffset>301625</wp:posOffset>
            </wp:positionV>
            <wp:extent cx="718185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451" w:lineRule="exact"/>
        <w:rPr>
          <w:sz w:val="20"/>
          <w:szCs w:val="20"/>
          <w:color w:val="auto"/>
        </w:rPr>
      </w:pPr>
    </w:p>
    <w:p>
      <w:pPr>
        <w:sectPr>
          <w:pgSz w:w="11900" w:h="16838" w:orient="portrait"/>
          <w:cols w:equalWidth="0" w:num="2">
            <w:col w:w="3960" w:space="720"/>
            <w:col w:w="6620"/>
          </w:cols>
          <w:pgMar w:left="300" w:top="1314" w:right="299" w:bottom="1440" w:gutter="0" w:footer="0" w:header="0"/>
          <w:type w:val="continuous"/>
        </w:sectPr>
      </w:pPr>
    </w:p>
    <w:p>
      <w:pPr>
        <w:spacing w:after="0" w:line="256" w:lineRule="exact"/>
        <w:rPr>
          <w:sz w:val="20"/>
          <w:szCs w:val="20"/>
          <w:color w:val="auto"/>
        </w:rPr>
      </w:pPr>
    </w:p>
    <w:p>
      <w:pPr>
        <w:ind w:left="820" w:hanging="359"/>
        <w:spacing w:after="0"/>
        <w:tabs>
          <w:tab w:leader="none" w:pos="8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the Appropriate Box if a Member of a Group:</w:t>
      </w:r>
    </w:p>
    <w:p>
      <w:pPr>
        <w:spacing w:after="0" w:line="104" w:lineRule="exact"/>
        <w:rPr>
          <w:rFonts w:ascii="Times New Roman" w:cs="Times New Roman" w:eastAsia="Times New Roman" w:hAnsi="Times New Roman"/>
          <w:sz w:val="18"/>
          <w:szCs w:val="18"/>
          <w:color w:val="auto"/>
        </w:rPr>
      </w:pPr>
    </w:p>
    <w:p>
      <w:pPr>
        <w:ind w:left="1160" w:hanging="348"/>
        <w:spacing w:after="0"/>
        <w:tabs>
          <w:tab w:leader="none" w:pos="1160" w:val="left"/>
        </w:tabs>
        <w:numPr>
          <w:ilvl w:val="1"/>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p>
    <w:p>
      <w:pPr>
        <w:spacing w:after="0" w:line="98" w:lineRule="exact"/>
        <w:rPr>
          <w:rFonts w:ascii="Times New Roman" w:cs="Times New Roman" w:eastAsia="Times New Roman" w:hAnsi="Times New Roman"/>
          <w:sz w:val="18"/>
          <w:szCs w:val="18"/>
          <w:color w:val="auto"/>
        </w:rPr>
      </w:pPr>
    </w:p>
    <w:p>
      <w:pPr>
        <w:ind w:left="1160" w:hanging="348"/>
        <w:spacing w:after="0"/>
        <w:tabs>
          <w:tab w:leader="none" w:pos="1160" w:val="left"/>
        </w:tabs>
        <w:numPr>
          <w:ilvl w:val="1"/>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p>
    <w:p>
      <w:pPr>
        <w:spacing w:after="0" w:line="200" w:lineRule="exact"/>
        <w:rPr>
          <w:rFonts w:ascii="Times New Roman" w:cs="Times New Roman" w:eastAsia="Times New Roman" w:hAnsi="Times New Roman"/>
          <w:sz w:val="18"/>
          <w:szCs w:val="18"/>
          <w:color w:val="auto"/>
        </w:rPr>
      </w:pPr>
    </w:p>
    <w:p>
      <w:pPr>
        <w:spacing w:after="0" w:line="262" w:lineRule="exact"/>
        <w:rPr>
          <w:rFonts w:ascii="Times New Roman" w:cs="Times New Roman" w:eastAsia="Times New Roman" w:hAnsi="Times New Roman"/>
          <w:sz w:val="18"/>
          <w:szCs w:val="18"/>
          <w:color w:val="auto"/>
        </w:rPr>
      </w:pPr>
    </w:p>
    <w:p>
      <w:pPr>
        <w:ind w:left="820" w:hanging="359"/>
        <w:spacing w:after="0"/>
        <w:tabs>
          <w:tab w:leader="none" w:pos="8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Use Only:</w:t>
      </w:r>
    </w:p>
    <w:p>
      <w:pPr>
        <w:spacing w:after="0" w:line="200" w:lineRule="exact"/>
        <w:rPr>
          <w:rFonts w:ascii="Times New Roman" w:cs="Times New Roman" w:eastAsia="Times New Roman" w:hAnsi="Times New Roman"/>
          <w:sz w:val="18"/>
          <w:szCs w:val="18"/>
          <w:color w:val="auto"/>
        </w:rPr>
      </w:pPr>
    </w:p>
    <w:p>
      <w:pPr>
        <w:spacing w:after="0" w:line="268" w:lineRule="exact"/>
        <w:rPr>
          <w:rFonts w:ascii="Times New Roman" w:cs="Times New Roman" w:eastAsia="Times New Roman" w:hAnsi="Times New Roman"/>
          <w:sz w:val="18"/>
          <w:szCs w:val="18"/>
          <w:color w:val="auto"/>
        </w:rPr>
      </w:pPr>
    </w:p>
    <w:p>
      <w:pPr>
        <w:ind w:left="820" w:right="7880" w:hanging="359"/>
        <w:spacing w:after="0" w:line="275" w:lineRule="auto"/>
        <w:tabs>
          <w:tab w:leader="none" w:pos="8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-876935</wp:posOffset>
            </wp:positionV>
            <wp:extent cx="718185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-447675</wp:posOffset>
            </wp:positionV>
            <wp:extent cx="718185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117475</wp:posOffset>
            </wp:positionV>
            <wp:extent cx="718185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397" w:lineRule="exact"/>
        <w:rPr>
          <w:sz w:val="20"/>
          <w:szCs w:val="20"/>
          <w:color w:val="auto"/>
        </w:rPr>
      </w:pPr>
    </w:p>
    <w:tbl>
      <w:tblPr>
        <w:tblLayout w:type="fixed"/>
        <w:tblInd w:w="100" w:type="dxa"/>
        <w:tblCellMar>
          <w:top w:w="0" w:type="dxa"/>
          <w:left w:w="0" w:type="dxa"/>
          <w:bottom w:w="0" w:type="dxa"/>
          <w:right w:w="0" w:type="dxa"/>
        </w:tblCellMar>
      </w:tblPr>
      <w:tr>
        <w:trPr>
          <w:trHeight w:val="216"/>
        </w:trPr>
        <w:tc>
          <w:tcPr>
            <w:tcW w:w="1060" w:type="dxa"/>
            <w:vAlign w:val="bottom"/>
          </w:tcPr>
          <w:p>
            <w:pPr>
              <w:spacing w:after="0"/>
              <w:rPr>
                <w:sz w:val="18"/>
                <w:szCs w:val="18"/>
                <w:color w:val="auto"/>
              </w:rPr>
            </w:pPr>
          </w:p>
        </w:tc>
        <w:tc>
          <w:tcPr>
            <w:tcW w:w="240" w:type="dxa"/>
            <w:vAlign w:val="bottom"/>
          </w:tcPr>
          <w:p>
            <w:pPr>
              <w:jc w:val="right"/>
              <w:ind w:right="12"/>
              <w:spacing w:after="0"/>
              <w:rPr>
                <w:sz w:val="20"/>
                <w:szCs w:val="20"/>
                <w:color w:val="auto"/>
              </w:rPr>
            </w:pPr>
            <w:r>
              <w:rPr>
                <w:rFonts w:ascii="Times New Roman" w:cs="Times New Roman" w:eastAsia="Times New Roman" w:hAnsi="Times New Roman"/>
                <w:sz w:val="18"/>
                <w:szCs w:val="18"/>
                <w:color w:val="auto"/>
                <w:w w:val="88"/>
              </w:rPr>
              <w:t>5.</w:t>
            </w:r>
          </w:p>
        </w:tc>
        <w:tc>
          <w:tcPr>
            <w:tcW w:w="990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Sole Voting Power:</w:t>
            </w:r>
          </w:p>
        </w:tc>
        <w:tc>
          <w:tcPr>
            <w:tcW w:w="0" w:type="dxa"/>
            <w:vAlign w:val="bottom"/>
          </w:tcPr>
          <w:p>
            <w:pPr>
              <w:spacing w:after="0"/>
              <w:rPr>
                <w:sz w:val="1"/>
                <w:szCs w:val="1"/>
                <w:color w:val="auto"/>
              </w:rPr>
            </w:pPr>
          </w:p>
        </w:tc>
      </w:tr>
      <w:tr>
        <w:trPr>
          <w:trHeight w:val="228"/>
        </w:trPr>
        <w:tc>
          <w:tcPr>
            <w:tcW w:w="10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90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5,315,632</w:t>
            </w:r>
          </w:p>
        </w:tc>
        <w:tc>
          <w:tcPr>
            <w:tcW w:w="0" w:type="dxa"/>
            <w:vAlign w:val="bottom"/>
          </w:tcPr>
          <w:p>
            <w:pPr>
              <w:spacing w:after="0"/>
              <w:rPr>
                <w:sz w:val="1"/>
                <w:szCs w:val="1"/>
                <w:color w:val="auto"/>
              </w:rPr>
            </w:pPr>
          </w:p>
        </w:tc>
      </w:tr>
      <w:tr>
        <w:trPr>
          <w:trHeight w:val="228"/>
        </w:trPr>
        <w:tc>
          <w:tcPr>
            <w:tcW w:w="1060" w:type="dxa"/>
            <w:vAlign w:val="bottom"/>
            <w:vMerge w:val="restart"/>
          </w:tcPr>
          <w:p>
            <w:pPr>
              <w:jc w:val="center"/>
              <w:ind w:right="113"/>
              <w:spacing w:after="0"/>
              <w:rPr>
                <w:sz w:val="20"/>
                <w:szCs w:val="20"/>
                <w:color w:val="auto"/>
              </w:rPr>
            </w:pPr>
            <w:r>
              <w:rPr>
                <w:rFonts w:ascii="Times New Roman" w:cs="Times New Roman" w:eastAsia="Times New Roman" w:hAnsi="Times New Roman"/>
                <w:sz w:val="18"/>
                <w:szCs w:val="18"/>
                <w:color w:val="auto"/>
                <w:w w:val="99"/>
              </w:rPr>
              <w:t>Number of</w:t>
            </w:r>
          </w:p>
        </w:tc>
        <w:tc>
          <w:tcPr>
            <w:tcW w:w="240" w:type="dxa"/>
            <w:vAlign w:val="bottom"/>
            <w:tcBorders>
              <w:bottom w:val="single" w:sz="8" w:color="808080"/>
            </w:tcBorders>
          </w:tcPr>
          <w:p>
            <w:pPr>
              <w:spacing w:after="0"/>
              <w:rPr>
                <w:sz w:val="19"/>
                <w:szCs w:val="19"/>
                <w:color w:val="auto"/>
              </w:rPr>
            </w:pPr>
          </w:p>
        </w:tc>
        <w:tc>
          <w:tcPr>
            <w:tcW w:w="990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320"/>
        </w:trPr>
        <w:tc>
          <w:tcPr>
            <w:tcW w:w="1060" w:type="dxa"/>
            <w:vAlign w:val="bottom"/>
            <w:vMerge w:val="continue"/>
          </w:tcPr>
          <w:p>
            <w:pPr>
              <w:spacing w:after="0"/>
              <w:rPr>
                <w:sz w:val="24"/>
                <w:szCs w:val="24"/>
                <w:color w:val="auto"/>
              </w:rPr>
            </w:pPr>
          </w:p>
        </w:tc>
        <w:tc>
          <w:tcPr>
            <w:tcW w:w="240" w:type="dxa"/>
            <w:vAlign w:val="bottom"/>
            <w:vMerge w:val="restart"/>
          </w:tcPr>
          <w:p>
            <w:pPr>
              <w:jc w:val="right"/>
              <w:ind w:right="12"/>
              <w:spacing w:after="0"/>
              <w:rPr>
                <w:sz w:val="20"/>
                <w:szCs w:val="20"/>
                <w:color w:val="auto"/>
              </w:rPr>
            </w:pPr>
            <w:r>
              <w:rPr>
                <w:rFonts w:ascii="Times New Roman" w:cs="Times New Roman" w:eastAsia="Times New Roman" w:hAnsi="Times New Roman"/>
                <w:sz w:val="18"/>
                <w:szCs w:val="18"/>
                <w:color w:val="auto"/>
                <w:w w:val="88"/>
              </w:rPr>
              <w:t>6.</w:t>
            </w:r>
          </w:p>
        </w:tc>
        <w:tc>
          <w:tcPr>
            <w:tcW w:w="9900" w:type="dxa"/>
            <w:vAlign w:val="bottom"/>
            <w:vMerge w:val="restart"/>
          </w:tcPr>
          <w:p>
            <w:pPr>
              <w:ind w:left="100"/>
              <w:spacing w:after="0"/>
              <w:rPr>
                <w:sz w:val="20"/>
                <w:szCs w:val="20"/>
                <w:color w:val="auto"/>
              </w:rPr>
            </w:pPr>
            <w:r>
              <w:rPr>
                <w:rFonts w:ascii="Times New Roman" w:cs="Times New Roman" w:eastAsia="Times New Roman" w:hAnsi="Times New Roman"/>
                <w:sz w:val="18"/>
                <w:szCs w:val="18"/>
                <w:color w:val="auto"/>
              </w:rPr>
              <w:t>Shared Voting Power:</w:t>
            </w:r>
          </w:p>
        </w:tc>
        <w:tc>
          <w:tcPr>
            <w:tcW w:w="0" w:type="dxa"/>
            <w:vAlign w:val="bottom"/>
          </w:tcPr>
          <w:p>
            <w:pPr>
              <w:spacing w:after="0"/>
              <w:rPr>
                <w:sz w:val="1"/>
                <w:szCs w:val="1"/>
                <w:color w:val="auto"/>
              </w:rPr>
            </w:pPr>
          </w:p>
        </w:tc>
      </w:tr>
      <w:tr>
        <w:trPr>
          <w:trHeight w:val="95"/>
        </w:trPr>
        <w:tc>
          <w:tcPr>
            <w:tcW w:w="1060" w:type="dxa"/>
            <w:vAlign w:val="bottom"/>
            <w:vMerge w:val="restart"/>
          </w:tcPr>
          <w:p>
            <w:pPr>
              <w:jc w:val="center"/>
              <w:ind w:right="113"/>
              <w:spacing w:after="0"/>
              <w:rPr>
                <w:sz w:val="20"/>
                <w:szCs w:val="20"/>
                <w:color w:val="auto"/>
              </w:rPr>
            </w:pPr>
            <w:r>
              <w:rPr>
                <w:rFonts w:ascii="Times New Roman" w:cs="Times New Roman" w:eastAsia="Times New Roman" w:hAnsi="Times New Roman"/>
                <w:sz w:val="18"/>
                <w:szCs w:val="18"/>
                <w:color w:val="auto"/>
                <w:w w:val="95"/>
              </w:rPr>
              <w:t>Shares</w:t>
            </w:r>
          </w:p>
        </w:tc>
        <w:tc>
          <w:tcPr>
            <w:tcW w:w="240" w:type="dxa"/>
            <w:vAlign w:val="bottom"/>
            <w:vMerge w:val="continue"/>
          </w:tcPr>
          <w:p>
            <w:pPr>
              <w:spacing w:after="0"/>
              <w:rPr>
                <w:sz w:val="8"/>
                <w:szCs w:val="8"/>
                <w:color w:val="auto"/>
              </w:rPr>
            </w:pPr>
          </w:p>
        </w:tc>
        <w:tc>
          <w:tcPr>
            <w:tcW w:w="99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1060" w:type="dxa"/>
            <w:vAlign w:val="bottom"/>
            <w:vMerge w:val="continue"/>
          </w:tcPr>
          <w:p>
            <w:pPr>
              <w:spacing w:after="0"/>
              <w:rPr>
                <w:sz w:val="10"/>
                <w:szCs w:val="10"/>
                <w:color w:val="auto"/>
              </w:rPr>
            </w:pPr>
          </w:p>
        </w:tc>
        <w:tc>
          <w:tcPr>
            <w:tcW w:w="240" w:type="dxa"/>
            <w:vAlign w:val="bottom"/>
          </w:tcPr>
          <w:p>
            <w:pPr>
              <w:spacing w:after="0"/>
              <w:rPr>
                <w:sz w:val="10"/>
                <w:szCs w:val="10"/>
                <w:color w:val="auto"/>
              </w:rPr>
            </w:pPr>
          </w:p>
        </w:tc>
        <w:tc>
          <w:tcPr>
            <w:tcW w:w="9900" w:type="dxa"/>
            <w:vAlign w:val="bottom"/>
            <w:vMerge w:val="restart"/>
          </w:tcPr>
          <w:p>
            <w:pPr>
              <w:ind w:left="100"/>
              <w:spacing w:after="0"/>
              <w:rPr>
                <w:sz w:val="20"/>
                <w:szCs w:val="20"/>
                <w:color w:val="auto"/>
              </w:rPr>
            </w:pPr>
            <w:r>
              <w:rPr>
                <w:rFonts w:ascii="Times New Roman" w:cs="Times New Roman" w:eastAsia="Times New Roman" w:hAnsi="Times New Roman"/>
                <w:sz w:val="18"/>
                <w:szCs w:val="18"/>
                <w:color w:val="auto"/>
              </w:rPr>
              <w:t>0 shares</w:t>
            </w:r>
          </w:p>
        </w:tc>
        <w:tc>
          <w:tcPr>
            <w:tcW w:w="0" w:type="dxa"/>
            <w:vAlign w:val="bottom"/>
          </w:tcPr>
          <w:p>
            <w:pPr>
              <w:spacing w:after="0"/>
              <w:rPr>
                <w:sz w:val="1"/>
                <w:szCs w:val="1"/>
                <w:color w:val="auto"/>
              </w:rPr>
            </w:pPr>
          </w:p>
        </w:tc>
      </w:tr>
      <w:tr>
        <w:trPr>
          <w:trHeight w:val="107"/>
        </w:trPr>
        <w:tc>
          <w:tcPr>
            <w:tcW w:w="1060" w:type="dxa"/>
            <w:vAlign w:val="bottom"/>
            <w:vMerge w:val="restart"/>
          </w:tcPr>
          <w:p>
            <w:pPr>
              <w:jc w:val="center"/>
              <w:ind w:right="113"/>
              <w:spacing w:after="0"/>
              <w:rPr>
                <w:sz w:val="20"/>
                <w:szCs w:val="20"/>
                <w:color w:val="auto"/>
              </w:rPr>
            </w:pPr>
            <w:r>
              <w:rPr>
                <w:rFonts w:ascii="Times New Roman" w:cs="Times New Roman" w:eastAsia="Times New Roman" w:hAnsi="Times New Roman"/>
                <w:sz w:val="18"/>
                <w:szCs w:val="18"/>
                <w:color w:val="auto"/>
                <w:w w:val="97"/>
              </w:rPr>
              <w:t>Beneficially</w:t>
            </w:r>
          </w:p>
        </w:tc>
        <w:tc>
          <w:tcPr>
            <w:tcW w:w="240" w:type="dxa"/>
            <w:vAlign w:val="bottom"/>
          </w:tcPr>
          <w:p>
            <w:pPr>
              <w:spacing w:after="0"/>
              <w:rPr>
                <w:sz w:val="9"/>
                <w:szCs w:val="9"/>
                <w:color w:val="auto"/>
              </w:rPr>
            </w:pPr>
          </w:p>
        </w:tc>
        <w:tc>
          <w:tcPr>
            <w:tcW w:w="99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9"/>
        </w:trPr>
        <w:tc>
          <w:tcPr>
            <w:tcW w:w="1060" w:type="dxa"/>
            <w:vAlign w:val="bottom"/>
            <w:vMerge w:val="continue"/>
          </w:tcPr>
          <w:p>
            <w:pPr>
              <w:spacing w:after="0"/>
              <w:rPr>
                <w:sz w:val="9"/>
                <w:szCs w:val="9"/>
                <w:color w:val="auto"/>
              </w:rPr>
            </w:pPr>
          </w:p>
        </w:tc>
        <w:tc>
          <w:tcPr>
            <w:tcW w:w="240" w:type="dxa"/>
            <w:vAlign w:val="bottom"/>
          </w:tcPr>
          <w:p>
            <w:pPr>
              <w:spacing w:after="0"/>
              <w:rPr>
                <w:sz w:val="9"/>
                <w:szCs w:val="9"/>
                <w:color w:val="auto"/>
              </w:rPr>
            </w:pPr>
          </w:p>
        </w:tc>
        <w:tc>
          <w:tcPr>
            <w:tcW w:w="99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19"/>
        </w:trPr>
        <w:tc>
          <w:tcPr>
            <w:tcW w:w="1060" w:type="dxa"/>
            <w:vAlign w:val="bottom"/>
            <w:vMerge w:val="restart"/>
          </w:tcPr>
          <w:p>
            <w:pPr>
              <w:jc w:val="center"/>
              <w:ind w:right="113"/>
              <w:spacing w:after="0"/>
              <w:rPr>
                <w:sz w:val="20"/>
                <w:szCs w:val="20"/>
                <w:color w:val="auto"/>
              </w:rPr>
            </w:pPr>
            <w:r>
              <w:rPr>
                <w:rFonts w:ascii="Times New Roman" w:cs="Times New Roman" w:eastAsia="Times New Roman" w:hAnsi="Times New Roman"/>
                <w:sz w:val="18"/>
                <w:szCs w:val="18"/>
                <w:color w:val="auto"/>
                <w:w w:val="99"/>
              </w:rPr>
              <w:t>Owned by</w:t>
            </w:r>
          </w:p>
        </w:tc>
        <w:tc>
          <w:tcPr>
            <w:tcW w:w="240" w:type="dxa"/>
            <w:vAlign w:val="bottom"/>
            <w:tcBorders>
              <w:bottom w:val="single" w:sz="8" w:color="808080"/>
            </w:tcBorders>
          </w:tcPr>
          <w:p>
            <w:pPr>
              <w:spacing w:after="0"/>
              <w:rPr>
                <w:sz w:val="10"/>
                <w:szCs w:val="10"/>
                <w:color w:val="auto"/>
              </w:rPr>
            </w:pPr>
          </w:p>
        </w:tc>
        <w:tc>
          <w:tcPr>
            <w:tcW w:w="990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77"/>
        </w:trPr>
        <w:tc>
          <w:tcPr>
            <w:tcW w:w="106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99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1060" w:type="dxa"/>
            <w:vAlign w:val="bottom"/>
          </w:tcPr>
          <w:p>
            <w:pPr>
              <w:jc w:val="center"/>
              <w:ind w:right="113"/>
              <w:spacing w:after="0"/>
              <w:rPr>
                <w:sz w:val="20"/>
                <w:szCs w:val="20"/>
                <w:color w:val="auto"/>
              </w:rPr>
            </w:pPr>
            <w:r>
              <w:rPr>
                <w:rFonts w:ascii="Times New Roman" w:cs="Times New Roman" w:eastAsia="Times New Roman" w:hAnsi="Times New Roman"/>
                <w:sz w:val="18"/>
                <w:szCs w:val="18"/>
                <w:color w:val="auto"/>
                <w:w w:val="94"/>
              </w:rPr>
              <w:t>Each</w:t>
            </w:r>
          </w:p>
        </w:tc>
        <w:tc>
          <w:tcPr>
            <w:tcW w:w="240" w:type="dxa"/>
            <w:vAlign w:val="bottom"/>
            <w:vMerge w:val="restart"/>
          </w:tcPr>
          <w:p>
            <w:pPr>
              <w:jc w:val="right"/>
              <w:ind w:right="12"/>
              <w:spacing w:after="0"/>
              <w:rPr>
                <w:sz w:val="20"/>
                <w:szCs w:val="20"/>
                <w:color w:val="auto"/>
              </w:rPr>
            </w:pPr>
            <w:r>
              <w:rPr>
                <w:rFonts w:ascii="Times New Roman" w:cs="Times New Roman" w:eastAsia="Times New Roman" w:hAnsi="Times New Roman"/>
                <w:sz w:val="18"/>
                <w:szCs w:val="18"/>
                <w:color w:val="auto"/>
                <w:w w:val="88"/>
              </w:rPr>
              <w:t>7.</w:t>
            </w:r>
          </w:p>
        </w:tc>
        <w:tc>
          <w:tcPr>
            <w:tcW w:w="9900" w:type="dxa"/>
            <w:vAlign w:val="bottom"/>
            <w:vMerge w:val="restart"/>
          </w:tcPr>
          <w:p>
            <w:pPr>
              <w:ind w:left="100"/>
              <w:spacing w:after="0"/>
              <w:rPr>
                <w:sz w:val="20"/>
                <w:szCs w:val="20"/>
                <w:color w:val="auto"/>
              </w:rPr>
            </w:pPr>
            <w:r>
              <w:rPr>
                <w:rFonts w:ascii="Times New Roman" w:cs="Times New Roman" w:eastAsia="Times New Roman" w:hAnsi="Times New Roman"/>
                <w:sz w:val="18"/>
                <w:szCs w:val="18"/>
                <w:color w:val="auto"/>
              </w:rPr>
              <w:t>Sole Dispositive Power:</w:t>
            </w:r>
          </w:p>
        </w:tc>
        <w:tc>
          <w:tcPr>
            <w:tcW w:w="0" w:type="dxa"/>
            <w:vAlign w:val="bottom"/>
          </w:tcPr>
          <w:p>
            <w:pPr>
              <w:spacing w:after="0"/>
              <w:rPr>
                <w:sz w:val="1"/>
                <w:szCs w:val="1"/>
                <w:color w:val="auto"/>
              </w:rPr>
            </w:pPr>
          </w:p>
        </w:tc>
      </w:tr>
      <w:tr>
        <w:trPr>
          <w:trHeight w:val="142"/>
        </w:trPr>
        <w:tc>
          <w:tcPr>
            <w:tcW w:w="1060" w:type="dxa"/>
            <w:vAlign w:val="bottom"/>
          </w:tcPr>
          <w:p>
            <w:pPr>
              <w:jc w:val="center"/>
              <w:ind w:right="113"/>
              <w:spacing w:after="0" w:line="142" w:lineRule="exact"/>
              <w:rPr>
                <w:sz w:val="20"/>
                <w:szCs w:val="20"/>
                <w:color w:val="auto"/>
              </w:rPr>
            </w:pPr>
            <w:r>
              <w:rPr>
                <w:rFonts w:ascii="Times New Roman" w:cs="Times New Roman" w:eastAsia="Times New Roman" w:hAnsi="Times New Roman"/>
                <w:sz w:val="16"/>
                <w:szCs w:val="16"/>
                <w:color w:val="auto"/>
              </w:rPr>
              <w:t>Reporting</w:t>
            </w:r>
          </w:p>
        </w:tc>
        <w:tc>
          <w:tcPr>
            <w:tcW w:w="240" w:type="dxa"/>
            <w:vAlign w:val="bottom"/>
            <w:vMerge w:val="continue"/>
          </w:tcPr>
          <w:p>
            <w:pPr>
              <w:spacing w:after="0"/>
              <w:rPr>
                <w:sz w:val="12"/>
                <w:szCs w:val="12"/>
                <w:color w:val="auto"/>
              </w:rPr>
            </w:pPr>
          </w:p>
        </w:tc>
        <w:tc>
          <w:tcPr>
            <w:tcW w:w="99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7168515</wp:posOffset>
            </wp:positionH>
            <wp:positionV relativeFrom="paragraph">
              <wp:posOffset>-855980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-855980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7168515</wp:posOffset>
            </wp:positionH>
            <wp:positionV relativeFrom="paragraph">
              <wp:posOffset>-290195</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-290195</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tbl>
      <w:tblPr>
        <w:tblLayout w:type="fixed"/>
        <w:tblInd w:w="100" w:type="dxa"/>
        <w:tblCellMar>
          <w:top w:w="0" w:type="dxa"/>
          <w:left w:w="0" w:type="dxa"/>
          <w:bottom w:w="0" w:type="dxa"/>
          <w:right w:w="0" w:type="dxa"/>
        </w:tblCellMar>
      </w:tblPr>
      <w:tr>
        <w:trPr>
          <w:trHeight w:val="228"/>
        </w:trPr>
        <w:tc>
          <w:tcPr>
            <w:tcW w:w="106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Person With</w:t>
            </w:r>
          </w:p>
        </w:tc>
        <w:tc>
          <w:tcPr>
            <w:tcW w:w="10140" w:type="dxa"/>
            <w:vAlign w:val="bottom"/>
          </w:tcPr>
          <w:p>
            <w:pPr>
              <w:jc w:val="right"/>
              <w:ind w:right="9012"/>
              <w:spacing w:after="0"/>
              <w:rPr>
                <w:sz w:val="20"/>
                <w:szCs w:val="20"/>
                <w:color w:val="auto"/>
              </w:rPr>
            </w:pPr>
            <w:r>
              <w:rPr>
                <w:rFonts w:ascii="Times New Roman" w:cs="Times New Roman" w:eastAsia="Times New Roman" w:hAnsi="Times New Roman"/>
                <w:sz w:val="18"/>
                <w:szCs w:val="18"/>
                <w:color w:val="auto"/>
              </w:rPr>
              <w:t>5,315,632</w:t>
            </w:r>
          </w:p>
        </w:tc>
        <w:tc>
          <w:tcPr>
            <w:tcW w:w="0" w:type="dxa"/>
            <w:vAlign w:val="bottom"/>
          </w:tcPr>
          <w:p>
            <w:pPr>
              <w:spacing w:after="0"/>
              <w:rPr>
                <w:sz w:val="1"/>
                <w:szCs w:val="1"/>
                <w:color w:val="auto"/>
              </w:rPr>
            </w:pPr>
          </w:p>
        </w:tc>
      </w:tr>
      <w:tr>
        <w:trPr>
          <w:trHeight w:val="75"/>
        </w:trPr>
        <w:tc>
          <w:tcPr>
            <w:tcW w:w="1060" w:type="dxa"/>
            <w:vAlign w:val="bottom"/>
            <w:vMerge w:val="continue"/>
          </w:tcPr>
          <w:p>
            <w:pPr>
              <w:spacing w:after="0"/>
              <w:rPr>
                <w:sz w:val="6"/>
                <w:szCs w:val="6"/>
                <w:color w:val="auto"/>
              </w:rPr>
            </w:pPr>
          </w:p>
        </w:tc>
        <w:tc>
          <w:tcPr>
            <w:tcW w:w="10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34"/>
        </w:trPr>
        <w:tc>
          <w:tcPr>
            <w:tcW w:w="1060" w:type="dxa"/>
            <w:vAlign w:val="bottom"/>
          </w:tcPr>
          <w:p>
            <w:pPr>
              <w:spacing w:after="0"/>
              <w:rPr>
                <w:sz w:val="11"/>
                <w:szCs w:val="11"/>
                <w:color w:val="auto"/>
              </w:rPr>
            </w:pPr>
          </w:p>
        </w:tc>
        <w:tc>
          <w:tcPr>
            <w:tcW w:w="101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7168515</wp:posOffset>
            </wp:positionH>
            <wp:positionV relativeFrom="paragraph">
              <wp:posOffset>-14605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736600</wp:posOffset>
            </wp:positionH>
            <wp:positionV relativeFrom="paragraph">
              <wp:posOffset>-14605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178" w:lineRule="exact"/>
        <w:rPr>
          <w:sz w:val="20"/>
          <w:szCs w:val="20"/>
          <w:color w:val="auto"/>
        </w:rPr>
      </w:pPr>
    </w:p>
    <w:p>
      <w:pPr>
        <w:ind w:left="1500" w:hanging="336"/>
        <w:spacing w:after="0"/>
        <w:tabs>
          <w:tab w:leader="none" w:pos="1500" w:val="left"/>
        </w:tabs>
        <w:numPr>
          <w:ilvl w:val="1"/>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Dispositive Power:</w:t>
      </w:r>
    </w:p>
    <w:p>
      <w:pPr>
        <w:spacing w:after="0" w:line="21" w:lineRule="exact"/>
        <w:rPr>
          <w:rFonts w:ascii="Times New Roman" w:cs="Times New Roman" w:eastAsia="Times New Roman" w:hAnsi="Times New Roman"/>
          <w:sz w:val="18"/>
          <w:szCs w:val="18"/>
          <w:color w:val="auto"/>
        </w:rPr>
      </w:pPr>
    </w:p>
    <w:p>
      <w:pPr>
        <w:ind w:left="150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0 shares</w:t>
      </w:r>
    </w:p>
    <w:p>
      <w:pPr>
        <w:spacing w:after="0" w:line="200" w:lineRule="exact"/>
        <w:rPr>
          <w:rFonts w:ascii="Times New Roman" w:cs="Times New Roman" w:eastAsia="Times New Roman" w:hAnsi="Times New Roman"/>
          <w:sz w:val="18"/>
          <w:szCs w:val="18"/>
          <w:color w:val="auto"/>
        </w:rPr>
      </w:pPr>
    </w:p>
    <w:p>
      <w:pPr>
        <w:spacing w:after="0" w:line="255" w:lineRule="exact"/>
        <w:rPr>
          <w:rFonts w:ascii="Times New Roman" w:cs="Times New Roman" w:eastAsia="Times New Roman" w:hAnsi="Times New Roman"/>
          <w:sz w:val="18"/>
          <w:szCs w:val="18"/>
          <w:color w:val="auto"/>
        </w:rPr>
      </w:pPr>
    </w:p>
    <w:p>
      <w:pPr>
        <w:ind w:left="820" w:right="5760" w:hanging="359"/>
        <w:spacing w:after="0" w:line="275" w:lineRule="auto"/>
        <w:tabs>
          <w:tab w:leader="none" w:pos="8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Aggregate Amount Beneficially Owned by Each Reporting Person: 5,315,632 shares</w:t>
      </w:r>
    </w:p>
    <w:p>
      <w:pPr>
        <w:spacing w:after="0" w:line="200" w:lineRule="exact"/>
        <w:rPr>
          <w:rFonts w:ascii="Times New Roman" w:cs="Times New Roman" w:eastAsia="Times New Roman" w:hAnsi="Times New Roman"/>
          <w:sz w:val="18"/>
          <w:szCs w:val="18"/>
          <w:color w:val="auto"/>
        </w:rPr>
      </w:pPr>
    </w:p>
    <w:p>
      <w:pPr>
        <w:spacing w:after="0" w:line="217" w:lineRule="exact"/>
        <w:rPr>
          <w:rFonts w:ascii="Times New Roman" w:cs="Times New Roman" w:eastAsia="Times New Roman" w:hAnsi="Times New Roman"/>
          <w:sz w:val="18"/>
          <w:szCs w:val="18"/>
          <w:color w:val="auto"/>
        </w:rPr>
      </w:pPr>
    </w:p>
    <w:p>
      <w:pPr>
        <w:ind w:left="820" w:right="5620" w:hanging="359"/>
        <w:spacing w:after="0" w:line="275" w:lineRule="auto"/>
        <w:tabs>
          <w:tab w:leader="none" w:pos="8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Check if the Aggregate Amount in Row (9) Excludes Certain Shares: o</w:t>
      </w:r>
    </w:p>
    <w:p>
      <w:pPr>
        <w:spacing w:after="0" w:line="200" w:lineRule="exact"/>
        <w:rPr>
          <w:rFonts w:ascii="Times New Roman" w:cs="Times New Roman" w:eastAsia="Times New Roman" w:hAnsi="Times New Roman"/>
          <w:sz w:val="18"/>
          <w:szCs w:val="18"/>
          <w:color w:val="auto"/>
        </w:rPr>
      </w:pPr>
    </w:p>
    <w:p>
      <w:pPr>
        <w:spacing w:after="0" w:line="217" w:lineRule="exact"/>
        <w:rPr>
          <w:rFonts w:ascii="Times New Roman" w:cs="Times New Roman" w:eastAsia="Times New Roman" w:hAnsi="Times New Roman"/>
          <w:sz w:val="18"/>
          <w:szCs w:val="18"/>
          <w:color w:val="auto"/>
        </w:rPr>
      </w:pPr>
    </w:p>
    <w:p>
      <w:pPr>
        <w:ind w:left="820" w:right="6740" w:hanging="359"/>
        <w:spacing w:after="0" w:line="275" w:lineRule="auto"/>
        <w:tabs>
          <w:tab w:leader="none" w:pos="8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 Represented by Amount in Row (9): 4.4%</w:t>
      </w:r>
    </w:p>
    <w:p>
      <w:pPr>
        <w:spacing w:after="0" w:line="200" w:lineRule="exact"/>
        <w:rPr>
          <w:rFonts w:ascii="Times New Roman" w:cs="Times New Roman" w:eastAsia="Times New Roman" w:hAnsi="Times New Roman"/>
          <w:sz w:val="18"/>
          <w:szCs w:val="18"/>
          <w:color w:val="auto"/>
        </w:rPr>
      </w:pPr>
    </w:p>
    <w:p>
      <w:pPr>
        <w:spacing w:after="0" w:line="217" w:lineRule="exact"/>
        <w:rPr>
          <w:rFonts w:ascii="Times New Roman" w:cs="Times New Roman" w:eastAsia="Times New Roman" w:hAnsi="Times New Roman"/>
          <w:sz w:val="18"/>
          <w:szCs w:val="18"/>
          <w:color w:val="auto"/>
        </w:rPr>
      </w:pPr>
    </w:p>
    <w:p>
      <w:pPr>
        <w:ind w:left="820" w:hanging="359"/>
        <w:spacing w:after="0"/>
        <w:tabs>
          <w:tab w:leader="none" w:pos="8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Type of Reporting Person:</w:t>
      </w:r>
    </w:p>
    <w:p>
      <w:pPr>
        <w:spacing w:after="0" w:line="21" w:lineRule="exact"/>
        <w:rPr>
          <w:rFonts w:ascii="Times New Roman" w:cs="Times New Roman" w:eastAsia="Times New Roman" w:hAnsi="Times New Roman"/>
          <w:sz w:val="18"/>
          <w:szCs w:val="18"/>
          <w:color w:val="auto"/>
        </w:rPr>
      </w:pPr>
    </w:p>
    <w:p>
      <w:pPr>
        <w:ind w:left="8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-2120900</wp:posOffset>
            </wp:positionV>
            <wp:extent cx="718185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-1555115</wp:posOffset>
            </wp:positionV>
            <wp:extent cx="718185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-989330</wp:posOffset>
            </wp:positionV>
            <wp:extent cx="7181850" cy="215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-422910</wp:posOffset>
            </wp:positionV>
            <wp:extent cx="7181850" cy="215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81850" cy="215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142240</wp:posOffset>
            </wp:positionV>
            <wp:extent cx="718185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3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Page 2 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149860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1314" w:right="299" w:bottom="1440" w:gutter="0" w:footer="0" w:header="0"/>
          <w:type w:val="continuous"/>
        </w:sectPr>
      </w:pPr>
    </w:p>
    <w:bookmarkStart w:id="3" w:name="page4"/>
    <w:bookmarkEnd w:id="3"/>
    <w:p>
      <w:pPr>
        <w:jc w:val="center"/>
        <w:spacing w:after="0"/>
        <w:rPr>
          <w:sz w:val="20"/>
          <w:szCs w:val="20"/>
          <w:color w:val="auto"/>
        </w:rPr>
      </w:pPr>
      <w:r>
        <w:rPr>
          <w:rFonts w:ascii="Times New Roman" w:cs="Times New Roman" w:eastAsia="Times New Roman" w:hAnsi="Times New Roman"/>
          <w:sz w:val="18"/>
          <w:szCs w:val="18"/>
          <w:color w:val="auto"/>
        </w:rPr>
        <w:t>13G</w:t>
      </w:r>
    </w:p>
    <w:p>
      <w:pPr>
        <w:spacing w:after="0" w:line="3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1.</w:t>
      </w:r>
    </w:p>
    <w:p>
      <w:pPr>
        <w:spacing w:after="0" w:line="119" w:lineRule="exact"/>
        <w:rPr>
          <w:sz w:val="20"/>
          <w:szCs w:val="20"/>
          <w:color w:val="auto"/>
        </w:rPr>
      </w:pPr>
    </w:p>
    <w:p>
      <w:pPr>
        <w:ind w:left="1720" w:hanging="570"/>
        <w:spacing w:after="0"/>
        <w:tabs>
          <w:tab w:leader="none" w:pos="17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Issuer:</w:t>
      </w:r>
    </w:p>
    <w:p>
      <w:pPr>
        <w:spacing w:after="0" w:line="117" w:lineRule="exact"/>
        <w:rPr>
          <w:rFonts w:ascii="Times New Roman" w:cs="Times New Roman" w:eastAsia="Times New Roman" w:hAnsi="Times New Roman"/>
          <w:sz w:val="18"/>
          <w:szCs w:val="18"/>
          <w:color w:val="auto"/>
        </w:rPr>
      </w:pPr>
    </w:p>
    <w:p>
      <w:pPr>
        <w:ind w:left="17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w:t>
      </w:r>
    </w:p>
    <w:p>
      <w:pPr>
        <w:spacing w:after="0" w:line="117"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Issuer’s Principal Executive Offices:</w:t>
      </w:r>
    </w:p>
    <w:p>
      <w:pPr>
        <w:spacing w:after="0" w:line="117" w:lineRule="exact"/>
        <w:rPr>
          <w:rFonts w:ascii="Times New Roman" w:cs="Times New Roman" w:eastAsia="Times New Roman" w:hAnsi="Times New Roman"/>
          <w:sz w:val="18"/>
          <w:szCs w:val="18"/>
          <w:color w:val="auto"/>
        </w:rPr>
      </w:pPr>
    </w:p>
    <w:p>
      <w:pPr>
        <w:ind w:left="1720" w:right="7340"/>
        <w:spacing w:after="0" w:line="257"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 Richmond House</w:t>
      </w:r>
    </w:p>
    <w:p>
      <w:pPr>
        <w:spacing w:after="0" w:line="1" w:lineRule="exact"/>
        <w:rPr>
          <w:rFonts w:ascii="Times New Roman" w:cs="Times New Roman" w:eastAsia="Times New Roman" w:hAnsi="Times New Roman"/>
          <w:sz w:val="18"/>
          <w:szCs w:val="18"/>
          <w:color w:val="auto"/>
        </w:rPr>
      </w:pPr>
    </w:p>
    <w:p>
      <w:pPr>
        <w:ind w:left="17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3rd Floor</w:t>
      </w:r>
    </w:p>
    <w:p>
      <w:pPr>
        <w:spacing w:after="0" w:line="9" w:lineRule="exact"/>
        <w:rPr>
          <w:rFonts w:ascii="Times New Roman" w:cs="Times New Roman" w:eastAsia="Times New Roman" w:hAnsi="Times New Roman"/>
          <w:sz w:val="18"/>
          <w:szCs w:val="18"/>
          <w:color w:val="auto"/>
        </w:rPr>
      </w:pPr>
    </w:p>
    <w:p>
      <w:pPr>
        <w:ind w:left="1720" w:right="830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Par la Ville Road Hamilton HM DX Bermuda</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2.</w:t>
      </w:r>
    </w:p>
    <w:p>
      <w:pPr>
        <w:spacing w:after="0" w:line="119" w:lineRule="exact"/>
        <w:rPr>
          <w:sz w:val="20"/>
          <w:szCs w:val="20"/>
          <w:color w:val="auto"/>
        </w:rPr>
      </w:pPr>
    </w:p>
    <w:p>
      <w:pPr>
        <w:ind w:left="1720" w:right="7600" w:hanging="570"/>
        <w:spacing w:after="0" w:line="422" w:lineRule="auto"/>
        <w:tabs>
          <w:tab w:leader="none" w:pos="1720" w:val="left"/>
        </w:tabs>
        <w:numPr>
          <w:ilvl w:val="0"/>
          <w:numId w:val="6"/>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Name of Person Filing: Kuo Wei (“Herbert”) Chang</w:t>
      </w:r>
    </w:p>
    <w:p>
      <w:pPr>
        <w:spacing w:after="0" w:line="1" w:lineRule="exact"/>
        <w:rPr>
          <w:rFonts w:ascii="Times New Roman" w:cs="Times New Roman" w:eastAsia="Times New Roman" w:hAnsi="Times New Roman"/>
          <w:sz w:val="16"/>
          <w:szCs w:val="16"/>
          <w:color w:val="auto"/>
        </w:rPr>
      </w:pPr>
    </w:p>
    <w:p>
      <w:pPr>
        <w:ind w:left="1720" w:hanging="570"/>
        <w:spacing w:after="0"/>
        <w:tabs>
          <w:tab w:leader="none" w:pos="172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Principal Business Office or, if none, Residence:</w:t>
      </w:r>
    </w:p>
    <w:p>
      <w:pPr>
        <w:spacing w:after="0" w:line="117" w:lineRule="exact"/>
        <w:rPr>
          <w:rFonts w:ascii="Times New Roman" w:cs="Times New Roman" w:eastAsia="Times New Roman" w:hAnsi="Times New Roman"/>
          <w:sz w:val="18"/>
          <w:szCs w:val="18"/>
          <w:color w:val="auto"/>
        </w:rPr>
      </w:pPr>
    </w:p>
    <w:p>
      <w:pPr>
        <w:ind w:left="1720" w:right="7080"/>
        <w:spacing w:after="0" w:line="27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3600 Pruneridge Avenue, Suite 300 Santa Clara, California 95051</w:t>
      </w:r>
    </w:p>
    <w:p>
      <w:pPr>
        <w:spacing w:after="0" w:line="281" w:lineRule="exact"/>
        <w:rPr>
          <w:rFonts w:ascii="Times New Roman" w:cs="Times New Roman" w:eastAsia="Times New Roman" w:hAnsi="Times New Roman"/>
          <w:sz w:val="18"/>
          <w:szCs w:val="18"/>
          <w:color w:val="auto"/>
        </w:rPr>
      </w:pPr>
    </w:p>
    <w:p>
      <w:pPr>
        <w:ind w:left="1720" w:right="8540" w:hanging="570"/>
        <w:spacing w:after="0" w:line="422" w:lineRule="auto"/>
        <w:tabs>
          <w:tab w:leader="none" w:pos="1720" w:val="left"/>
        </w:tabs>
        <w:numPr>
          <w:ilvl w:val="0"/>
          <w:numId w:val="6"/>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Citizenship: Taiwan (ROC)</w:t>
      </w:r>
    </w:p>
    <w:p>
      <w:pPr>
        <w:spacing w:after="0" w:line="1" w:lineRule="exact"/>
        <w:rPr>
          <w:rFonts w:ascii="Times New Roman" w:cs="Times New Roman" w:eastAsia="Times New Roman" w:hAnsi="Times New Roman"/>
          <w:sz w:val="16"/>
          <w:szCs w:val="16"/>
          <w:color w:val="auto"/>
        </w:rPr>
      </w:pPr>
    </w:p>
    <w:p>
      <w:pPr>
        <w:ind w:left="1720" w:hanging="570"/>
        <w:spacing w:after="0"/>
        <w:tabs>
          <w:tab w:leader="none" w:pos="172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Title of Class of Securities:</w:t>
      </w:r>
    </w:p>
    <w:p>
      <w:pPr>
        <w:spacing w:after="0" w:line="117" w:lineRule="exact"/>
        <w:rPr>
          <w:rFonts w:ascii="Times New Roman" w:cs="Times New Roman" w:eastAsia="Times New Roman" w:hAnsi="Times New Roman"/>
          <w:sz w:val="18"/>
          <w:szCs w:val="18"/>
          <w:color w:val="auto"/>
        </w:rPr>
      </w:pPr>
    </w:p>
    <w:p>
      <w:pPr>
        <w:ind w:left="17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Common stock, par value $0.002 per share</w:t>
      </w:r>
    </w:p>
    <w:p>
      <w:pPr>
        <w:spacing w:after="0" w:line="117" w:lineRule="exact"/>
        <w:rPr>
          <w:rFonts w:ascii="Times New Roman" w:cs="Times New Roman" w:eastAsia="Times New Roman" w:hAnsi="Times New Roman"/>
          <w:sz w:val="18"/>
          <w:szCs w:val="18"/>
          <w:color w:val="auto"/>
        </w:rPr>
      </w:pPr>
    </w:p>
    <w:p>
      <w:pPr>
        <w:ind w:left="1720" w:right="8420" w:hanging="570"/>
        <w:spacing w:after="0" w:line="480" w:lineRule="auto"/>
        <w:tabs>
          <w:tab w:leader="none" w:pos="1720" w:val="left"/>
        </w:tabs>
        <w:numPr>
          <w:ilvl w:val="0"/>
          <w:numId w:val="6"/>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CUSIP Number: G 5876H105</w:t>
      </w:r>
    </w:p>
    <w:p>
      <w:pPr>
        <w:spacing w:after="0" w:line="234" w:lineRule="exact"/>
        <w:rPr>
          <w:sz w:val="20"/>
          <w:szCs w:val="20"/>
          <w:color w:val="auto"/>
        </w:rPr>
      </w:pPr>
    </w:p>
    <w:p>
      <w:pPr>
        <w:spacing w:after="0"/>
        <w:tabs>
          <w:tab w:leader="none" w:pos="1140" w:val="left"/>
        </w:tabs>
        <w:rPr>
          <w:sz w:val="20"/>
          <w:szCs w:val="20"/>
          <w:color w:val="auto"/>
        </w:rPr>
      </w:pPr>
      <w:r>
        <w:rPr>
          <w:rFonts w:ascii="Times New Roman" w:cs="Times New Roman" w:eastAsia="Times New Roman" w:hAnsi="Times New Roman"/>
          <w:sz w:val="18"/>
          <w:szCs w:val="18"/>
          <w:b w:val="1"/>
          <w:bCs w:val="1"/>
          <w:color w:val="auto"/>
        </w:rPr>
        <w:t>Item 3.</w:t>
      </w:r>
      <w:r>
        <w:rPr>
          <w:sz w:val="20"/>
          <w:szCs w:val="20"/>
          <w:color w:val="auto"/>
        </w:rPr>
        <w:tab/>
      </w:r>
      <w:r>
        <w:rPr>
          <w:rFonts w:ascii="Times New Roman" w:cs="Times New Roman" w:eastAsia="Times New Roman" w:hAnsi="Times New Roman"/>
          <w:sz w:val="16"/>
          <w:szCs w:val="16"/>
          <w:b w:val="1"/>
          <w:bCs w:val="1"/>
          <w:color w:val="auto"/>
        </w:rPr>
        <w:t>If this statement is filed pursuant to §§240.13d-1(b) or 240.13d-2(b) or (c), check whether the person filing is a:</w:t>
      </w:r>
    </w:p>
    <w:p>
      <w:pPr>
        <w:spacing w:after="0" w:line="86" w:lineRule="exact"/>
        <w:rPr>
          <w:sz w:val="20"/>
          <w:szCs w:val="20"/>
          <w:color w:val="auto"/>
        </w:rPr>
      </w:pPr>
    </w:p>
    <w:p>
      <w:pPr>
        <w:ind w:left="1720"/>
        <w:spacing w:after="0" w:line="242" w:lineRule="exact"/>
        <w:rPr>
          <w:sz w:val="20"/>
          <w:szCs w:val="20"/>
          <w:color w:val="auto"/>
        </w:rPr>
      </w:pPr>
      <w:r>
        <w:rPr>
          <w:rFonts w:ascii="MS PGothic" w:cs="MS PGothic" w:eastAsia="MS PGothic" w:hAnsi="MS PGothic"/>
          <w:sz w:val="21"/>
          <w:szCs w:val="21"/>
          <w:color w:val="auto"/>
        </w:rPr>
        <w:t>☒</w:t>
      </w:r>
      <w:r>
        <w:rPr>
          <w:rFonts w:ascii="Times New Roman" w:cs="Times New Roman" w:eastAsia="Times New Roman" w:hAnsi="Times New Roman"/>
          <w:sz w:val="16"/>
          <w:szCs w:val="16"/>
          <w:color w:val="auto"/>
        </w:rPr>
        <w:t>Not Applicable.</w:t>
      </w:r>
    </w:p>
    <w:p>
      <w:pPr>
        <w:spacing w:after="0" w:line="143" w:lineRule="exact"/>
        <w:rPr>
          <w:sz w:val="20"/>
          <w:szCs w:val="20"/>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Broker or dealer registered under section 15 of the Act (15 U.S.C. 78o).</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Bank as defined in section 3(a)(6) of the Act (15 U.S.C. 78c).</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Insurance company as defined in section 3(a)(19) of the Act (15 U.S.C. 78c).</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Investment company registered under section 8 of the Investment Company Act of 1940 (15 U.S.C. 80a-8).</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An investment adviser in accordance with §240.13d-1(b)(1)(ii)(E);</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An employee benefit plan or endowment fund in accordance with §240.13d-1(b)(1)(ii)(F);</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A parent holding company or control person in accordance with § 240.13d-1(b)(1)(ii)(G);</w:t>
      </w:r>
    </w:p>
    <w:p>
      <w:pPr>
        <w:spacing w:after="0" w:line="98" w:lineRule="exact"/>
        <w:rPr>
          <w:rFonts w:ascii="Times New Roman" w:cs="Times New Roman" w:eastAsia="Times New Roman" w:hAnsi="Times New Roman"/>
          <w:sz w:val="18"/>
          <w:szCs w:val="18"/>
          <w:color w:val="auto"/>
        </w:rPr>
      </w:pPr>
    </w:p>
    <w:p>
      <w:pPr>
        <w:ind w:left="1720" w:hanging="570"/>
        <w:spacing w:after="0"/>
        <w:tabs>
          <w:tab w:leader="none" w:pos="17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6"/>
          <w:szCs w:val="16"/>
          <w:color w:val="auto"/>
        </w:rPr>
        <w:t>A savings associations as defined in Section 3(b) of the Federal Deposit Insurance Act (12 U.S.C. 1813);</w:t>
      </w:r>
    </w:p>
    <w:p>
      <w:pPr>
        <w:spacing w:after="0" w:line="111" w:lineRule="exact"/>
        <w:rPr>
          <w:sz w:val="20"/>
          <w:szCs w:val="20"/>
          <w:color w:val="auto"/>
        </w:rPr>
      </w:pPr>
    </w:p>
    <w:tbl>
      <w:tblPr>
        <w:tblLayout w:type="fixed"/>
        <w:tblInd w:w="1160" w:type="dxa"/>
        <w:tblCellMar>
          <w:top w:w="0" w:type="dxa"/>
          <w:left w:w="0" w:type="dxa"/>
          <w:bottom w:w="0" w:type="dxa"/>
          <w:right w:w="0" w:type="dxa"/>
        </w:tblCellMar>
      </w:tblPr>
      <w:tr>
        <w:trPr>
          <w:trHeight w:val="216"/>
        </w:trPr>
        <w:tc>
          <w:tcPr>
            <w:tcW w:w="36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(i)</w:t>
            </w:r>
          </w:p>
        </w:tc>
        <w:tc>
          <w:tcPr>
            <w:tcW w:w="540" w:type="dxa"/>
            <w:vAlign w:val="bottom"/>
            <w:vMerge w:val="restart"/>
          </w:tcPr>
          <w:p>
            <w:pPr>
              <w:ind w:left="200"/>
              <w:spacing w:after="0"/>
              <w:rPr>
                <w:sz w:val="20"/>
                <w:szCs w:val="20"/>
                <w:color w:val="auto"/>
              </w:rPr>
            </w:pPr>
            <w:r>
              <w:rPr>
                <w:rFonts w:ascii="Times New Roman" w:cs="Times New Roman" w:eastAsia="Times New Roman" w:hAnsi="Times New Roman"/>
                <w:sz w:val="22"/>
                <w:szCs w:val="22"/>
                <w:color w:val="auto"/>
              </w:rPr>
              <w:t>o</w:t>
            </w:r>
          </w:p>
        </w:tc>
        <w:tc>
          <w:tcPr>
            <w:tcW w:w="9240" w:type="dxa"/>
            <w:vAlign w:val="bottom"/>
          </w:tcPr>
          <w:p>
            <w:pPr>
              <w:ind w:left="220"/>
              <w:spacing w:after="0"/>
              <w:rPr>
                <w:sz w:val="20"/>
                <w:szCs w:val="20"/>
                <w:color w:val="auto"/>
              </w:rPr>
            </w:pPr>
            <w:r>
              <w:rPr>
                <w:rFonts w:ascii="Times New Roman" w:cs="Times New Roman" w:eastAsia="Times New Roman" w:hAnsi="Times New Roman"/>
                <w:sz w:val="18"/>
                <w:szCs w:val="18"/>
                <w:color w:val="auto"/>
                <w:w w:val="97"/>
              </w:rPr>
              <w:t>A church plan that is excluded from the definition of an investment company under section 3(c)(14) of the Investment Company</w:t>
            </w:r>
          </w:p>
        </w:tc>
        <w:tc>
          <w:tcPr>
            <w:tcW w:w="0" w:type="dxa"/>
            <w:vAlign w:val="bottom"/>
          </w:tcPr>
          <w:p>
            <w:pPr>
              <w:spacing w:after="0"/>
              <w:rPr>
                <w:sz w:val="1"/>
                <w:szCs w:val="1"/>
                <w:color w:val="auto"/>
              </w:rPr>
            </w:pPr>
          </w:p>
        </w:tc>
      </w:tr>
      <w:tr>
        <w:trPr>
          <w:trHeight w:val="148"/>
        </w:trPr>
        <w:tc>
          <w:tcPr>
            <w:tcW w:w="360" w:type="dxa"/>
            <w:vAlign w:val="bottom"/>
            <w:vMerge w:val="continue"/>
          </w:tcPr>
          <w:p>
            <w:pPr>
              <w:spacing w:after="0"/>
              <w:rPr>
                <w:sz w:val="12"/>
                <w:szCs w:val="12"/>
                <w:color w:val="auto"/>
              </w:rPr>
            </w:pPr>
          </w:p>
        </w:tc>
        <w:tc>
          <w:tcPr>
            <w:tcW w:w="540" w:type="dxa"/>
            <w:vAlign w:val="bottom"/>
            <w:vMerge w:val="continue"/>
          </w:tcPr>
          <w:p>
            <w:pPr>
              <w:spacing w:after="0"/>
              <w:rPr>
                <w:sz w:val="12"/>
                <w:szCs w:val="12"/>
                <w:color w:val="auto"/>
              </w:rPr>
            </w:pPr>
          </w:p>
        </w:tc>
        <w:tc>
          <w:tcPr>
            <w:tcW w:w="9240" w:type="dxa"/>
            <w:vAlign w:val="bottom"/>
            <w:vMerge w:val="restart"/>
          </w:tcPr>
          <w:p>
            <w:pPr>
              <w:ind w:left="220"/>
              <w:spacing w:after="0"/>
              <w:rPr>
                <w:sz w:val="20"/>
                <w:szCs w:val="20"/>
                <w:color w:val="auto"/>
              </w:rPr>
            </w:pPr>
            <w:r>
              <w:rPr>
                <w:rFonts w:ascii="Times New Roman" w:cs="Times New Roman" w:eastAsia="Times New Roman" w:hAnsi="Times New Roman"/>
                <w:sz w:val="18"/>
                <w:szCs w:val="18"/>
                <w:color w:val="auto"/>
              </w:rPr>
              <w:t>Act of 1940 (15 U.S.C. 80a-3);</w:t>
            </w:r>
          </w:p>
        </w:tc>
        <w:tc>
          <w:tcPr>
            <w:tcW w:w="0" w:type="dxa"/>
            <w:vAlign w:val="bottom"/>
          </w:tcPr>
          <w:p>
            <w:pPr>
              <w:spacing w:after="0"/>
              <w:rPr>
                <w:sz w:val="1"/>
                <w:szCs w:val="1"/>
                <w:color w:val="auto"/>
              </w:rPr>
            </w:pPr>
          </w:p>
        </w:tc>
      </w:tr>
      <w:tr>
        <w:trPr>
          <w:trHeight w:val="81"/>
        </w:trPr>
        <w:tc>
          <w:tcPr>
            <w:tcW w:w="360" w:type="dxa"/>
            <w:vAlign w:val="bottom"/>
          </w:tcPr>
          <w:p>
            <w:pPr>
              <w:spacing w:after="0"/>
              <w:rPr>
                <w:sz w:val="7"/>
                <w:szCs w:val="7"/>
                <w:color w:val="auto"/>
              </w:rPr>
            </w:pPr>
          </w:p>
        </w:tc>
        <w:tc>
          <w:tcPr>
            <w:tcW w:w="540" w:type="dxa"/>
            <w:vAlign w:val="bottom"/>
          </w:tcPr>
          <w:p>
            <w:pPr>
              <w:spacing w:after="0"/>
              <w:rPr>
                <w:sz w:val="7"/>
                <w:szCs w:val="7"/>
                <w:color w:val="auto"/>
              </w:rPr>
            </w:pPr>
          </w:p>
        </w:tc>
        <w:tc>
          <w:tcPr>
            <w:tcW w:w="92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bl>
    <w:p>
      <w:pPr>
        <w:spacing w:after="0" w:line="83" w:lineRule="exact"/>
        <w:rPr>
          <w:sz w:val="20"/>
          <w:szCs w:val="20"/>
          <w:color w:val="auto"/>
        </w:rPr>
      </w:pPr>
    </w:p>
    <w:p>
      <w:pPr>
        <w:ind w:left="2280" w:right="5240" w:hanging="1130"/>
        <w:spacing w:after="0" w:line="980" w:lineRule="auto"/>
        <w:tabs>
          <w:tab w:leader="none" w:pos="-1259"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22"/>
          <w:szCs w:val="22"/>
          <w:color w:val="auto"/>
        </w:rPr>
        <w:t>o</w:t>
      </w:r>
      <w:r>
        <w:rPr>
          <w:rFonts w:ascii="Times New Roman" w:cs="Times New Roman" w:eastAsia="Times New Roman" w:hAnsi="Times New Roman"/>
          <w:sz w:val="18"/>
          <w:szCs w:val="18"/>
          <w:color w:val="auto"/>
        </w:rPr>
        <w:t>Group, in accordance with §240.13d-1(b)(1)(ii)(J). Page 3 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-251460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935" w:right="299" w:bottom="1440" w:gutter="0" w:footer="0" w:header="0"/>
        </w:sectPr>
      </w:pPr>
    </w:p>
    <w:bookmarkStart w:id="4" w:name="page5"/>
    <w:bookmarkEnd w:id="4"/>
    <w:p>
      <w:pPr>
        <w:jc w:val="center"/>
        <w:ind w:right="-79"/>
        <w:spacing w:after="0"/>
        <w:rPr>
          <w:sz w:val="20"/>
          <w:szCs w:val="20"/>
          <w:color w:val="auto"/>
        </w:rPr>
      </w:pPr>
      <w:r>
        <w:rPr>
          <w:rFonts w:ascii="Times New Roman" w:cs="Times New Roman" w:eastAsia="Times New Roman" w:hAnsi="Times New Roman"/>
          <w:sz w:val="18"/>
          <w:szCs w:val="18"/>
          <w:color w:val="auto"/>
        </w:rPr>
        <w:t>13G</w:t>
      </w:r>
    </w:p>
    <w:p>
      <w:pPr>
        <w:spacing w:after="0" w:line="385"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4.</w:t>
      </w:r>
      <w:r>
        <w:rPr>
          <w:sz w:val="20"/>
          <w:szCs w:val="20"/>
          <w:color w:val="auto"/>
        </w:rPr>
        <w:tab/>
      </w:r>
      <w:r>
        <w:rPr>
          <w:rFonts w:ascii="Times New Roman" w:cs="Times New Roman" w:eastAsia="Times New Roman" w:hAnsi="Times New Roman"/>
          <w:sz w:val="16"/>
          <w:szCs w:val="16"/>
          <w:b w:val="1"/>
          <w:bCs w:val="1"/>
          <w:color w:val="auto"/>
        </w:rPr>
        <w:t>Ownership.</w:t>
      </w:r>
    </w:p>
    <w:p>
      <w:pPr>
        <w:spacing w:after="0" w:line="119" w:lineRule="exact"/>
        <w:rPr>
          <w:sz w:val="20"/>
          <w:szCs w:val="20"/>
          <w:color w:val="auto"/>
        </w:rPr>
      </w:pPr>
    </w:p>
    <w:p>
      <w:pPr>
        <w:ind w:left="1780" w:hanging="570"/>
        <w:spacing w:after="0"/>
        <w:tabs>
          <w:tab w:leader="none" w:pos="17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Amount beneficially owned:</w:t>
      </w:r>
    </w:p>
    <w:p>
      <w:pPr>
        <w:spacing w:after="0" w:line="117" w:lineRule="exact"/>
        <w:rPr>
          <w:rFonts w:ascii="Times New Roman" w:cs="Times New Roman" w:eastAsia="Times New Roman" w:hAnsi="Times New Roman"/>
          <w:sz w:val="18"/>
          <w:szCs w:val="18"/>
          <w:color w:val="auto"/>
        </w:rPr>
      </w:pPr>
    </w:p>
    <w:p>
      <w:pPr>
        <w:ind w:left="17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5,315,632 shares.*</w:t>
      </w:r>
    </w:p>
    <w:p>
      <w:pPr>
        <w:spacing w:after="0" w:line="117" w:lineRule="exact"/>
        <w:rPr>
          <w:rFonts w:ascii="Times New Roman" w:cs="Times New Roman" w:eastAsia="Times New Roman" w:hAnsi="Times New Roman"/>
          <w:sz w:val="18"/>
          <w:szCs w:val="18"/>
          <w:color w:val="auto"/>
        </w:rPr>
      </w:pPr>
    </w:p>
    <w:p>
      <w:pPr>
        <w:ind w:left="1780" w:hanging="570"/>
        <w:spacing w:after="0"/>
        <w:tabs>
          <w:tab w:leader="none" w:pos="17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w:t>
      </w:r>
    </w:p>
    <w:p>
      <w:pPr>
        <w:spacing w:after="0" w:line="117" w:lineRule="exact"/>
        <w:rPr>
          <w:rFonts w:ascii="Times New Roman" w:cs="Times New Roman" w:eastAsia="Times New Roman" w:hAnsi="Times New Roman"/>
          <w:sz w:val="18"/>
          <w:szCs w:val="18"/>
          <w:color w:val="auto"/>
        </w:rPr>
      </w:pPr>
    </w:p>
    <w:p>
      <w:pPr>
        <w:ind w:left="17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4.4%</w:t>
      </w:r>
    </w:p>
    <w:p>
      <w:pPr>
        <w:spacing w:after="0" w:line="117" w:lineRule="exact"/>
        <w:rPr>
          <w:rFonts w:ascii="Times New Roman" w:cs="Times New Roman" w:eastAsia="Times New Roman" w:hAnsi="Times New Roman"/>
          <w:sz w:val="18"/>
          <w:szCs w:val="18"/>
          <w:color w:val="auto"/>
        </w:rPr>
      </w:pPr>
    </w:p>
    <w:p>
      <w:pPr>
        <w:ind w:left="1780" w:hanging="570"/>
        <w:spacing w:after="0"/>
        <w:tabs>
          <w:tab w:leader="none" w:pos="17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Number of shares as to which the person has:</w:t>
      </w:r>
    </w:p>
    <w:p>
      <w:pPr>
        <w:spacing w:after="0" w:line="117" w:lineRule="exact"/>
        <w:rPr>
          <w:rFonts w:ascii="Times New Roman" w:cs="Times New Roman" w:eastAsia="Times New Roman" w:hAnsi="Times New Roman"/>
          <w:sz w:val="18"/>
          <w:szCs w:val="18"/>
          <w:color w:val="auto"/>
        </w:rPr>
      </w:pPr>
    </w:p>
    <w:p>
      <w:pPr>
        <w:ind w:left="2340" w:hanging="563"/>
        <w:spacing w:after="0"/>
        <w:tabs>
          <w:tab w:leader="none" w:pos="234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vote or to direct the vote:</w:t>
      </w:r>
    </w:p>
    <w:p>
      <w:pPr>
        <w:spacing w:after="0" w:line="117" w:lineRule="exact"/>
        <w:rPr>
          <w:rFonts w:ascii="Times New Roman" w:cs="Times New Roman" w:eastAsia="Times New Roman" w:hAnsi="Times New Roman"/>
          <w:sz w:val="18"/>
          <w:szCs w:val="18"/>
          <w:color w:val="auto"/>
        </w:rPr>
      </w:pPr>
    </w:p>
    <w:p>
      <w:pPr>
        <w:ind w:left="23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5,315,632 shares.*</w:t>
      </w:r>
    </w:p>
    <w:p>
      <w:pPr>
        <w:spacing w:after="0" w:line="117" w:lineRule="exact"/>
        <w:rPr>
          <w:rFonts w:ascii="Times New Roman" w:cs="Times New Roman" w:eastAsia="Times New Roman" w:hAnsi="Times New Roman"/>
          <w:sz w:val="18"/>
          <w:szCs w:val="18"/>
          <w:color w:val="auto"/>
        </w:rPr>
      </w:pPr>
    </w:p>
    <w:p>
      <w:pPr>
        <w:ind w:left="2340" w:hanging="563"/>
        <w:spacing w:after="0"/>
        <w:tabs>
          <w:tab w:leader="none" w:pos="234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to direct the vote:</w:t>
      </w:r>
    </w:p>
    <w:p>
      <w:pPr>
        <w:spacing w:after="0" w:line="117" w:lineRule="exact"/>
        <w:rPr>
          <w:rFonts w:ascii="Times New Roman" w:cs="Times New Roman" w:eastAsia="Times New Roman" w:hAnsi="Times New Roman"/>
          <w:sz w:val="18"/>
          <w:szCs w:val="18"/>
          <w:color w:val="auto"/>
        </w:rPr>
      </w:pPr>
    </w:p>
    <w:p>
      <w:pPr>
        <w:ind w:left="23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0 shares</w:t>
      </w:r>
    </w:p>
    <w:p>
      <w:pPr>
        <w:spacing w:after="0" w:line="117" w:lineRule="exact"/>
        <w:rPr>
          <w:rFonts w:ascii="Times New Roman" w:cs="Times New Roman" w:eastAsia="Times New Roman" w:hAnsi="Times New Roman"/>
          <w:sz w:val="18"/>
          <w:szCs w:val="18"/>
          <w:color w:val="auto"/>
        </w:rPr>
      </w:pPr>
    </w:p>
    <w:p>
      <w:pPr>
        <w:ind w:left="2340" w:right="5340" w:hanging="563"/>
        <w:spacing w:after="0" w:line="375" w:lineRule="auto"/>
        <w:tabs>
          <w:tab w:leader="none" w:pos="234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to direct the disposition of: 5,315,632 shares.*</w:t>
      </w:r>
    </w:p>
    <w:p>
      <w:pPr>
        <w:spacing w:after="0" w:line="1" w:lineRule="exact"/>
        <w:rPr>
          <w:rFonts w:ascii="Times New Roman" w:cs="Times New Roman" w:eastAsia="Times New Roman" w:hAnsi="Times New Roman"/>
          <w:sz w:val="18"/>
          <w:szCs w:val="18"/>
          <w:color w:val="auto"/>
        </w:rPr>
      </w:pPr>
    </w:p>
    <w:p>
      <w:pPr>
        <w:ind w:left="2340" w:right="5160" w:hanging="563"/>
        <w:spacing w:after="0" w:line="400" w:lineRule="auto"/>
        <w:tabs>
          <w:tab w:leader="none" w:pos="2340" w:val="left"/>
        </w:tabs>
        <w:numPr>
          <w:ilvl w:val="1"/>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to direct the disposition of: 0 shares</w:t>
      </w:r>
    </w:p>
    <w:p>
      <w:pPr>
        <w:spacing w:after="0" w:line="280"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5.</w:t>
      </w:r>
      <w:r>
        <w:rPr>
          <w:sz w:val="20"/>
          <w:szCs w:val="20"/>
          <w:color w:val="auto"/>
        </w:rPr>
        <w:tab/>
      </w:r>
      <w:r>
        <w:rPr>
          <w:rFonts w:ascii="Times New Roman" w:cs="Times New Roman" w:eastAsia="Times New Roman" w:hAnsi="Times New Roman"/>
          <w:sz w:val="16"/>
          <w:szCs w:val="16"/>
          <w:b w:val="1"/>
          <w:bCs w:val="1"/>
          <w:color w:val="auto"/>
        </w:rPr>
        <w:t>Ownership of Five Percent or Less of a Class.</w:t>
      </w:r>
    </w:p>
    <w:p>
      <w:pPr>
        <w:spacing w:after="0" w:line="200" w:lineRule="exact"/>
        <w:rPr>
          <w:sz w:val="20"/>
          <w:szCs w:val="20"/>
          <w:color w:val="auto"/>
        </w:rPr>
      </w:pPr>
    </w:p>
    <w:p>
      <w:pPr>
        <w:spacing w:after="0" w:line="243" w:lineRule="exact"/>
        <w:rPr>
          <w:sz w:val="20"/>
          <w:szCs w:val="20"/>
          <w:color w:val="auto"/>
        </w:rPr>
      </w:pPr>
    </w:p>
    <w:p>
      <w:pPr>
        <w:ind w:left="60" w:right="100"/>
        <w:spacing w:after="0" w:line="246" w:lineRule="exact"/>
        <w:rPr>
          <w:sz w:val="20"/>
          <w:szCs w:val="20"/>
          <w:color w:val="auto"/>
        </w:rPr>
      </w:pPr>
      <w:r>
        <w:rPr>
          <w:rFonts w:ascii="Times New Roman" w:cs="Times New Roman" w:eastAsia="Times New Roman" w:hAnsi="Times New Roman"/>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Times New Roman" w:cs="Times New Roman" w:eastAsia="Times New Roman" w:hAnsi="Times New Roman"/>
          <w:sz w:val="21"/>
          <w:szCs w:val="21"/>
          <w:color w:val="auto"/>
        </w:rPr>
        <w:t>.</w:t>
      </w:r>
    </w:p>
    <w:p>
      <w:pPr>
        <w:spacing w:after="0" w:line="398"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6.</w:t>
      </w:r>
      <w:r>
        <w:rPr>
          <w:sz w:val="20"/>
          <w:szCs w:val="20"/>
          <w:color w:val="auto"/>
        </w:rPr>
        <w:tab/>
      </w:r>
      <w:r>
        <w:rPr>
          <w:rFonts w:ascii="Times New Roman" w:cs="Times New Roman" w:eastAsia="Times New Roman" w:hAnsi="Times New Roman"/>
          <w:sz w:val="16"/>
          <w:szCs w:val="16"/>
          <w:b w:val="1"/>
          <w:bCs w:val="1"/>
          <w:color w:val="auto"/>
        </w:rPr>
        <w:t>Ownership of More than Five Percent on Behalf of Another Person.</w:t>
      </w:r>
    </w:p>
    <w:p>
      <w:pPr>
        <w:spacing w:after="0" w:line="200" w:lineRule="exact"/>
        <w:rPr>
          <w:sz w:val="20"/>
          <w:szCs w:val="20"/>
          <w:color w:val="auto"/>
        </w:rPr>
      </w:pPr>
    </w:p>
    <w:p>
      <w:pPr>
        <w:spacing w:after="0" w:line="243"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39"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7.</w:t>
      </w:r>
      <w:r>
        <w:rPr>
          <w:sz w:val="20"/>
          <w:szCs w:val="20"/>
          <w:color w:val="auto"/>
        </w:rPr>
        <w:tab/>
      </w:r>
      <w:r>
        <w:rPr>
          <w:rFonts w:ascii="Times New Roman" w:cs="Times New Roman" w:eastAsia="Times New Roman" w:hAnsi="Times New Roman"/>
          <w:sz w:val="16"/>
          <w:szCs w:val="16"/>
          <w:b w:val="1"/>
          <w:bCs w:val="1"/>
          <w:color w:val="auto"/>
        </w:rPr>
        <w:t>Identification and Classification of the Subsidiary Which Acquired the Security Being Reported on By the Parent Holding Company.</w:t>
      </w:r>
    </w:p>
    <w:p>
      <w:pPr>
        <w:spacing w:after="0" w:line="200" w:lineRule="exact"/>
        <w:rPr>
          <w:sz w:val="20"/>
          <w:szCs w:val="20"/>
          <w:color w:val="auto"/>
        </w:rPr>
      </w:pPr>
    </w:p>
    <w:p>
      <w:pPr>
        <w:spacing w:after="0" w:line="243"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39"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8.</w:t>
      </w:r>
      <w:r>
        <w:rPr>
          <w:sz w:val="20"/>
          <w:szCs w:val="20"/>
          <w:color w:val="auto"/>
        </w:rPr>
        <w:tab/>
      </w:r>
      <w:r>
        <w:rPr>
          <w:rFonts w:ascii="Times New Roman" w:cs="Times New Roman" w:eastAsia="Times New Roman" w:hAnsi="Times New Roman"/>
          <w:sz w:val="16"/>
          <w:szCs w:val="16"/>
          <w:b w:val="1"/>
          <w:bCs w:val="1"/>
          <w:color w:val="auto"/>
        </w:rPr>
        <w:t>Identification and Classification of Members of the Group.</w:t>
      </w:r>
    </w:p>
    <w:p>
      <w:pPr>
        <w:spacing w:after="0" w:line="200" w:lineRule="exact"/>
        <w:rPr>
          <w:sz w:val="20"/>
          <w:szCs w:val="20"/>
          <w:color w:val="auto"/>
        </w:rPr>
      </w:pPr>
    </w:p>
    <w:p>
      <w:pPr>
        <w:spacing w:after="0" w:line="243"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239" w:lineRule="exact"/>
        <w:rPr>
          <w:sz w:val="20"/>
          <w:szCs w:val="20"/>
          <w:color w:val="auto"/>
        </w:rPr>
      </w:pPr>
    </w:p>
    <w:p>
      <w:pPr>
        <w:ind w:left="60"/>
        <w:spacing w:after="0"/>
        <w:tabs>
          <w:tab w:leader="none" w:pos="1200" w:val="left"/>
        </w:tabs>
        <w:rPr>
          <w:sz w:val="20"/>
          <w:szCs w:val="20"/>
          <w:color w:val="auto"/>
        </w:rPr>
      </w:pPr>
      <w:r>
        <w:rPr>
          <w:rFonts w:ascii="Times New Roman" w:cs="Times New Roman" w:eastAsia="Times New Roman" w:hAnsi="Times New Roman"/>
          <w:sz w:val="18"/>
          <w:szCs w:val="18"/>
          <w:b w:val="1"/>
          <w:bCs w:val="1"/>
          <w:color w:val="auto"/>
        </w:rPr>
        <w:t>Item 9.</w:t>
      </w:r>
      <w:r>
        <w:rPr>
          <w:sz w:val="20"/>
          <w:szCs w:val="20"/>
          <w:color w:val="auto"/>
        </w:rPr>
        <w:tab/>
      </w:r>
      <w:r>
        <w:rPr>
          <w:rFonts w:ascii="Times New Roman" w:cs="Times New Roman" w:eastAsia="Times New Roman" w:hAnsi="Times New Roman"/>
          <w:sz w:val="16"/>
          <w:szCs w:val="16"/>
          <w:b w:val="1"/>
          <w:bCs w:val="1"/>
          <w:color w:val="auto"/>
        </w:rPr>
        <w:t>Notice of Dissolution of Group.</w:t>
      </w:r>
    </w:p>
    <w:p>
      <w:pPr>
        <w:spacing w:after="0" w:line="200" w:lineRule="exact"/>
        <w:rPr>
          <w:sz w:val="20"/>
          <w:szCs w:val="20"/>
          <w:color w:val="auto"/>
        </w:rPr>
      </w:pPr>
    </w:p>
    <w:p>
      <w:pPr>
        <w:spacing w:after="0" w:line="243"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00" w:lineRule="exact"/>
        <w:rPr>
          <w:sz w:val="20"/>
          <w:szCs w:val="20"/>
          <w:color w:val="auto"/>
        </w:rPr>
      </w:pPr>
    </w:p>
    <w:p>
      <w:pPr>
        <w:spacing w:after="0" w:line="32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Footnotes:</w:t>
      </w:r>
    </w:p>
    <w:p>
      <w:pPr>
        <w:spacing w:after="0" w:line="225" w:lineRule="exact"/>
        <w:rPr>
          <w:sz w:val="20"/>
          <w:szCs w:val="20"/>
          <w:color w:val="auto"/>
        </w:rPr>
      </w:pPr>
    </w:p>
    <w:p>
      <w:pPr>
        <w:ind w:firstLine="8"/>
        <w:spacing w:after="0" w:line="254" w:lineRule="auto"/>
        <w:tabs>
          <w:tab w:leader="none" w:pos="132"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amounts reported include 260,000 shares held by InveStar Dayspring Venture Capital, Inc.; 3,413,220 share held by InveStar Semiconductor Development Fund, Inc.; 1,134,000 shares held by InveStar Burgeon Venture Capital, Inc.; 50,796 shares held by InveStar Capital, Inc.; 50,000 shares held by InveStar Excelsus Venture Capital (Int'l), Inc. and 184,616 shares held by Forefront Ventures Partners, L.P. The Reporting Person is the President of InveStar Capital, Inc., which is the investment manager of each of InveStar Dayspring Venture Capital, Inc., InveStar Excelsus Venture Capital (Int'l), Inc., InveStar Semiconductor Development Fund, Inc. and InveStar Burgeon Venture Capital, Inc. The Reporting Person is also the managing director of Forefront Associates LLC, which is the general partner of Forefront Ventures Partners, L.P. The Reporting Person disclaims beneficial ownership of the shares held by various funds listed above except to the extent o f his pecuniary interest, if any. Also includes 42,000 shares beneficially owned pursuant to stock option exercisable within 60 days of December 31, 2002.</w:t>
      </w:r>
    </w:p>
    <w:p>
      <w:pPr>
        <w:spacing w:after="0" w:line="200" w:lineRule="exact"/>
        <w:rPr>
          <w:sz w:val="20"/>
          <w:szCs w:val="20"/>
          <w:color w:val="auto"/>
        </w:rPr>
      </w:pPr>
    </w:p>
    <w:p>
      <w:pPr>
        <w:spacing w:after="0" w:line="235"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Page 4 of 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149860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935" w:right="299" w:bottom="248" w:gutter="0" w:footer="0" w:header="0"/>
        </w:sectPr>
      </w:pPr>
    </w:p>
    <w:bookmarkStart w:id="5" w:name="page6"/>
    <w:bookmarkEnd w:id="5"/>
    <w:p>
      <w:pPr>
        <w:jc w:val="center"/>
        <w:spacing w:after="0"/>
        <w:rPr>
          <w:sz w:val="20"/>
          <w:szCs w:val="20"/>
          <w:color w:val="auto"/>
        </w:rPr>
      </w:pPr>
      <w:r>
        <w:rPr>
          <w:rFonts w:ascii="Times New Roman" w:cs="Times New Roman" w:eastAsia="Times New Roman" w:hAnsi="Times New Roman"/>
          <w:sz w:val="16"/>
          <w:szCs w:val="16"/>
          <w:color w:val="auto"/>
        </w:rPr>
        <w:t>13G</w:t>
      </w:r>
    </w:p>
    <w:p>
      <w:pPr>
        <w:sectPr>
          <w:pgSz w:w="11900" w:h="16838" w:orient="portrait"/>
          <w:cols w:equalWidth="0" w:num="1">
            <w:col w:w="11420"/>
          </w:cols>
          <w:pgMar w:left="240" w:top="935" w:right="239" w:bottom="1440" w:gutter="0" w:footer="0" w:header="0"/>
        </w:sectPr>
      </w:pPr>
    </w:p>
    <w:p>
      <w:pPr>
        <w:spacing w:after="0" w:line="200" w:lineRule="exact"/>
        <w:rPr>
          <w:sz w:val="20"/>
          <w:szCs w:val="20"/>
          <w:color w:val="auto"/>
        </w:rPr>
      </w:pPr>
    </w:p>
    <w:p>
      <w:pPr>
        <w:spacing w:after="0" w:line="208"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6"/>
          <w:szCs w:val="16"/>
          <w:b w:val="1"/>
          <w:bCs w:val="1"/>
          <w:color w:val="auto"/>
        </w:rPr>
        <w:t>Item 10.</w:t>
      </w:r>
    </w:p>
    <w:p>
      <w:pPr>
        <w:spacing w:after="0" w:line="20" w:lineRule="exact"/>
        <w:rPr>
          <w:sz w:val="20"/>
          <w:szCs w:val="20"/>
          <w:color w:val="auto"/>
        </w:rPr>
      </w:pPr>
      <w:r>
        <w:rPr>
          <w:sz w:val="20"/>
          <w:szCs w:val="20"/>
          <w:color w:val="auto"/>
        </w:rPr>
        <w:br w:type="column"/>
      </w:r>
    </w:p>
    <w:p>
      <w:pPr>
        <w:spacing w:after="0" w:line="388"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b w:val="1"/>
          <w:bCs w:val="1"/>
          <w:color w:val="auto"/>
        </w:rPr>
        <w:t>Certification.</w:t>
      </w:r>
    </w:p>
    <w:p>
      <w:pPr>
        <w:spacing w:after="0" w:line="200" w:lineRule="exact"/>
        <w:rPr>
          <w:sz w:val="20"/>
          <w:szCs w:val="20"/>
          <w:color w:val="auto"/>
        </w:rPr>
      </w:pPr>
    </w:p>
    <w:p>
      <w:pPr>
        <w:sectPr>
          <w:pgSz w:w="11900" w:h="16838" w:orient="portrait"/>
          <w:cols w:equalWidth="0" w:num="2">
            <w:col w:w="680" w:space="540"/>
            <w:col w:w="10200"/>
          </w:cols>
          <w:pgMar w:left="240" w:top="935" w:right="239" w:bottom="1440" w:gutter="0" w:footer="0" w:header="0"/>
          <w:type w:val="continuous"/>
        </w:sectPr>
      </w:pPr>
    </w:p>
    <w:p>
      <w:pPr>
        <w:spacing w:after="0" w:line="266" w:lineRule="exact"/>
        <w:rPr>
          <w:sz w:val="20"/>
          <w:szCs w:val="20"/>
          <w:color w:val="auto"/>
        </w:rPr>
      </w:pPr>
    </w:p>
    <w:p>
      <w:pPr>
        <w:ind w:left="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7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6"/>
          <w:szCs w:val="16"/>
          <w:b w:val="1"/>
          <w:bCs w:val="1"/>
          <w:color w:val="auto"/>
        </w:rPr>
        <w:t>SIGNATURE</w:t>
      </w:r>
    </w:p>
    <w:p>
      <w:pPr>
        <w:sectPr>
          <w:pgSz w:w="11900" w:h="16838" w:orient="portrait"/>
          <w:cols w:equalWidth="0" w:num="1">
            <w:col w:w="11420"/>
          </w:cols>
          <w:pgMar w:left="240" w:top="935" w:right="239" w:bottom="1440" w:gutter="0" w:footer="0" w:header="0"/>
          <w:type w:val="continuous"/>
        </w:sectPr>
      </w:pP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After reasonable inquiry and to the best of my knowledge and belief, I certify that the information set forth in this statement is true, complete and correct.</w:t>
      </w:r>
    </w:p>
    <w:p>
      <w:pPr>
        <w:spacing w:after="0" w:line="225" w:lineRule="exact"/>
        <w:rPr>
          <w:sz w:val="20"/>
          <w:szCs w:val="20"/>
          <w:color w:val="auto"/>
        </w:rPr>
      </w:pPr>
    </w:p>
    <w:tbl>
      <w:tblPr>
        <w:tblLayout w:type="fixed"/>
        <w:tblInd w:w="6860" w:type="dxa"/>
        <w:tblCellMar>
          <w:top w:w="0" w:type="dxa"/>
          <w:left w:w="0" w:type="dxa"/>
          <w:bottom w:w="0" w:type="dxa"/>
          <w:right w:w="0" w:type="dxa"/>
        </w:tblCellMar>
      </w:tblPr>
      <w:tr>
        <w:trPr>
          <w:trHeight w:val="228"/>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Date:</w:t>
            </w:r>
          </w:p>
        </w:tc>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February 14, 2003</w:t>
            </w:r>
          </w:p>
        </w:tc>
        <w:tc>
          <w:tcPr>
            <w:tcW w:w="0" w:type="dxa"/>
            <w:vAlign w:val="bottom"/>
          </w:tcPr>
          <w:p>
            <w:pPr>
              <w:spacing w:after="0"/>
              <w:rPr>
                <w:sz w:val="1"/>
                <w:szCs w:val="1"/>
                <w:color w:val="auto"/>
              </w:rPr>
            </w:pPr>
          </w:p>
        </w:tc>
      </w:tr>
      <w:tr>
        <w:trPr>
          <w:trHeight w:val="432"/>
        </w:trPr>
        <w:tc>
          <w:tcPr>
            <w:tcW w:w="4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Company Name(s):</w:t>
            </w:r>
          </w:p>
        </w:tc>
        <w:tc>
          <w:tcPr>
            <w:tcW w:w="0" w:type="dxa"/>
            <w:vAlign w:val="bottom"/>
          </w:tcPr>
          <w:p>
            <w:pPr>
              <w:spacing w:after="0"/>
              <w:rPr>
                <w:sz w:val="1"/>
                <w:szCs w:val="1"/>
                <w:color w:val="auto"/>
              </w:rPr>
            </w:pPr>
          </w:p>
        </w:tc>
      </w:tr>
      <w:tr>
        <w:trPr>
          <w:trHeight w:val="675"/>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By:</w:t>
            </w:r>
          </w:p>
        </w:tc>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/s/ Kuo Wei Chang</w:t>
            </w:r>
          </w:p>
        </w:tc>
        <w:tc>
          <w:tcPr>
            <w:tcW w:w="0" w:type="dxa"/>
            <w:vAlign w:val="bottom"/>
          </w:tcPr>
          <w:p>
            <w:pPr>
              <w:spacing w:after="0"/>
              <w:rPr>
                <w:sz w:val="1"/>
                <w:szCs w:val="1"/>
                <w:color w:val="auto"/>
              </w:rPr>
            </w:pPr>
          </w:p>
        </w:tc>
      </w:tr>
      <w:tr>
        <w:trPr>
          <w:trHeight w:val="97"/>
        </w:trPr>
        <w:tc>
          <w:tcPr>
            <w:tcW w:w="840" w:type="dxa"/>
            <w:vAlign w:val="bottom"/>
          </w:tcPr>
          <w:p>
            <w:pPr>
              <w:spacing w:after="0"/>
              <w:rPr>
                <w:sz w:val="8"/>
                <w:szCs w:val="8"/>
                <w:color w:val="auto"/>
              </w:rPr>
            </w:pPr>
          </w:p>
        </w:tc>
        <w:tc>
          <w:tcPr>
            <w:tcW w:w="37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89"/>
        </w:trPr>
        <w:tc>
          <w:tcPr>
            <w:tcW w:w="840" w:type="dxa"/>
            <w:vAlign w:val="bottom"/>
          </w:tcPr>
          <w:p>
            <w:pPr>
              <w:spacing w:after="0"/>
              <w:rPr>
                <w:sz w:val="20"/>
                <w:szCs w:val="20"/>
                <w:color w:val="auto"/>
              </w:rPr>
            </w:pPr>
            <w:r>
              <w:rPr>
                <w:rFonts w:ascii="Times New Roman" w:cs="Times New Roman" w:eastAsia="Times New Roman" w:hAnsi="Times New Roman"/>
                <w:sz w:val="18"/>
                <w:szCs w:val="18"/>
                <w:color w:val="auto"/>
              </w:rPr>
              <w:t>Name:</w:t>
            </w:r>
          </w:p>
        </w:tc>
        <w:tc>
          <w:tcPr>
            <w:tcW w:w="3720" w:type="dxa"/>
            <w:vAlign w:val="bottom"/>
          </w:tcPr>
          <w:p>
            <w:pPr>
              <w:spacing w:after="0"/>
              <w:rPr>
                <w:sz w:val="20"/>
                <w:szCs w:val="20"/>
                <w:color w:val="auto"/>
              </w:rPr>
            </w:pPr>
            <w:r>
              <w:rPr>
                <w:rFonts w:ascii="Times New Roman" w:cs="Times New Roman" w:eastAsia="Times New Roman" w:hAnsi="Times New Roman"/>
                <w:sz w:val="18"/>
                <w:szCs w:val="18"/>
                <w:color w:val="auto"/>
              </w:rPr>
              <w:t>Kuo Wei Chang</w:t>
            </w:r>
          </w:p>
        </w:tc>
        <w:tc>
          <w:tcPr>
            <w:tcW w:w="0" w:type="dxa"/>
            <w:vAlign w:val="bottom"/>
          </w:tcPr>
          <w:p>
            <w:pPr>
              <w:spacing w:after="0"/>
              <w:rPr>
                <w:sz w:val="1"/>
                <w:szCs w:val="1"/>
                <w:color w:val="auto"/>
              </w:rPr>
            </w:pPr>
          </w:p>
        </w:tc>
      </w:tr>
      <w:tr>
        <w:trPr>
          <w:trHeight w:val="110"/>
        </w:trPr>
        <w:tc>
          <w:tcPr>
            <w:tcW w:w="84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Title:</w:t>
            </w:r>
          </w:p>
        </w:tc>
        <w:tc>
          <w:tcPr>
            <w:tcW w:w="37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840" w:type="dxa"/>
            <w:vAlign w:val="bottom"/>
            <w:vMerge w:val="continue"/>
          </w:tcPr>
          <w:p>
            <w:pPr>
              <w:spacing w:after="0"/>
              <w:rPr>
                <w:sz w:val="24"/>
                <w:szCs w:val="24"/>
                <w:color w:val="auto"/>
              </w:rPr>
            </w:pPr>
          </w:p>
        </w:tc>
        <w:tc>
          <w:tcPr>
            <w:tcW w:w="3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840" w:type="dxa"/>
            <w:vAlign w:val="bottom"/>
          </w:tcPr>
          <w:p>
            <w:pPr>
              <w:spacing w:after="0"/>
              <w:rPr>
                <w:sz w:val="9"/>
                <w:szCs w:val="9"/>
                <w:color w:val="auto"/>
              </w:rPr>
            </w:pPr>
          </w:p>
        </w:tc>
        <w:tc>
          <w:tcPr>
            <w:tcW w:w="3720" w:type="dxa"/>
            <w:vAlign w:val="bottom"/>
            <w:tcBorders>
              <w:bottom w:val="single" w:sz="8" w:color="80808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(Individually)</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74930</wp:posOffset>
            </wp:positionV>
            <wp:extent cx="289877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4893310</wp:posOffset>
            </wp:positionH>
            <wp:positionV relativeFrom="paragraph">
              <wp:posOffset>74930</wp:posOffset>
            </wp:positionV>
            <wp:extent cx="235839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2358390" cy="8890"/>
                    </a:xfrm>
                    <a:prstGeom prst="rect">
                      <a:avLst/>
                    </a:prstGeom>
                    <a:noFill/>
                  </pic:spPr>
                </pic:pic>
              </a:graphicData>
            </a:graphic>
          </wp:anchor>
        </w:drawing>
      </w:r>
    </w:p>
    <w:p>
      <w:pPr>
        <w:spacing w:after="0" w:line="178"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4893310</wp:posOffset>
            </wp:positionH>
            <wp:positionV relativeFrom="paragraph">
              <wp:posOffset>74930</wp:posOffset>
            </wp:positionV>
            <wp:extent cx="235839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235839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Page 5 of 5</w:t>
      </w:r>
    </w:p>
    <w:sectPr>
      <w:pgSz w:w="11900" w:h="16838" w:orient="portrait"/>
      <w:cols w:equalWidth="0" w:num="1">
        <w:col w:w="11420"/>
      </w:cols>
      <w:pgMar w:left="240" w:top="935"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D1B58BA"/>
    <w:multiLevelType w:val="hybridMultilevel"/>
    <w:lvl w:ilvl="0">
      <w:lvlJc w:val="left"/>
      <w:lvlText w:val="☒"/>
      <w:numFmt w:val="bullet"/>
      <w:start w:val="1"/>
    </w:lvl>
  </w:abstractNum>
  <w:abstractNum w:abstractNumId="1">
    <w:nsid w:val="507ED7AB"/>
    <w:multiLevelType w:val="hybridMultilevel"/>
    <w:lvl w:ilvl="0">
      <w:lvlJc w:val="left"/>
      <w:lvlText w:val="%1."/>
      <w:numFmt w:val="decimal"/>
      <w:start w:val="2"/>
    </w:lvl>
    <w:lvl w:ilvl="1">
      <w:lvlJc w:val="left"/>
      <w:lvlText w:val="(%2)"/>
      <w:numFmt w:val="lowerLetter"/>
      <w:start w:val="1"/>
    </w:lvl>
  </w:abstractNum>
  <w:abstractNum w:abstractNumId="2">
    <w:nsid w:val="2EB141F2"/>
    <w:multiLevelType w:val="hybridMultilevel"/>
    <w:lvl w:ilvl="0">
      <w:lvlJc w:val="left"/>
      <w:lvlText w:val="%1"/>
      <w:numFmt w:val="decimal"/>
      <w:start w:val="1"/>
    </w:lvl>
    <w:lvl w:ilvl="1">
      <w:lvlJc w:val="left"/>
      <w:lvlText w:val="%2."/>
      <w:numFmt w:val="decimal"/>
      <w:start w:val="8"/>
    </w:lvl>
  </w:abstractNum>
  <w:abstractNum w:abstractNumId="3">
    <w:nsid w:val="41B71EFB"/>
    <w:multiLevelType w:val="hybridMultilevel"/>
    <w:lvl w:ilvl="0">
      <w:lvlJc w:val="left"/>
      <w:lvlText w:val="%1."/>
      <w:numFmt w:val="decimal"/>
      <w:start w:val="9"/>
    </w:lvl>
    <w:lvl w:ilvl="1">
      <w:lvlJc w:val="left"/>
      <w:lvlText w:val="%2"/>
      <w:numFmt w:val="decimal"/>
      <w:start w:val="1"/>
    </w:lvl>
  </w:abstractNum>
  <w:abstractNum w:abstractNumId="4">
    <w:nsid w:val="79E2A9E3"/>
    <w:multiLevelType w:val="hybridMultilevel"/>
    <w:lvl w:ilvl="0">
      <w:lvlJc w:val="left"/>
      <w:lvlText w:val="(%1)"/>
      <w:numFmt w:val="lowerLetter"/>
      <w:start w:val="1"/>
    </w:lvl>
  </w:abstractNum>
  <w:abstractNum w:abstractNumId="5">
    <w:nsid w:val="7545E146"/>
    <w:multiLevelType w:val="hybridMultilevel"/>
    <w:lvl w:ilvl="0">
      <w:lvlJc w:val="left"/>
      <w:lvlText w:val="(%1)"/>
      <w:numFmt w:val="lowerLetter"/>
      <w:start w:val="1"/>
    </w:lvl>
  </w:abstractNum>
  <w:abstractNum w:abstractNumId="6">
    <w:nsid w:val="515F007C"/>
    <w:multiLevelType w:val="hybridMultilevel"/>
    <w:lvl w:ilvl="0">
      <w:lvlJc w:val="left"/>
      <w:lvlText w:val="(%1)"/>
      <w:numFmt w:val="lowerLetter"/>
      <w:start w:val="1"/>
    </w:lvl>
  </w:abstractNum>
  <w:abstractNum w:abstractNumId="7">
    <w:nsid w:val="5BD062C2"/>
    <w:multiLevelType w:val="hybridMultilevel"/>
    <w:lvl w:ilvl="0">
      <w:lvlJc w:val="left"/>
      <w:lvlText w:val="(%1)"/>
      <w:numFmt w:val="lowerLetter"/>
      <w:start w:val="10"/>
    </w:lvl>
  </w:abstractNum>
  <w:abstractNum w:abstractNumId="8">
    <w:nsid w:val="12200854"/>
    <w:multiLevelType w:val="hybridMultilevel"/>
    <w:lvl w:ilvl="0">
      <w:lvlJc w:val="left"/>
      <w:lvlText w:val="(%1)"/>
      <w:numFmt w:val="lowerLetter"/>
      <w:start w:val="1"/>
    </w:lvl>
    <w:lvl w:ilvl="1">
      <w:lvlJc w:val="left"/>
      <w:lvlText w:val="(%2)"/>
      <w:numFmt w:val="lowerRoman"/>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2019-12-14T20:12:45Z</dcterms:created>
  <dcterms:modified xsi:type="dcterms:W3CDTF">2019-12-14T20:12:45Z</dcterms:modified>
</cp:coreProperties>
</file>