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4"/>
          <w:szCs w:val="14"/>
          <w:color w:val="auto"/>
        </w:rPr>
        <w:t>UNITED STATES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Washington, D.C. 20549</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(Amendment)</w:t>
      </w:r>
    </w:p>
    <w:p>
      <w:pPr>
        <w:spacing w:after="0" w:line="175" w:lineRule="exact"/>
        <w:rPr>
          <w:sz w:val="24"/>
          <w:szCs w:val="24"/>
          <w:color w:val="auto"/>
        </w:rPr>
      </w:pPr>
    </w:p>
    <w:tbl>
      <w:tblPr>
        <w:tblLayout w:type="fixed"/>
        <w:tblInd w:w="0" w:type="dxa"/>
        <w:tblCellMar>
          <w:top w:w="0" w:type="dxa"/>
          <w:left w:w="0" w:type="dxa"/>
          <w:bottom w:w="0" w:type="dxa"/>
          <w:right w:w="0" w:type="dxa"/>
        </w:tblCellMar>
      </w:tblPr>
      <w:tr>
        <w:trPr>
          <w:trHeight w:val="162"/>
        </w:trPr>
        <w:tc>
          <w:tcPr>
            <w:tcW w:w="2960" w:type="dxa"/>
            <w:vAlign w:val="bottom"/>
            <w:gridSpan w:val="2"/>
          </w:tcPr>
          <w:p>
            <w:pPr>
              <w:spacing w:after="0"/>
              <w:rPr>
                <w:sz w:val="20"/>
                <w:szCs w:val="20"/>
                <w:color w:val="auto"/>
              </w:rPr>
            </w:pPr>
            <w:r>
              <w:rPr>
                <w:rFonts w:ascii="Courier New" w:cs="Courier New" w:eastAsia="Courier New" w:hAnsi="Courier New"/>
                <w:sz w:val="14"/>
                <w:szCs w:val="14"/>
                <w:color w:val="auto"/>
              </w:rPr>
              <w:t>NAME OF ISSUER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MARVELL TECHNOLOGIES GROUP LTD</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TITLE</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OF CLASS OF SECURITIES</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Common</w:t>
            </w:r>
          </w:p>
        </w:tc>
      </w:tr>
      <w:tr>
        <w:trPr>
          <w:trHeight w:val="334"/>
        </w:trPr>
        <w:tc>
          <w:tcPr>
            <w:tcW w:w="480" w:type="dxa"/>
            <w:vAlign w:val="bottom"/>
          </w:tcPr>
          <w:p>
            <w:pPr>
              <w:spacing w:after="0"/>
              <w:rPr>
                <w:sz w:val="20"/>
                <w:szCs w:val="20"/>
                <w:color w:val="auto"/>
              </w:rPr>
            </w:pPr>
            <w:r>
              <w:rPr>
                <w:rFonts w:ascii="Courier New" w:cs="Courier New" w:eastAsia="Courier New" w:hAnsi="Courier New"/>
                <w:sz w:val="14"/>
                <w:szCs w:val="14"/>
                <w:color w:val="auto"/>
              </w:rPr>
              <w:t>CUSIP</w:t>
            </w:r>
          </w:p>
        </w:tc>
        <w:tc>
          <w:tcPr>
            <w:tcW w:w="2480" w:type="dxa"/>
            <w:vAlign w:val="bottom"/>
          </w:tcPr>
          <w:p>
            <w:pPr>
              <w:ind w:left="40"/>
              <w:spacing w:after="0"/>
              <w:rPr>
                <w:sz w:val="20"/>
                <w:szCs w:val="20"/>
                <w:color w:val="auto"/>
              </w:rPr>
            </w:pPr>
            <w:r>
              <w:rPr>
                <w:rFonts w:ascii="Courier New" w:cs="Courier New" w:eastAsia="Courier New" w:hAnsi="Courier New"/>
                <w:sz w:val="14"/>
                <w:szCs w:val="14"/>
                <w:color w:val="auto"/>
              </w:rPr>
              <w:t>NUMBER</w:t>
            </w:r>
          </w:p>
        </w:tc>
        <w:tc>
          <w:tcPr>
            <w:tcW w:w="3120" w:type="dxa"/>
            <w:vAlign w:val="bottom"/>
          </w:tcPr>
          <w:p>
            <w:pPr>
              <w:ind w:left="520"/>
              <w:spacing w:after="0"/>
              <w:rPr>
                <w:sz w:val="20"/>
                <w:szCs w:val="20"/>
                <w:color w:val="auto"/>
              </w:rPr>
            </w:pPr>
            <w:r>
              <w:rPr>
                <w:rFonts w:ascii="Courier New" w:cs="Courier New" w:eastAsia="Courier New" w:hAnsi="Courier New"/>
                <w:sz w:val="14"/>
                <w:szCs w:val="14"/>
                <w:color w:val="auto"/>
              </w:rPr>
              <w:t>G5876H105</w:t>
            </w:r>
          </w:p>
        </w:tc>
      </w:tr>
    </w:tbl>
    <w:p>
      <w:pPr>
        <w:spacing w:after="0" w:line="338"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3" w:lineRule="exact"/>
        <w:rPr>
          <w:sz w:val="24"/>
          <w:szCs w:val="24"/>
          <w:color w:val="auto"/>
        </w:rPr>
      </w:pPr>
    </w:p>
    <w:p>
      <w:pPr>
        <w:ind w:right="3539"/>
        <w:spacing w:after="0" w:line="254" w:lineRule="auto"/>
        <w:rPr>
          <w:sz w:val="20"/>
          <w:szCs w:val="20"/>
          <w:color w:val="auto"/>
        </w:rPr>
      </w:pPr>
      <w:r>
        <w:rPr>
          <w:rFonts w:ascii="Courier New" w:cs="Courier New" w:eastAsia="Courier New" w:hAnsi="Courier New"/>
          <w:sz w:val="14"/>
          <w:szCs w:val="14"/>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1 of 11 Pages</w:t>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13G</w:t>
      </w:r>
    </w:p>
    <w:p>
      <w:pPr>
        <w:sectPr>
          <w:pgSz w:w="11900" w:h="16838" w:orient="portrait"/>
          <w:cols w:equalWidth="0" w:num="1">
            <w:col w:w="10239"/>
          </w:cols>
          <w:pgMar w:left="220" w:top="230" w:right="1440" w:bottom="0" w:gutter="0" w:footer="0" w:header="0"/>
        </w:sectPr>
      </w:pPr>
    </w:p>
    <w:p>
      <w:pPr>
        <w:spacing w:after="0" w:line="175"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11 Pages</w:t>
      </w:r>
    </w:p>
    <w:p>
      <w:pPr>
        <w:spacing w:after="0" w:line="8" w:lineRule="exact"/>
        <w:rPr>
          <w:sz w:val="24"/>
          <w:szCs w:val="24"/>
          <w:color w:val="auto"/>
        </w:rPr>
      </w:pPr>
    </w:p>
    <w:p>
      <w:pPr>
        <w:sectPr>
          <w:pgSz w:w="11900" w:h="16838" w:orient="portrait"/>
          <w:cols w:equalWidth="0" w:num="2">
            <w:col w:w="6240" w:space="720"/>
            <w:col w:w="3279"/>
          </w:cols>
          <w:pgMar w:left="220" w:top="230"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S.S. or I.R.S. identification no. of above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Marsh &amp; McLennan Companies, Inc.</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36-2668272</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4"/>
          <w:szCs w:val="24"/>
          <w:color w:val="auto"/>
        </w:rPr>
      </w:pPr>
    </w:p>
    <w:p>
      <w:pPr>
        <w:ind w:left="700"/>
        <w:spacing w:after="0"/>
        <w:tabs>
          <w:tab w:leader="none" w:pos="1300" w:val="left"/>
          <w:tab w:leader="none" w:pos="2760" w:val="left"/>
          <w:tab w:leader="none" w:pos="338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3"/>
          <w:szCs w:val="13"/>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4"/>
          <w:szCs w:val="24"/>
          <w:color w:val="auto"/>
        </w:rPr>
      </w:pPr>
    </w:p>
    <w:p>
      <w:pPr>
        <w:ind w:left="180" w:hanging="171"/>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38" w:orient="portrait"/>
          <w:cols w:equalWidth="0" w:num="1">
            <w:col w:w="10239"/>
          </w:cols>
          <w:pgMar w:left="220" w:top="230" w:right="1440" w:bottom="0" w:gutter="0" w:footer="0" w:header="0"/>
          <w:type w:val="continuous"/>
        </w:sectPr>
      </w:pP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9"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4"/>
          <w:szCs w:val="24"/>
          <w:color w:val="auto"/>
        </w:rPr>
      </w:pPr>
    </w:p>
    <w:p>
      <w:pPr>
        <w:sectPr>
          <w:pgSz w:w="11900" w:h="16838" w:orient="portrait"/>
          <w:cols w:equalWidth="0" w:num="3">
            <w:col w:w="1400" w:space="700"/>
            <w:col w:w="80" w:space="600"/>
            <w:col w:w="7459"/>
          </w:cols>
          <w:pgMar w:left="220" w:top="230" w:right="1440" w:bottom="0" w:gutter="0" w:footer="0" w:header="0"/>
          <w:type w:val="continuous"/>
        </w:sectPr>
      </w:pPr>
    </w:p>
    <w:p>
      <w:pPr>
        <w:spacing w:after="0" w:line="252"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ectPr>
          <w:pgSz w:w="11900" w:h="16838" w:orient="portrait"/>
          <w:cols w:equalWidth="0" w:num="3">
            <w:col w:w="1140" w:space="260"/>
            <w:col w:w="1360" w:space="720"/>
            <w:col w:w="6759"/>
          </w:cols>
          <w:pgMar w:left="220" w:top="230"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3"/>
          <w:szCs w:val="13"/>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Sole Dispositive Power</w:t>
      </w:r>
    </w:p>
    <w:p>
      <w:pPr>
        <w:spacing w:after="0" w:line="175" w:lineRule="exact"/>
        <w:rPr>
          <w:sz w:val="24"/>
          <w:szCs w:val="24"/>
          <w:color w:val="auto"/>
        </w:rPr>
      </w:pPr>
    </w:p>
    <w:p>
      <w:pPr>
        <w:sectPr>
          <w:pgSz w:w="11900" w:h="16838" w:orient="portrait"/>
          <w:cols w:equalWidth="0" w:num="4">
            <w:col w:w="1060" w:space="340"/>
            <w:col w:w="80" w:space="620"/>
            <w:col w:w="160" w:space="520"/>
            <w:col w:w="7459"/>
          </w:cols>
          <w:pgMar w:left="220" w:top="230"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4"/>
          <w:szCs w:val="24"/>
          <w:color w:val="auto"/>
        </w:rPr>
      </w:pPr>
    </w:p>
    <w:p>
      <w:pPr>
        <w:ind w:left="3480" w:hanging="693"/>
        <w:spacing w:after="0"/>
        <w:tabs>
          <w:tab w:leader="none" w:pos="3480" w:val="left"/>
        </w:tabs>
        <w:numPr>
          <w:ilvl w:val="0"/>
          <w:numId w:val="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4"/>
          <w:szCs w:val="24"/>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4"/>
          <w:szCs w:val="24"/>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ind w:left="700" w:hanging="691"/>
        <w:spacing w:after="0"/>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ectPr>
          <w:pgSz w:w="11900" w:h="16838" w:orient="portrait"/>
          <w:cols w:equalWidth="0" w:num="1">
            <w:col w:w="10239"/>
          </w:cols>
          <w:pgMar w:left="220" w:top="230" w:right="1440" w:bottom="0" w:gutter="0" w:footer="0" w:header="0"/>
          <w:type w:val="continuous"/>
        </w:sectPr>
      </w:pPr>
    </w:p>
    <w:bookmarkStart w:id="1" w:name="page2"/>
    <w:bookmarkEnd w:id="1"/>
    <w:p>
      <w:pPr>
        <w:spacing w:after="0" w:line="19"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3 of 11 Pages - ------------------------------------------------------------------------------</w:t>
      </w:r>
    </w:p>
    <w:p>
      <w:pPr>
        <w:spacing w:after="0" w:line="1" w:lineRule="exact"/>
        <w:rPr>
          <w:sz w:val="20"/>
          <w:szCs w:val="20"/>
          <w:color w:val="auto"/>
        </w:rPr>
      </w:pPr>
    </w:p>
    <w:p>
      <w:pPr>
        <w:ind w:left="700" w:hanging="691"/>
        <w:spacing w:after="0"/>
        <w:tabs>
          <w:tab w:leader="none" w:pos="700" w:val="left"/>
        </w:tabs>
        <w:numPr>
          <w:ilvl w:val="0"/>
          <w:numId w:val="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LLC. d/b/a/ Putnam Investments</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36-4488942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1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308"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381026</w:t>
      </w:r>
    </w:p>
    <w:p>
      <w:pPr>
        <w:sectPr>
          <w:pgSz w:w="11900" w:h="16858" w:orient="portrait"/>
          <w:cols w:equalWidth="0" w:num="1">
            <w:col w:w="10239"/>
          </w:cols>
          <w:pgMar w:left="220" w:top="308" w:right="1440" w:bottom="0" w:gutter="0" w:footer="0" w:header="0"/>
          <w:type w:val="continuous"/>
        </w:sectPr>
      </w:pP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19" w:lineRule="exact"/>
        <w:rPr>
          <w:sz w:val="20"/>
          <w:szCs w:val="20"/>
          <w:color w:val="auto"/>
        </w:rPr>
      </w:pPr>
    </w:p>
    <w:p>
      <w:pPr>
        <w:sectPr>
          <w:pgSz w:w="11900" w:h="16858" w:orient="portrait"/>
          <w:cols w:equalWidth="0" w:num="2">
            <w:col w:w="1380" w:space="720"/>
            <w:col w:w="8139"/>
          </w:cols>
          <w:pgMar w:left="220" w:top="308"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3">
            <w:col w:w="1060" w:space="340"/>
            <w:col w:w="660" w:space="72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1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12744713</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1400" w:right="4319" w:hanging="1391"/>
        <w:spacing w:after="0" w:line="505" w:lineRule="auto"/>
        <w:tabs>
          <w:tab w:leader="none" w:pos="705"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 12744713</w:t>
      </w: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10.6%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HC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4 of 11 Pages - ------------------------------------------------------------------------------</w:t>
      </w:r>
    </w:p>
    <w:p>
      <w:pPr>
        <w:spacing w:after="0" w:line="1" w:lineRule="exact"/>
        <w:rPr>
          <w:sz w:val="20"/>
          <w:szCs w:val="20"/>
          <w:color w:val="auto"/>
        </w:rPr>
      </w:pPr>
    </w:p>
    <w:p>
      <w:pPr>
        <w:ind w:left="700" w:hanging="691"/>
        <w:spacing w:after="0"/>
        <w:tabs>
          <w:tab w:leader="none" w:pos="700"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Investment Management,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04-2471937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308" w:right="1440" w:bottom="0" w:gutter="0" w:footer="0" w:header="0"/>
          <w:type w:val="continuous"/>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308"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122015</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4">
            <w:col w:w="1060" w:space="340"/>
            <w:col w:w="80" w:space="620"/>
            <w:col w:w="80" w:space="60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2100"/>
        <w:spacing w:after="0"/>
        <w:tabs>
          <w:tab w:leader="none" w:pos="2760" w:val="left"/>
        </w:tabs>
        <w:rPr>
          <w:sz w:val="20"/>
          <w:szCs w:val="20"/>
          <w:color w:val="auto"/>
        </w:rPr>
      </w:pPr>
      <w:r>
        <w:rPr>
          <w:rFonts w:ascii="Courier New" w:cs="Courier New" w:eastAsia="Courier New" w:hAnsi="Courier New"/>
          <w:sz w:val="14"/>
          <w:szCs w:val="14"/>
          <w:color w:val="auto"/>
        </w:rPr>
        <w:t>8.</w:t>
      </w:r>
      <w:r>
        <w:rPr>
          <w:sz w:val="20"/>
          <w:szCs w:val="20"/>
          <w:color w:val="auto"/>
        </w:rPr>
        <w:tab/>
      </w:r>
      <w:r>
        <w:rPr>
          <w:rFonts w:ascii="Courier New" w:cs="Courier New" w:eastAsia="Courier New" w:hAnsi="Courier New"/>
          <w:sz w:val="14"/>
          <w:szCs w:val="14"/>
          <w:color w:val="auto"/>
        </w:rPr>
        <w:t>Shared Dispositive Power</w:t>
      </w:r>
    </w:p>
    <w:p>
      <w:pPr>
        <w:sectPr>
          <w:pgSz w:w="11900" w:h="16858" w:orient="portrait"/>
          <w:cols w:equalWidth="0" w:num="1">
            <w:col w:w="10239"/>
          </w:cols>
          <w:pgMar w:left="220" w:top="308" w:right="1440" w:bottom="0" w:gutter="0" w:footer="0" w:header="0"/>
          <w:type w:val="continuous"/>
        </w:sectPr>
      </w:pPr>
    </w:p>
    <w:bookmarkStart w:id="2" w:name="page3"/>
    <w:bookmarkEnd w:id="2"/>
    <w:p>
      <w:pPr>
        <w:spacing w:after="0" w:line="19"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12017442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12017442</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10.0%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5 of 11 Pages - ------------------------------------------------------------------------------</w:t>
      </w:r>
    </w:p>
    <w:p>
      <w:pPr>
        <w:spacing w:after="0" w:line="1" w:lineRule="exact"/>
        <w:rPr>
          <w:sz w:val="20"/>
          <w:szCs w:val="20"/>
          <w:color w:val="auto"/>
        </w:rPr>
      </w:pPr>
    </w:p>
    <w:p>
      <w:pPr>
        <w:ind w:left="700" w:hanging="691"/>
        <w:spacing w:after="0"/>
        <w:tabs>
          <w:tab w:leader="none" w:pos="70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Putnam Advisory Company, LLC.</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04-6187127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Delaware</w:t>
      </w:r>
    </w:p>
    <w:p>
      <w:pPr>
        <w:spacing w:after="0" w:line="8" w:lineRule="exact"/>
        <w:rPr>
          <w:sz w:val="20"/>
          <w:szCs w:val="20"/>
          <w:color w:val="auto"/>
        </w:rPr>
      </w:pPr>
    </w:p>
    <w:p>
      <w:pPr>
        <w:ind w:left="180" w:hanging="171"/>
        <w:spacing w:after="0"/>
        <w:tabs>
          <w:tab w:leader="none" w:pos="18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ectPr>
          <w:pgSz w:w="11900" w:h="16858" w:orient="portrait"/>
          <w:cols w:equalWidth="0" w:num="1">
            <w:col w:w="10239"/>
          </w:cols>
          <w:pgMar w:left="220" w:top="308" w:right="1440" w:bottom="0" w:gutter="0" w:footer="0" w:header="0"/>
        </w:sectPr>
      </w:pPr>
    </w:p>
    <w:p>
      <w:pPr>
        <w:spacing w:after="0" w:line="342" w:lineRule="exact"/>
        <w:rPr>
          <w:sz w:val="20"/>
          <w:szCs w:val="20"/>
          <w:color w:val="auto"/>
        </w:rPr>
      </w:pPr>
    </w:p>
    <w:p>
      <w:pPr>
        <w:spacing w:after="0" w:line="252"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w:t>
      </w:r>
    </w:p>
    <w:p>
      <w:pPr>
        <w:spacing w:after="0" w:line="8" w:lineRule="exact"/>
        <w:rPr>
          <w:sz w:val="20"/>
          <w:szCs w:val="20"/>
          <w:color w:val="auto"/>
        </w:rPr>
      </w:pPr>
    </w:p>
    <w:p>
      <w:pPr>
        <w:ind w:left="620"/>
        <w:spacing w:after="0"/>
        <w:rPr>
          <w:sz w:val="20"/>
          <w:szCs w:val="20"/>
          <w:color w:val="auto"/>
        </w:rPr>
      </w:pPr>
      <w:r>
        <w:rPr>
          <w:rFonts w:ascii="Courier New" w:cs="Courier New" w:eastAsia="Courier New" w:hAnsi="Courier New"/>
          <w:sz w:val="13"/>
          <w:szCs w:val="13"/>
          <w:color w:val="auto"/>
        </w:rPr>
        <w:t>6.</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Shared Voting Power</w:t>
      </w:r>
    </w:p>
    <w:p>
      <w:pPr>
        <w:spacing w:after="0" w:line="175" w:lineRule="exact"/>
        <w:rPr>
          <w:sz w:val="20"/>
          <w:szCs w:val="20"/>
          <w:color w:val="auto"/>
        </w:rPr>
      </w:pPr>
    </w:p>
    <w:p>
      <w:pPr>
        <w:sectPr>
          <w:pgSz w:w="11900" w:h="16858" w:orient="portrait"/>
          <w:cols w:equalWidth="0" w:num="4">
            <w:col w:w="1140" w:space="260"/>
            <w:col w:w="80" w:space="0"/>
            <w:col w:w="780" w:space="520"/>
            <w:col w:w="7459"/>
          </w:cols>
          <w:pgMar w:left="220" w:top="308" w:right="1440" w:bottom="0" w:gutter="0" w:footer="0" w:header="0"/>
          <w:type w:val="continuous"/>
        </w:sectPr>
      </w:pPr>
    </w:p>
    <w:p>
      <w:pPr>
        <w:spacing w:after="0" w:line="258"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ind w:left="1400"/>
        <w:spacing w:after="0"/>
        <w:rPr>
          <w:sz w:val="20"/>
          <w:szCs w:val="20"/>
          <w:color w:val="auto"/>
        </w:rPr>
      </w:pPr>
      <w:r>
        <w:rPr>
          <w:rFonts w:ascii="Courier New" w:cs="Courier New" w:eastAsia="Courier New" w:hAnsi="Courier New"/>
          <w:sz w:val="14"/>
          <w:szCs w:val="14"/>
          <w:color w:val="auto"/>
        </w:rPr>
        <w:t>259011</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sectPr>
          <w:pgSz w:w="11900" w:h="16858" w:orient="portrait"/>
          <w:cols w:equalWidth="0" w:num="4">
            <w:col w:w="1060" w:space="340"/>
            <w:col w:w="80" w:space="620"/>
            <w:col w:w="80" w:space="600"/>
            <w:col w:w="7459"/>
          </w:cols>
          <w:pgMar w:left="220" w:top="308" w:right="1440" w:bottom="0" w:gutter="0" w:footer="0" w:header="0"/>
          <w:type w:val="continuous"/>
        </w:sect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727271</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727271</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excludes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11.</w:t>
      </w:r>
      <w:r>
        <w:rPr>
          <w:sz w:val="20"/>
          <w:szCs w:val="20"/>
          <w:color w:val="auto"/>
        </w:rPr>
        <w:tab/>
      </w: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12.</w:t>
      </w:r>
      <w:r>
        <w:rPr>
          <w:sz w:val="20"/>
          <w:szCs w:val="20"/>
          <w:color w:val="auto"/>
        </w:rPr>
        <w:tab/>
      </w: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13G</w:t>
      </w:r>
    </w:p>
    <w:p>
      <w:pPr>
        <w:spacing w:after="0" w:line="175" w:lineRule="exact"/>
        <w:rPr>
          <w:sz w:val="20"/>
          <w:szCs w:val="20"/>
          <w:color w:val="auto"/>
        </w:rPr>
      </w:pPr>
    </w:p>
    <w:p>
      <w:pPr>
        <w:ind w:right="2419"/>
        <w:spacing w:after="0" w:line="252" w:lineRule="auto"/>
        <w:rPr>
          <w:sz w:val="20"/>
          <w:szCs w:val="20"/>
          <w:color w:val="auto"/>
        </w:rPr>
      </w:pPr>
      <w:r>
        <w:rPr>
          <w:rFonts w:ascii="Courier New" w:cs="Courier New" w:eastAsia="Courier New" w:hAnsi="Courier New"/>
          <w:sz w:val="14"/>
          <w:szCs w:val="14"/>
          <w:color w:val="auto"/>
        </w:rPr>
        <w:t>CUSIP No. G5876H105 Page 6 of 11 Pages - ------------------------------------------------------------------------------</w:t>
      </w:r>
    </w:p>
    <w:p>
      <w:pPr>
        <w:spacing w:after="0" w:line="1" w:lineRule="exact"/>
        <w:rPr>
          <w:sz w:val="20"/>
          <w:szCs w:val="20"/>
          <w:color w:val="auto"/>
        </w:rPr>
      </w:pPr>
    </w:p>
    <w:p>
      <w:pPr>
        <w:ind w:left="700" w:hanging="691"/>
        <w:spacing w:after="0"/>
        <w:tabs>
          <w:tab w:leader="none" w:pos="700"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Name of reporting person</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S.S. or I.R.S. identification no. of above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Putnam New Opportunities Fund</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04-3091455</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the appropriate box if a member of a group*</w:t>
      </w:r>
    </w:p>
    <w:p>
      <w:pPr>
        <w:spacing w:after="0" w:line="8" w:lineRule="exact"/>
        <w:rPr>
          <w:sz w:val="20"/>
          <w:szCs w:val="20"/>
          <w:color w:val="auto"/>
        </w:rPr>
      </w:pPr>
    </w:p>
    <w:p>
      <w:pPr>
        <w:ind w:left="1400"/>
        <w:spacing w:after="0"/>
        <w:tabs>
          <w:tab w:leader="none" w:pos="1980" w:val="left"/>
          <w:tab w:leader="none" w:pos="3460" w:val="left"/>
          <w:tab w:leader="none" w:pos="4060" w:val="left"/>
        </w:tabs>
        <w:rPr>
          <w:sz w:val="20"/>
          <w:szCs w:val="20"/>
          <w:color w:val="auto"/>
        </w:rPr>
      </w:pPr>
      <w:r>
        <w:rPr>
          <w:rFonts w:ascii="Courier New" w:cs="Courier New" w:eastAsia="Courier New" w:hAnsi="Courier New"/>
          <w:sz w:val="14"/>
          <w:szCs w:val="14"/>
          <w:color w:val="auto"/>
        </w:rPr>
        <w:t>(a)(</w:t>
        <w:tab/>
        <w:t>)</w:t>
      </w:r>
      <w:r>
        <w:rPr>
          <w:sz w:val="20"/>
          <w:szCs w:val="20"/>
          <w:color w:val="auto"/>
        </w:rPr>
        <w:tab/>
      </w:r>
      <w:r>
        <w:rPr>
          <w:rFonts w:ascii="Courier New" w:cs="Courier New" w:eastAsia="Courier New" w:hAnsi="Courier New"/>
          <w:sz w:val="14"/>
          <w:szCs w:val="14"/>
          <w:color w:val="auto"/>
        </w:rPr>
        <w:t>(b)(</w:t>
        <w:tab/>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 use only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Citizenship or place of organization</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Massachusetts</w:t>
      </w:r>
    </w:p>
    <w:p>
      <w:pPr>
        <w:spacing w:after="0" w:line="8" w:lineRule="exact"/>
        <w:rPr>
          <w:sz w:val="20"/>
          <w:szCs w:val="20"/>
          <w:color w:val="auto"/>
        </w:rPr>
      </w:pPr>
    </w:p>
    <w:p>
      <w:pPr>
        <w:ind w:left="180" w:hanging="171"/>
        <w:spacing w:after="0"/>
        <w:tabs>
          <w:tab w:leader="none" w:pos="18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8" w:lineRule="exact"/>
        <w:rPr>
          <w:rFonts w:ascii="Courier New" w:cs="Courier New" w:eastAsia="Courier New" w:hAnsi="Courier New"/>
          <w:sz w:val="14"/>
          <w:szCs w:val="14"/>
          <w:color w:val="auto"/>
        </w:rPr>
      </w:pPr>
    </w:p>
    <w:p>
      <w:pPr>
        <w:ind w:left="3480" w:hanging="693"/>
        <w:spacing w:after="0"/>
        <w:tabs>
          <w:tab w:leader="none" w:pos="3480" w:val="left"/>
        </w:tabs>
        <w:numPr>
          <w:ilvl w:val="1"/>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Voting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ectPr>
          <w:pgSz w:w="11900" w:h="16858" w:orient="portrait"/>
          <w:cols w:equalWidth="0" w:num="1">
            <w:col w:w="10239"/>
          </w:cols>
          <w:pgMar w:left="220" w:top="308" w:right="1440" w:bottom="0" w:gutter="0" w:footer="0" w:header="0"/>
          <w:type w:val="continuous"/>
        </w:sectPr>
      </w:pPr>
    </w:p>
    <w:bookmarkStart w:id="3" w:name="page4"/>
    <w:bookmarkEnd w:id="3"/>
    <w:p>
      <w:pPr>
        <w:spacing w:after="0" w:line="19" w:lineRule="exact"/>
        <w:rPr>
          <w:sz w:val="20"/>
          <w:szCs w:val="20"/>
          <w:color w:val="auto"/>
        </w:rPr>
      </w:pPr>
    </w:p>
    <w:p>
      <w:pPr>
        <w:spacing w:after="0"/>
        <w:tabs>
          <w:tab w:leader="none" w:pos="1460" w:val="left"/>
          <w:tab w:leader="none" w:pos="4160" w:val="left"/>
        </w:tabs>
        <w:rPr>
          <w:sz w:val="20"/>
          <w:szCs w:val="20"/>
          <w:color w:val="auto"/>
        </w:rPr>
      </w:pPr>
      <w:r>
        <w:rPr>
          <w:rFonts w:ascii="Courier New" w:cs="Courier New" w:eastAsia="Courier New" w:hAnsi="Courier New"/>
          <w:sz w:val="14"/>
          <w:szCs w:val="14"/>
          <w:color w:val="auto"/>
        </w:rPr>
        <w:t>Number of</w:t>
      </w:r>
      <w:r>
        <w:rPr>
          <w:sz w:val="20"/>
          <w:szCs w:val="20"/>
          <w:color w:val="auto"/>
        </w:rPr>
        <w:tab/>
      </w:r>
      <w:r>
        <w:rPr>
          <w:rFonts w:ascii="Courier New" w:cs="Courier New" w:eastAsia="Courier New" w:hAnsi="Courier New"/>
          <w:sz w:val="14"/>
          <w:szCs w:val="14"/>
          <w:color w:val="auto"/>
        </w:rPr>
        <w:t>shares )</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spacing w:after="0"/>
        <w:tabs>
          <w:tab w:leader="none" w:pos="1380" w:val="left"/>
          <w:tab w:leader="none" w:pos="2080" w:val="left"/>
          <w:tab w:leader="none" w:pos="2760" w:val="left"/>
        </w:tabs>
        <w:rPr>
          <w:sz w:val="20"/>
          <w:szCs w:val="20"/>
          <w:color w:val="auto"/>
        </w:rPr>
      </w:pPr>
      <w:r>
        <w:rPr>
          <w:rFonts w:ascii="Courier New" w:cs="Courier New" w:eastAsia="Courier New" w:hAnsi="Courier New"/>
          <w:sz w:val="14"/>
          <w:szCs w:val="14"/>
          <w:color w:val="auto"/>
        </w:rPr>
        <w:t>Beneficially</w:t>
      </w:r>
      <w:r>
        <w:rPr>
          <w:sz w:val="20"/>
          <w:szCs w:val="20"/>
          <w:color w:val="auto"/>
        </w:rPr>
        <w:tab/>
      </w: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6.</w:t>
      </w:r>
      <w:r>
        <w:rPr>
          <w:sz w:val="20"/>
          <w:szCs w:val="20"/>
          <w:color w:val="auto"/>
        </w:rPr>
        <w:tab/>
      </w:r>
      <w:r>
        <w:rPr>
          <w:rFonts w:ascii="Courier New" w:cs="Courier New" w:eastAsia="Courier New" w:hAnsi="Courier New"/>
          <w:sz w:val="14"/>
          <w:szCs w:val="14"/>
          <w:color w:val="auto"/>
        </w:rPr>
        <w:t>Shared Voting Power</w:t>
      </w:r>
    </w:p>
    <w:p>
      <w:pPr>
        <w:spacing w:after="0" w:line="8"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Owned by each</w:t>
      </w:r>
      <w:r>
        <w:rPr>
          <w:sz w:val="20"/>
          <w:szCs w:val="20"/>
          <w:color w:val="auto"/>
        </w:rPr>
        <w:tab/>
      </w:r>
      <w:r>
        <w:rPr>
          <w:rFonts w:ascii="Courier New" w:cs="Courier New" w:eastAsia="Courier New" w:hAnsi="Courier New"/>
          <w:sz w:val="13"/>
          <w:szCs w:val="13"/>
          <w:color w:val="auto"/>
        </w:rPr>
        <w:t>)</w:t>
      </w:r>
    </w:p>
    <w:p>
      <w:pPr>
        <w:spacing w:after="0" w:line="8" w:lineRule="exact"/>
        <w:rPr>
          <w:sz w:val="20"/>
          <w:szCs w:val="20"/>
          <w:color w:val="auto"/>
        </w:rPr>
      </w:pPr>
    </w:p>
    <w:p>
      <w:pPr>
        <w:spacing w:after="0"/>
        <w:tabs>
          <w:tab w:leader="none" w:pos="2080" w:val="left"/>
          <w:tab w:leader="none" w:pos="4160" w:val="left"/>
        </w:tabs>
        <w:rPr>
          <w:sz w:val="20"/>
          <w:szCs w:val="20"/>
          <w:color w:val="auto"/>
        </w:rPr>
      </w:pPr>
      <w:r>
        <w:rPr>
          <w:rFonts w:ascii="Courier New" w:cs="Courier New" w:eastAsia="Courier New" w:hAnsi="Courier New"/>
          <w:sz w:val="14"/>
          <w:szCs w:val="14"/>
          <w:color w:val="auto"/>
        </w:rPr>
        <w:t>Reporting</w:t>
      </w:r>
      <w:r>
        <w:rPr>
          <w:sz w:val="20"/>
          <w:szCs w:val="20"/>
          <w:color w:val="auto"/>
        </w:rPr>
        <w:tab/>
      </w: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NONE</w:t>
      </w:r>
    </w:p>
    <w:p>
      <w:pPr>
        <w:spacing w:after="0" w:line="8" w:lineRule="exact"/>
        <w:rPr>
          <w:sz w:val="20"/>
          <w:szCs w:val="20"/>
          <w:color w:val="auto"/>
        </w:rPr>
      </w:pPr>
    </w:p>
    <w:p>
      <w:pPr>
        <w:spacing w:after="0"/>
        <w:tabs>
          <w:tab w:leader="none" w:pos="1380" w:val="left"/>
          <w:tab w:leader="none" w:pos="3460" w:val="left"/>
        </w:tabs>
        <w:rPr>
          <w:sz w:val="20"/>
          <w:szCs w:val="20"/>
          <w:color w:val="auto"/>
        </w:rPr>
      </w:pPr>
      <w:r>
        <w:rPr>
          <w:rFonts w:ascii="Courier New" w:cs="Courier New" w:eastAsia="Courier New" w:hAnsi="Courier New"/>
          <w:sz w:val="14"/>
          <w:szCs w:val="14"/>
          <w:color w:val="auto"/>
        </w:rPr>
        <w:t>Person with:</w:t>
      </w:r>
      <w:r>
        <w:rPr>
          <w:sz w:val="20"/>
          <w:szCs w:val="20"/>
          <w:color w:val="auto"/>
        </w:rPr>
        <w:tab/>
      </w: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2780"/>
        <w:spacing w:after="0"/>
        <w:tabs>
          <w:tab w:leader="none" w:pos="3460" w:val="left"/>
        </w:tabs>
        <w:rPr>
          <w:sz w:val="20"/>
          <w:szCs w:val="20"/>
          <w:color w:val="auto"/>
        </w:rPr>
      </w:pPr>
      <w:r>
        <w:rPr>
          <w:rFonts w:ascii="Courier New" w:cs="Courier New" w:eastAsia="Courier New" w:hAnsi="Courier New"/>
          <w:sz w:val="14"/>
          <w:szCs w:val="14"/>
          <w:color w:val="auto"/>
        </w:rPr>
        <w:t>7.</w:t>
      </w:r>
      <w:r>
        <w:rPr>
          <w:sz w:val="20"/>
          <w:szCs w:val="20"/>
          <w:color w:val="auto"/>
        </w:rPr>
        <w:tab/>
      </w:r>
      <w:r>
        <w:rPr>
          <w:rFonts w:ascii="Courier New" w:cs="Courier New" w:eastAsia="Courier New" w:hAnsi="Courier New"/>
          <w:sz w:val="14"/>
          <w:szCs w:val="14"/>
          <w:color w:val="auto"/>
        </w:rPr>
        <w:t>Sole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NONE</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hanging="693"/>
        <w:spacing w:after="0"/>
        <w:tabs>
          <w:tab w:leader="none" w:pos="348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Dispositive Power</w:t>
      </w: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5507000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Aggregate amount beneficially owned by each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5507000</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Check box if the aggregate amount in row (9) includes certain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Percent of class represented by amount in row 9</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4.58400966%</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8" w:lineRule="exact"/>
        <w:rPr>
          <w:sz w:val="20"/>
          <w:szCs w:val="20"/>
          <w:color w:val="auto"/>
        </w:rPr>
      </w:pPr>
    </w:p>
    <w:p>
      <w:pPr>
        <w:ind w:left="700" w:hanging="691"/>
        <w:spacing w:after="0"/>
        <w:tabs>
          <w:tab w:leader="none" w:pos="700" w:val="left"/>
        </w:tabs>
        <w:numPr>
          <w:ilvl w:val="0"/>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Type of Reporting person*</w:t>
      </w:r>
    </w:p>
    <w:p>
      <w:pPr>
        <w:spacing w:after="0" w:line="17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IC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SECURITIES AND EXCHANGE COMMISSION</w:t>
      </w:r>
    </w:p>
    <w:p>
      <w:pPr>
        <w:spacing w:after="0" w:line="8" w:lineRule="exact"/>
        <w:rPr>
          <w:sz w:val="20"/>
          <w:szCs w:val="20"/>
          <w:color w:val="auto"/>
        </w:rPr>
      </w:pPr>
    </w:p>
    <w:p>
      <w:pPr>
        <w:spacing w:after="0"/>
        <w:tabs>
          <w:tab w:leader="none" w:pos="1640" w:val="left"/>
        </w:tabs>
        <w:rPr>
          <w:sz w:val="20"/>
          <w:szCs w:val="20"/>
          <w:color w:val="auto"/>
        </w:rPr>
      </w:pPr>
      <w:r>
        <w:rPr>
          <w:rFonts w:ascii="Courier New" w:cs="Courier New" w:eastAsia="Courier New" w:hAnsi="Courier New"/>
          <w:sz w:val="14"/>
          <w:szCs w:val="14"/>
          <w:color w:val="auto"/>
        </w:rPr>
        <w:t>Washington, D. C.</w:t>
        <w:tab/>
        <w:t>20549</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SCHEDULE 13G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200" w:lineRule="exact"/>
        <w:rPr>
          <w:sz w:val="20"/>
          <w:szCs w:val="20"/>
          <w:color w:val="auto"/>
        </w:rPr>
      </w:pPr>
    </w:p>
    <w:p>
      <w:pPr>
        <w:spacing w:after="0" w:line="309"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1360" w:type="dxa"/>
            <w:vAlign w:val="bottom"/>
          </w:tcPr>
          <w:p>
            <w:pPr>
              <w:spacing w:after="0"/>
              <w:rPr>
                <w:sz w:val="20"/>
                <w:szCs w:val="20"/>
                <w:color w:val="auto"/>
              </w:rPr>
            </w:pPr>
            <w:r>
              <w:rPr>
                <w:rFonts w:ascii="Courier New" w:cs="Courier New" w:eastAsia="Courier New" w:hAnsi="Courier New"/>
                <w:sz w:val="14"/>
                <w:szCs w:val="14"/>
                <w:color w:val="auto"/>
              </w:rPr>
              <w:t>Item 1(a)</w:t>
            </w:r>
          </w:p>
        </w:tc>
        <w:tc>
          <w:tcPr>
            <w:tcW w:w="1860" w:type="dxa"/>
            <w:vAlign w:val="bottom"/>
          </w:tcPr>
          <w:p>
            <w:pPr>
              <w:ind w:left="40"/>
              <w:spacing w:after="0"/>
              <w:rPr>
                <w:sz w:val="20"/>
                <w:szCs w:val="20"/>
                <w:color w:val="auto"/>
              </w:rPr>
            </w:pPr>
            <w:r>
              <w:rPr>
                <w:rFonts w:ascii="Courier New" w:cs="Courier New" w:eastAsia="Courier New" w:hAnsi="Courier New"/>
                <w:sz w:val="14"/>
                <w:szCs w:val="14"/>
                <w:color w:val="auto"/>
              </w:rPr>
              <w:t>Name of Issuer:</w:t>
            </w:r>
          </w:p>
        </w:tc>
        <w:tc>
          <w:tcPr>
            <w:tcW w:w="286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MARVELL TECHNOLOGIES GROUP LTD</w:t>
            </w:r>
          </w:p>
        </w:tc>
        <w:tc>
          <w:tcPr>
            <w:tcW w:w="1300" w:type="dxa"/>
            <w:vAlign w:val="bottom"/>
          </w:tcPr>
          <w:p>
            <w:pPr>
              <w:spacing w:after="0"/>
              <w:rPr>
                <w:sz w:val="14"/>
                <w:szCs w:val="14"/>
                <w:color w:val="auto"/>
              </w:rPr>
            </w:pPr>
          </w:p>
        </w:tc>
      </w:tr>
      <w:tr>
        <w:trPr>
          <w:trHeight w:val="334"/>
        </w:trPr>
        <w:tc>
          <w:tcPr>
            <w:tcW w:w="1360" w:type="dxa"/>
            <w:vAlign w:val="bottom"/>
          </w:tcPr>
          <w:p>
            <w:pPr>
              <w:spacing w:after="0"/>
              <w:rPr>
                <w:sz w:val="20"/>
                <w:szCs w:val="20"/>
                <w:color w:val="auto"/>
              </w:rPr>
            </w:pPr>
            <w:r>
              <w:rPr>
                <w:rFonts w:ascii="Courier New" w:cs="Courier New" w:eastAsia="Courier New" w:hAnsi="Courier New"/>
                <w:sz w:val="14"/>
                <w:szCs w:val="14"/>
                <w:color w:val="auto"/>
              </w:rPr>
              <w:t>Item 1(b)</w:t>
            </w:r>
          </w:p>
        </w:tc>
        <w:tc>
          <w:tcPr>
            <w:tcW w:w="346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Address of Issuer's Principal Executive</w:t>
            </w:r>
          </w:p>
        </w:tc>
        <w:tc>
          <w:tcPr>
            <w:tcW w:w="1260" w:type="dxa"/>
            <w:vAlign w:val="bottom"/>
          </w:tcPr>
          <w:p>
            <w:pPr>
              <w:ind w:left="40"/>
              <w:spacing w:after="0"/>
              <w:rPr>
                <w:sz w:val="20"/>
                <w:szCs w:val="20"/>
                <w:color w:val="auto"/>
              </w:rPr>
            </w:pPr>
            <w:r>
              <w:rPr>
                <w:rFonts w:ascii="Courier New" w:cs="Courier New" w:eastAsia="Courier New" w:hAnsi="Courier New"/>
                <w:sz w:val="14"/>
                <w:szCs w:val="14"/>
                <w:color w:val="auto"/>
              </w:rPr>
              <w:t>Offices:</w:t>
            </w:r>
          </w:p>
        </w:tc>
        <w:tc>
          <w:tcPr>
            <w:tcW w:w="1300" w:type="dxa"/>
            <w:vAlign w:val="bottom"/>
          </w:tcPr>
          <w:p>
            <w:pPr>
              <w:spacing w:after="0"/>
              <w:rPr>
                <w:sz w:val="24"/>
                <w:szCs w:val="24"/>
                <w:color w:val="auto"/>
              </w:rPr>
            </w:pPr>
          </w:p>
        </w:tc>
      </w:tr>
      <w:tr>
        <w:trPr>
          <w:trHeight w:val="334"/>
        </w:trPr>
        <w:tc>
          <w:tcPr>
            <w:tcW w:w="6080" w:type="dxa"/>
            <w:vAlign w:val="bottom"/>
            <w:gridSpan w:val="4"/>
          </w:tcPr>
          <w:p>
            <w:pPr>
              <w:spacing w:after="0"/>
              <w:rPr>
                <w:sz w:val="20"/>
                <w:szCs w:val="20"/>
                <w:color w:val="auto"/>
              </w:rPr>
            </w:pPr>
            <w:r>
              <w:rPr>
                <w:rFonts w:ascii="Courier New" w:cs="Courier New" w:eastAsia="Courier New" w:hAnsi="Courier New"/>
                <w:sz w:val="14"/>
                <w:szCs w:val="14"/>
                <w:color w:val="auto"/>
              </w:rPr>
              <w:t>2 CHURCH STREET CLARENDON HOUSE, PO BOX HM 1022, HAMILTON HM BERMUDA</w:t>
            </w:r>
          </w:p>
        </w:tc>
        <w:tc>
          <w:tcPr>
            <w:tcW w:w="1300" w:type="dxa"/>
            <w:vAlign w:val="bottom"/>
          </w:tcPr>
          <w:p>
            <w:pPr>
              <w:spacing w:after="0"/>
              <w:rPr>
                <w:sz w:val="20"/>
                <w:szCs w:val="20"/>
                <w:color w:val="auto"/>
              </w:rPr>
            </w:pPr>
            <w:r>
              <w:rPr>
                <w:rFonts w:ascii="Courier New" w:cs="Courier New" w:eastAsia="Courier New" w:hAnsi="Courier New"/>
                <w:sz w:val="14"/>
                <w:szCs w:val="14"/>
                <w:color w:val="auto"/>
              </w:rPr>
              <w:t>D0</w:t>
            </w:r>
          </w:p>
        </w:tc>
      </w:tr>
      <w:tr>
        <w:trPr>
          <w:trHeight w:val="334"/>
        </w:trPr>
        <w:tc>
          <w:tcPr>
            <w:tcW w:w="1360" w:type="dxa"/>
            <w:vAlign w:val="bottom"/>
          </w:tcPr>
          <w:p>
            <w:pPr>
              <w:spacing w:after="0"/>
              <w:rPr>
                <w:sz w:val="20"/>
                <w:szCs w:val="20"/>
                <w:color w:val="auto"/>
              </w:rPr>
            </w:pPr>
            <w:r>
              <w:rPr>
                <w:rFonts w:ascii="Courier New" w:cs="Courier New" w:eastAsia="Courier New" w:hAnsi="Courier New"/>
                <w:sz w:val="14"/>
                <w:szCs w:val="14"/>
                <w:color w:val="auto"/>
              </w:rPr>
              <w:t>Item 2(a)</w:t>
            </w:r>
          </w:p>
        </w:tc>
        <w:tc>
          <w:tcPr>
            <w:tcW w:w="1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Item 2(b)</w:t>
            </w:r>
          </w:p>
        </w:tc>
        <w:tc>
          <w:tcPr>
            <w:tcW w:w="1300" w:type="dxa"/>
            <w:vAlign w:val="bottom"/>
          </w:tcPr>
          <w:p>
            <w:pPr>
              <w:spacing w:after="0"/>
              <w:rPr>
                <w:sz w:val="24"/>
                <w:szCs w:val="2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Name of Person Filing:</w:t>
            </w:r>
          </w:p>
        </w:tc>
        <w:tc>
          <w:tcPr>
            <w:tcW w:w="1600" w:type="dxa"/>
            <w:vAlign w:val="bottom"/>
          </w:tcPr>
          <w:p>
            <w:pPr>
              <w:jc w:val="right"/>
              <w:spacing w:after="0"/>
              <w:rPr>
                <w:sz w:val="20"/>
                <w:szCs w:val="20"/>
                <w:color w:val="auto"/>
              </w:rPr>
            </w:pPr>
            <w:r>
              <w:rPr>
                <w:rFonts w:ascii="Courier New" w:cs="Courier New" w:eastAsia="Courier New" w:hAnsi="Courier New"/>
                <w:sz w:val="14"/>
                <w:szCs w:val="14"/>
                <w:color w:val="auto"/>
              </w:rPr>
              <w:t>Address</w:t>
            </w:r>
          </w:p>
        </w:tc>
        <w:tc>
          <w:tcPr>
            <w:tcW w:w="25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or Principal Office or, if</w:t>
            </w:r>
          </w:p>
        </w:tc>
      </w:tr>
      <w:tr>
        <w:trPr>
          <w:trHeight w:val="167"/>
        </w:trPr>
        <w:tc>
          <w:tcPr>
            <w:tcW w:w="13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5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NONE, Residence:</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LLC d/b/a Putnam Investments</w:t>
            </w:r>
          </w:p>
        </w:tc>
        <w:tc>
          <w:tcPr>
            <w:tcW w:w="1600" w:type="dxa"/>
            <w:vAlign w:val="bottom"/>
          </w:tcPr>
          <w:p>
            <w:pPr>
              <w:jc w:val="right"/>
              <w:spacing w:after="0"/>
              <w:rPr>
                <w:sz w:val="20"/>
                <w:szCs w:val="20"/>
                <w:color w:val="auto"/>
              </w:rPr>
            </w:pPr>
            <w:r>
              <w:rPr>
                <w:rFonts w:ascii="Courier New" w:cs="Courier New" w:eastAsia="Courier New" w:hAnsi="Courier New"/>
                <w:sz w:val="14"/>
                <w:szCs w:val="14"/>
                <w:color w:val="auto"/>
              </w:rPr>
              <w:t>One Post Office</w:t>
            </w: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Square</w:t>
            </w:r>
          </w:p>
        </w:tc>
        <w:tc>
          <w:tcPr>
            <w:tcW w:w="1300" w:type="dxa"/>
            <w:vAlign w:val="bottom"/>
          </w:tcPr>
          <w:p>
            <w:pPr>
              <w:spacing w:after="0"/>
              <w:rPr>
                <w:sz w:val="24"/>
                <w:szCs w:val="24"/>
                <w:color w:val="auto"/>
              </w:rPr>
            </w:pPr>
          </w:p>
        </w:tc>
      </w:tr>
      <w:tr>
        <w:trPr>
          <w:trHeight w:val="167"/>
        </w:trPr>
        <w:tc>
          <w:tcPr>
            <w:tcW w:w="1360" w:type="dxa"/>
            <w:vAlign w:val="bottom"/>
          </w:tcPr>
          <w:p>
            <w:pPr>
              <w:ind w:left="700"/>
              <w:spacing w:after="0"/>
              <w:rPr>
                <w:sz w:val="20"/>
                <w:szCs w:val="20"/>
                <w:color w:val="auto"/>
              </w:rPr>
            </w:pPr>
            <w:r>
              <w:rPr>
                <w:rFonts w:ascii="Courier New" w:cs="Courier New" w:eastAsia="Courier New" w:hAnsi="Courier New"/>
                <w:sz w:val="14"/>
                <w:szCs w:val="14"/>
                <w:color w:val="auto"/>
              </w:rPr>
              <w:t>("PI")</w:t>
            </w:r>
          </w:p>
        </w:tc>
        <w:tc>
          <w:tcPr>
            <w:tcW w:w="1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5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r>
        <w:trPr>
          <w:trHeight w:val="167"/>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on behalf of itself and:</w:t>
            </w:r>
          </w:p>
        </w:tc>
        <w:tc>
          <w:tcPr>
            <w:tcW w:w="16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*Marsh &amp; McLennan Companies, Inc.</w:t>
            </w:r>
          </w:p>
        </w:tc>
        <w:tc>
          <w:tcPr>
            <w:tcW w:w="4160" w:type="dxa"/>
            <w:vAlign w:val="bottom"/>
            <w:gridSpan w:val="3"/>
          </w:tcPr>
          <w:p>
            <w:pPr>
              <w:jc w:val="center"/>
              <w:ind w:left="28"/>
              <w:spacing w:after="0"/>
              <w:rPr>
                <w:sz w:val="20"/>
                <w:szCs w:val="20"/>
                <w:color w:val="auto"/>
              </w:rPr>
            </w:pPr>
            <w:r>
              <w:rPr>
                <w:rFonts w:ascii="Courier New" w:cs="Courier New" w:eastAsia="Courier New" w:hAnsi="Courier New"/>
                <w:sz w:val="14"/>
                <w:szCs w:val="14"/>
                <w:color w:val="auto"/>
              </w:rPr>
              <w:t>1166 Avenue of the Americas</w:t>
            </w:r>
          </w:p>
        </w:tc>
      </w:tr>
      <w:tr>
        <w:trPr>
          <w:trHeight w:val="167"/>
        </w:trPr>
        <w:tc>
          <w:tcPr>
            <w:tcW w:w="1360" w:type="dxa"/>
            <w:vAlign w:val="bottom"/>
          </w:tcPr>
          <w:p>
            <w:pPr>
              <w:ind w:left="700"/>
              <w:spacing w:after="0"/>
              <w:rPr>
                <w:sz w:val="20"/>
                <w:szCs w:val="20"/>
                <w:color w:val="auto"/>
              </w:rPr>
            </w:pPr>
            <w:r>
              <w:rPr>
                <w:rFonts w:ascii="Courier New" w:cs="Courier New" w:eastAsia="Courier New" w:hAnsi="Courier New"/>
                <w:sz w:val="14"/>
                <w:szCs w:val="14"/>
                <w:color w:val="auto"/>
              </w:rPr>
              <w:t>("MMC")</w:t>
            </w:r>
          </w:p>
        </w:tc>
        <w:tc>
          <w:tcPr>
            <w:tcW w:w="1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New York, NY</w:t>
            </w:r>
          </w:p>
        </w:tc>
        <w:tc>
          <w:tcPr>
            <w:tcW w:w="1300" w:type="dxa"/>
            <w:vAlign w:val="bottom"/>
          </w:tcPr>
          <w:p>
            <w:pPr>
              <w:spacing w:after="0"/>
              <w:rPr>
                <w:sz w:val="20"/>
                <w:szCs w:val="20"/>
                <w:color w:val="auto"/>
              </w:rPr>
            </w:pPr>
            <w:r>
              <w:rPr>
                <w:rFonts w:ascii="Courier New" w:cs="Courier New" w:eastAsia="Courier New" w:hAnsi="Courier New"/>
                <w:sz w:val="14"/>
                <w:szCs w:val="14"/>
                <w:color w:val="auto"/>
              </w:rPr>
              <w:t>10036</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Investment Management, LLC.</w:t>
            </w:r>
          </w:p>
        </w:tc>
        <w:tc>
          <w:tcPr>
            <w:tcW w:w="286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One Post Office Square</w:t>
            </w:r>
          </w:p>
        </w:tc>
        <w:tc>
          <w:tcPr>
            <w:tcW w:w="1300" w:type="dxa"/>
            <w:vAlign w:val="bottom"/>
          </w:tcPr>
          <w:p>
            <w:pPr>
              <w:spacing w:after="0"/>
              <w:rPr>
                <w:sz w:val="24"/>
                <w:szCs w:val="24"/>
                <w:color w:val="auto"/>
              </w:rPr>
            </w:pPr>
          </w:p>
        </w:tc>
      </w:tr>
      <w:tr>
        <w:trPr>
          <w:trHeight w:val="167"/>
        </w:trPr>
        <w:tc>
          <w:tcPr>
            <w:tcW w:w="1360" w:type="dxa"/>
            <w:vAlign w:val="bottom"/>
          </w:tcPr>
          <w:p>
            <w:pPr>
              <w:ind w:left="700"/>
              <w:spacing w:after="0"/>
              <w:rPr>
                <w:sz w:val="20"/>
                <w:szCs w:val="20"/>
                <w:color w:val="auto"/>
              </w:rPr>
            </w:pPr>
            <w:r>
              <w:rPr>
                <w:rFonts w:ascii="Courier New" w:cs="Courier New" w:eastAsia="Courier New" w:hAnsi="Courier New"/>
                <w:sz w:val="14"/>
                <w:szCs w:val="14"/>
                <w:color w:val="auto"/>
              </w:rPr>
              <w:t>("PIM")</w:t>
            </w:r>
          </w:p>
        </w:tc>
        <w:tc>
          <w:tcPr>
            <w:tcW w:w="1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5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The Putnam Advisory Company, LLC.</w:t>
            </w:r>
          </w:p>
        </w:tc>
        <w:tc>
          <w:tcPr>
            <w:tcW w:w="286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One Post Office Square</w:t>
            </w:r>
          </w:p>
        </w:tc>
        <w:tc>
          <w:tcPr>
            <w:tcW w:w="1300" w:type="dxa"/>
            <w:vAlign w:val="bottom"/>
          </w:tcPr>
          <w:p>
            <w:pPr>
              <w:spacing w:after="0"/>
              <w:rPr>
                <w:sz w:val="24"/>
                <w:szCs w:val="24"/>
                <w:color w:val="auto"/>
              </w:rPr>
            </w:pPr>
          </w:p>
        </w:tc>
      </w:tr>
      <w:tr>
        <w:trPr>
          <w:trHeight w:val="167"/>
        </w:trPr>
        <w:tc>
          <w:tcPr>
            <w:tcW w:w="1360" w:type="dxa"/>
            <w:vAlign w:val="bottom"/>
          </w:tcPr>
          <w:p>
            <w:pPr>
              <w:ind w:left="700"/>
              <w:spacing w:after="0"/>
              <w:rPr>
                <w:sz w:val="20"/>
                <w:szCs w:val="20"/>
                <w:color w:val="auto"/>
              </w:rPr>
            </w:pPr>
            <w:r>
              <w:rPr>
                <w:rFonts w:ascii="Courier New" w:cs="Courier New" w:eastAsia="Courier New" w:hAnsi="Courier New"/>
                <w:sz w:val="14"/>
                <w:szCs w:val="14"/>
                <w:color w:val="auto"/>
              </w:rPr>
              <w:t>("PAC")</w:t>
            </w:r>
          </w:p>
        </w:tc>
        <w:tc>
          <w:tcPr>
            <w:tcW w:w="1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5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Boston, Massachusetts 02109</w:t>
            </w:r>
          </w:p>
        </w:tc>
      </w:tr>
      <w:tr>
        <w:trPr>
          <w:trHeight w:val="334"/>
        </w:trPr>
        <w:tc>
          <w:tcPr>
            <w:tcW w:w="3220" w:type="dxa"/>
            <w:vAlign w:val="bottom"/>
            <w:gridSpan w:val="2"/>
          </w:tcPr>
          <w:p>
            <w:pPr>
              <w:spacing w:after="0"/>
              <w:rPr>
                <w:sz w:val="20"/>
                <w:szCs w:val="20"/>
                <w:color w:val="auto"/>
              </w:rPr>
            </w:pPr>
            <w:r>
              <w:rPr>
                <w:rFonts w:ascii="Courier New" w:cs="Courier New" w:eastAsia="Courier New" w:hAnsi="Courier New"/>
                <w:sz w:val="14"/>
                <w:szCs w:val="14"/>
                <w:color w:val="auto"/>
              </w:rPr>
              <w:t>**Putnam New Opportunities Fund</w:t>
            </w:r>
          </w:p>
        </w:tc>
        <w:tc>
          <w:tcPr>
            <w:tcW w:w="1600" w:type="dxa"/>
            <w:vAlign w:val="bottom"/>
          </w:tcPr>
          <w:p>
            <w:pPr>
              <w:spacing w:after="0"/>
              <w:rPr>
                <w:sz w:val="24"/>
                <w:szCs w:val="24"/>
                <w:color w:val="auto"/>
              </w:rPr>
            </w:pPr>
          </w:p>
        </w:tc>
        <w:tc>
          <w:tcPr>
            <w:tcW w:w="2560" w:type="dxa"/>
            <w:vAlign w:val="bottom"/>
            <w:gridSpan w:val="2"/>
          </w:tcPr>
          <w:p>
            <w:pPr>
              <w:ind w:left="60"/>
              <w:spacing w:after="0"/>
              <w:rPr>
                <w:sz w:val="20"/>
                <w:szCs w:val="20"/>
                <w:color w:val="auto"/>
              </w:rPr>
            </w:pPr>
            <w:r>
              <w:rPr>
                <w:rFonts w:ascii="Courier New" w:cs="Courier New" w:eastAsia="Courier New" w:hAnsi="Courier New"/>
                <w:sz w:val="14"/>
                <w:szCs w:val="14"/>
                <w:color w:val="auto"/>
              </w:rPr>
              <w:t>One Post Office Square</w:t>
            </w:r>
          </w:p>
        </w:tc>
      </w:tr>
      <w:tr>
        <w:trPr>
          <w:trHeight w:val="167"/>
        </w:trPr>
        <w:tc>
          <w:tcPr>
            <w:tcW w:w="13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600" w:type="dxa"/>
            <w:vAlign w:val="bottom"/>
          </w:tcPr>
          <w:p>
            <w:pPr>
              <w:jc w:val="right"/>
              <w:spacing w:after="0"/>
              <w:rPr>
                <w:sz w:val="20"/>
                <w:szCs w:val="20"/>
                <w:color w:val="auto"/>
              </w:rPr>
            </w:pPr>
            <w:r>
              <w:rPr>
                <w:rFonts w:ascii="Courier New" w:cs="Courier New" w:eastAsia="Courier New" w:hAnsi="Courier New"/>
                <w:sz w:val="14"/>
                <w:szCs w:val="14"/>
                <w:color w:val="auto"/>
              </w:rPr>
              <w:t>Boston,</w:t>
            </w:r>
          </w:p>
        </w:tc>
        <w:tc>
          <w:tcPr>
            <w:tcW w:w="1260" w:type="dxa"/>
            <w:vAlign w:val="bottom"/>
          </w:tcPr>
          <w:p>
            <w:pPr>
              <w:ind w:left="60"/>
              <w:spacing w:after="0"/>
              <w:rPr>
                <w:sz w:val="20"/>
                <w:szCs w:val="20"/>
                <w:color w:val="auto"/>
              </w:rPr>
            </w:pPr>
            <w:r>
              <w:rPr>
                <w:rFonts w:ascii="Courier New" w:cs="Courier New" w:eastAsia="Courier New" w:hAnsi="Courier New"/>
                <w:sz w:val="14"/>
                <w:szCs w:val="14"/>
                <w:color w:val="auto"/>
              </w:rPr>
              <w:t>Massachusetts</w:t>
            </w:r>
          </w:p>
        </w:tc>
        <w:tc>
          <w:tcPr>
            <w:tcW w:w="1300" w:type="dxa"/>
            <w:vAlign w:val="bottom"/>
          </w:tcPr>
          <w:p>
            <w:pPr>
              <w:jc w:val="right"/>
              <w:ind w:right="708"/>
              <w:spacing w:after="0"/>
              <w:rPr>
                <w:sz w:val="20"/>
                <w:szCs w:val="20"/>
                <w:color w:val="auto"/>
              </w:rPr>
            </w:pPr>
            <w:r>
              <w:rPr>
                <w:rFonts w:ascii="Courier New" w:cs="Courier New" w:eastAsia="Courier New" w:hAnsi="Courier New"/>
                <w:sz w:val="14"/>
                <w:szCs w:val="14"/>
                <w:color w:val="auto"/>
              </w:rPr>
              <w:t>02109</w:t>
            </w:r>
          </w:p>
        </w:tc>
      </w:tr>
      <w:tr>
        <w:trPr>
          <w:trHeight w:val="501"/>
        </w:trPr>
        <w:tc>
          <w:tcPr>
            <w:tcW w:w="1360" w:type="dxa"/>
            <w:vAlign w:val="bottom"/>
          </w:tcPr>
          <w:p>
            <w:pPr>
              <w:spacing w:after="0"/>
              <w:rPr>
                <w:sz w:val="20"/>
                <w:szCs w:val="20"/>
                <w:color w:val="auto"/>
              </w:rPr>
            </w:pPr>
            <w:r>
              <w:rPr>
                <w:rFonts w:ascii="Courier New" w:cs="Courier New" w:eastAsia="Courier New" w:hAnsi="Courier New"/>
                <w:sz w:val="14"/>
                <w:szCs w:val="14"/>
                <w:color w:val="auto"/>
              </w:rPr>
              <w:t>Item 2(c)</w:t>
            </w:r>
          </w:p>
        </w:tc>
        <w:tc>
          <w:tcPr>
            <w:tcW w:w="1860" w:type="dxa"/>
            <w:vAlign w:val="bottom"/>
          </w:tcPr>
          <w:p>
            <w:pPr>
              <w:ind w:left="740"/>
              <w:spacing w:after="0"/>
              <w:rPr>
                <w:sz w:val="20"/>
                <w:szCs w:val="20"/>
                <w:color w:val="auto"/>
              </w:rPr>
            </w:pPr>
            <w:r>
              <w:rPr>
                <w:rFonts w:ascii="Courier New" w:cs="Courier New" w:eastAsia="Courier New" w:hAnsi="Courier New"/>
                <w:sz w:val="14"/>
                <w:szCs w:val="14"/>
                <w:color w:val="auto"/>
              </w:rPr>
              <w:t>Citizenship:</w:t>
            </w:r>
          </w:p>
        </w:tc>
        <w:tc>
          <w:tcPr>
            <w:tcW w:w="4160" w:type="dxa"/>
            <w:vAlign w:val="bottom"/>
            <w:gridSpan w:val="3"/>
          </w:tcPr>
          <w:p>
            <w:pPr>
              <w:jc w:val="center"/>
              <w:ind w:left="8"/>
              <w:spacing w:after="0"/>
              <w:rPr>
                <w:sz w:val="20"/>
                <w:szCs w:val="20"/>
                <w:color w:val="auto"/>
              </w:rPr>
            </w:pPr>
            <w:r>
              <w:rPr>
                <w:rFonts w:ascii="Courier New" w:cs="Courier New" w:eastAsia="Courier New" w:hAnsi="Courier New"/>
                <w:sz w:val="14"/>
                <w:szCs w:val="14"/>
                <w:color w:val="auto"/>
              </w:rPr>
              <w:t>PI, PIM and PAC are limited liability companies</w:t>
            </w:r>
          </w:p>
        </w:tc>
      </w:tr>
      <w:tr>
        <w:trPr>
          <w:trHeight w:val="167"/>
        </w:trPr>
        <w:tc>
          <w:tcPr>
            <w:tcW w:w="1360" w:type="dxa"/>
            <w:vAlign w:val="bottom"/>
          </w:tcPr>
          <w:p>
            <w:pPr>
              <w:spacing w:after="0"/>
              <w:rPr>
                <w:sz w:val="14"/>
                <w:szCs w:val="14"/>
                <w:color w:val="auto"/>
              </w:rPr>
            </w:pPr>
          </w:p>
        </w:tc>
        <w:tc>
          <w:tcPr>
            <w:tcW w:w="6020" w:type="dxa"/>
            <w:vAlign w:val="bottom"/>
            <w:gridSpan w:val="4"/>
          </w:tcPr>
          <w:p>
            <w:pPr>
              <w:ind w:left="740"/>
              <w:spacing w:after="0"/>
              <w:rPr>
                <w:sz w:val="20"/>
                <w:szCs w:val="20"/>
                <w:color w:val="auto"/>
              </w:rPr>
            </w:pPr>
            <w:r>
              <w:rPr>
                <w:rFonts w:ascii="Courier New" w:cs="Courier New" w:eastAsia="Courier New" w:hAnsi="Courier New"/>
                <w:sz w:val="14"/>
                <w:szCs w:val="14"/>
                <w:color w:val="auto"/>
              </w:rPr>
              <w:t>organized under Delaware law.  The citizenship of other</w:t>
            </w:r>
          </w:p>
        </w:tc>
      </w:tr>
      <w:tr>
        <w:trPr>
          <w:trHeight w:val="167"/>
        </w:trPr>
        <w:tc>
          <w:tcPr>
            <w:tcW w:w="1360" w:type="dxa"/>
            <w:vAlign w:val="bottom"/>
          </w:tcPr>
          <w:p>
            <w:pPr>
              <w:spacing w:after="0"/>
              <w:rPr>
                <w:sz w:val="14"/>
                <w:szCs w:val="14"/>
                <w:color w:val="auto"/>
              </w:rPr>
            </w:pPr>
          </w:p>
        </w:tc>
        <w:tc>
          <w:tcPr>
            <w:tcW w:w="3460" w:type="dxa"/>
            <w:vAlign w:val="bottom"/>
            <w:gridSpan w:val="2"/>
          </w:tcPr>
          <w:p>
            <w:pPr>
              <w:jc w:val="right"/>
              <w:spacing w:after="0"/>
              <w:rPr>
                <w:sz w:val="20"/>
                <w:szCs w:val="20"/>
                <w:color w:val="auto"/>
              </w:rPr>
            </w:pPr>
            <w:r>
              <w:rPr>
                <w:rFonts w:ascii="Courier New" w:cs="Courier New" w:eastAsia="Courier New" w:hAnsi="Courier New"/>
                <w:sz w:val="14"/>
                <w:szCs w:val="14"/>
                <w:color w:val="auto"/>
              </w:rPr>
              <w:t>persons identified in Item 2(a)</w:t>
            </w:r>
          </w:p>
        </w:tc>
        <w:tc>
          <w:tcPr>
            <w:tcW w:w="256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is designated as follows:</w:t>
            </w:r>
          </w:p>
        </w:tc>
      </w:tr>
    </w:tbl>
    <w:p>
      <w:pPr>
        <w:spacing w:after="0" w:line="171" w:lineRule="exact"/>
        <w:rPr>
          <w:sz w:val="20"/>
          <w:szCs w:val="20"/>
          <w:color w:val="auto"/>
        </w:rPr>
      </w:pPr>
    </w:p>
    <w:p>
      <w:pPr>
        <w:ind w:left="2780" w:hanging="688"/>
        <w:spacing w:after="0"/>
        <w:tabs>
          <w:tab w:leader="none" w:pos="2780" w:val="left"/>
        </w:tabs>
        <w:numPr>
          <w:ilvl w:val="0"/>
          <w:numId w:val="4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Corporation - Delaware law</w:t>
      </w:r>
    </w:p>
    <w:p>
      <w:pPr>
        <w:spacing w:after="0" w:line="8" w:lineRule="exact"/>
        <w:rPr>
          <w:sz w:val="20"/>
          <w:szCs w:val="20"/>
          <w:color w:val="auto"/>
        </w:rPr>
      </w:pPr>
    </w:p>
    <w:p>
      <w:pPr>
        <w:ind w:left="2780" w:right="2159" w:hanging="688"/>
        <w:spacing w:after="0" w:line="258" w:lineRule="auto"/>
        <w:tabs>
          <w:tab w:leader="none" w:pos="2780" w:val="left"/>
        </w:tabs>
        <w:numPr>
          <w:ilvl w:val="0"/>
          <w:numId w:val="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Voluntary association known as Massachusetts business trust - Massachusetts law</w:t>
      </w:r>
    </w:p>
    <w:p>
      <w:pPr>
        <w:spacing w:after="0" w:line="327" w:lineRule="exact"/>
        <w:rPr>
          <w:sz w:val="20"/>
          <w:szCs w:val="20"/>
          <w:color w:val="auto"/>
        </w:rPr>
      </w:pPr>
    </w:p>
    <w:p>
      <w:pPr>
        <w:spacing w:after="0"/>
        <w:tabs>
          <w:tab w:leader="none" w:pos="2080" w:val="left"/>
          <w:tab w:leader="none" w:pos="4860" w:val="left"/>
        </w:tabs>
        <w:rPr>
          <w:sz w:val="20"/>
          <w:szCs w:val="20"/>
          <w:color w:val="auto"/>
        </w:rPr>
      </w:pPr>
      <w:r>
        <w:rPr>
          <w:rFonts w:ascii="Courier New" w:cs="Courier New" w:eastAsia="Courier New" w:hAnsi="Courier New"/>
          <w:sz w:val="14"/>
          <w:szCs w:val="14"/>
          <w:color w:val="auto"/>
        </w:rPr>
        <w:t>Item 2(d)</w:t>
      </w:r>
      <w:r>
        <w:rPr>
          <w:sz w:val="20"/>
          <w:szCs w:val="20"/>
          <w:color w:val="auto"/>
        </w:rPr>
        <w:tab/>
      </w:r>
      <w:r>
        <w:rPr>
          <w:rFonts w:ascii="Courier New" w:cs="Courier New" w:eastAsia="Courier New" w:hAnsi="Courier New"/>
          <w:sz w:val="14"/>
          <w:szCs w:val="14"/>
          <w:color w:val="auto"/>
        </w:rPr>
        <w:t>Title of Class of Securities:</w:t>
      </w:r>
      <w:r>
        <w:rPr>
          <w:sz w:val="20"/>
          <w:szCs w:val="20"/>
          <w:color w:val="auto"/>
        </w:rPr>
        <w:tab/>
      </w:r>
      <w:r>
        <w:rPr>
          <w:rFonts w:ascii="Courier New" w:cs="Courier New" w:eastAsia="Courier New" w:hAnsi="Courier New"/>
          <w:sz w:val="14"/>
          <w:szCs w:val="14"/>
          <w:color w:val="auto"/>
        </w:rPr>
        <w:t>Common</w:t>
      </w:r>
    </w:p>
    <w:p>
      <w:pPr>
        <w:spacing w:after="0" w:line="175" w:lineRule="exact"/>
        <w:rPr>
          <w:sz w:val="20"/>
          <w:szCs w:val="20"/>
          <w:color w:val="auto"/>
        </w:rPr>
      </w:pPr>
    </w:p>
    <w:p>
      <w:pPr>
        <w:spacing w:after="0"/>
        <w:tabs>
          <w:tab w:leader="none" w:pos="2080" w:val="left"/>
          <w:tab w:leader="none" w:pos="3460" w:val="left"/>
        </w:tabs>
        <w:rPr>
          <w:sz w:val="20"/>
          <w:szCs w:val="20"/>
          <w:color w:val="auto"/>
        </w:rPr>
      </w:pPr>
      <w:r>
        <w:rPr>
          <w:rFonts w:ascii="Courier New" w:cs="Courier New" w:eastAsia="Courier New" w:hAnsi="Courier New"/>
          <w:sz w:val="14"/>
          <w:szCs w:val="14"/>
          <w:color w:val="auto"/>
        </w:rPr>
        <w:t>Item 2(e)</w:t>
      </w:r>
      <w:r>
        <w:rPr>
          <w:sz w:val="20"/>
          <w:szCs w:val="20"/>
          <w:color w:val="auto"/>
        </w:rPr>
        <w:tab/>
      </w:r>
      <w:r>
        <w:rPr>
          <w:rFonts w:ascii="Courier New" w:cs="Courier New" w:eastAsia="Courier New" w:hAnsi="Courier New"/>
          <w:sz w:val="14"/>
          <w:szCs w:val="14"/>
          <w:color w:val="auto"/>
        </w:rPr>
        <w:t>Cusip Number:</w:t>
        <w:tab/>
        <w:t>G5876H105</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7 of 11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1400" w:right="3719" w:hanging="1388"/>
        <w:spacing w:after="0" w:line="258" w:lineRule="auto"/>
        <w:rPr>
          <w:sz w:val="20"/>
          <w:szCs w:val="20"/>
          <w:color w:val="auto"/>
        </w:rPr>
      </w:pPr>
      <w:r>
        <w:rPr>
          <w:rFonts w:ascii="Courier New" w:cs="Courier New" w:eastAsia="Courier New" w:hAnsi="Courier New"/>
          <w:sz w:val="14"/>
          <w:szCs w:val="14"/>
          <w:color w:val="auto"/>
        </w:rPr>
        <w:t>Item 3. If this statement is filed pursuant to Rules 13d-1(b), or 13d-2(b), check whether the person filing is a:</w:t>
      </w: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62"/>
        </w:trPr>
        <w:tc>
          <w:tcPr>
            <w:tcW w:w="480" w:type="dxa"/>
            <w:vAlign w:val="bottom"/>
          </w:tcPr>
          <w:p>
            <w:pPr>
              <w:spacing w:after="0"/>
              <w:rPr>
                <w:sz w:val="20"/>
                <w:szCs w:val="20"/>
                <w:color w:val="auto"/>
              </w:rPr>
            </w:pPr>
            <w:r>
              <w:rPr>
                <w:rFonts w:ascii="Courier New" w:cs="Courier New" w:eastAsia="Courier New" w:hAnsi="Courier New"/>
                <w:sz w:val="14"/>
                <w:szCs w:val="14"/>
                <w:color w:val="auto"/>
              </w:rPr>
              <w:t>(a)(</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ind w:left="340"/>
              <w:spacing w:after="0"/>
              <w:rPr>
                <w:sz w:val="20"/>
                <w:szCs w:val="20"/>
                <w:color w:val="auto"/>
              </w:rPr>
            </w:pPr>
            <w:r>
              <w:rPr>
                <w:rFonts w:ascii="Courier New" w:cs="Courier New" w:eastAsia="Courier New" w:hAnsi="Courier New"/>
                <w:sz w:val="14"/>
                <w:szCs w:val="14"/>
                <w:color w:val="auto"/>
              </w:rPr>
              <w:t>Broker or</w:t>
            </w:r>
          </w:p>
        </w:tc>
        <w:tc>
          <w:tcPr>
            <w:tcW w:w="2780" w:type="dxa"/>
            <w:vAlign w:val="bottom"/>
          </w:tcPr>
          <w:p>
            <w:pPr>
              <w:ind w:left="40"/>
              <w:spacing w:after="0"/>
              <w:rPr>
                <w:sz w:val="20"/>
                <w:szCs w:val="20"/>
                <w:color w:val="auto"/>
              </w:rPr>
            </w:pPr>
            <w:r>
              <w:rPr>
                <w:rFonts w:ascii="Courier New" w:cs="Courier New" w:eastAsia="Courier New" w:hAnsi="Courier New"/>
                <w:sz w:val="14"/>
                <w:szCs w:val="14"/>
                <w:color w:val="auto"/>
              </w:rPr>
              <w:t>Dealer registered under Section</w:t>
            </w:r>
          </w:p>
        </w:tc>
        <w:tc>
          <w:tcPr>
            <w:tcW w:w="1520" w:type="dxa"/>
            <w:vAlign w:val="bottom"/>
          </w:tcPr>
          <w:p>
            <w:pPr>
              <w:ind w:left="40"/>
              <w:spacing w:after="0"/>
              <w:rPr>
                <w:sz w:val="20"/>
                <w:szCs w:val="20"/>
                <w:color w:val="auto"/>
              </w:rPr>
            </w:pPr>
            <w:r>
              <w:rPr>
                <w:rFonts w:ascii="Courier New" w:cs="Courier New" w:eastAsia="Courier New" w:hAnsi="Courier New"/>
                <w:sz w:val="14"/>
                <w:szCs w:val="14"/>
                <w:color w:val="auto"/>
              </w:rPr>
              <w:t>15 of the 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(b)(</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3940" w:type="dxa"/>
            <w:vAlign w:val="bottom"/>
            <w:gridSpan w:val="2"/>
          </w:tcPr>
          <w:p>
            <w:pPr>
              <w:ind w:left="340"/>
              <w:spacing w:after="0"/>
              <w:rPr>
                <w:sz w:val="20"/>
                <w:szCs w:val="20"/>
                <w:color w:val="auto"/>
              </w:rPr>
            </w:pPr>
            <w:r>
              <w:rPr>
                <w:rFonts w:ascii="Courier New" w:cs="Courier New" w:eastAsia="Courier New" w:hAnsi="Courier New"/>
                <w:sz w:val="14"/>
                <w:szCs w:val="14"/>
                <w:color w:val="auto"/>
              </w:rPr>
              <w:t>Bank as defined in Section 3(a)(6) of the</w:t>
            </w:r>
          </w:p>
        </w:tc>
        <w:tc>
          <w:tcPr>
            <w:tcW w:w="1520" w:type="dxa"/>
            <w:vAlign w:val="bottom"/>
          </w:tcPr>
          <w:p>
            <w:pPr>
              <w:ind w:left="40"/>
              <w:spacing w:after="0"/>
              <w:rPr>
                <w:sz w:val="20"/>
                <w:szCs w:val="20"/>
                <w:color w:val="auto"/>
              </w:rPr>
            </w:pPr>
            <w:r>
              <w:rPr>
                <w:rFonts w:ascii="Courier New" w:cs="Courier New" w:eastAsia="Courier New" w:hAnsi="Courier New"/>
                <w:sz w:val="14"/>
                <w:szCs w:val="14"/>
                <w:color w:val="auto"/>
              </w:rPr>
              <w:t>Act</w:t>
            </w:r>
          </w:p>
        </w:tc>
      </w:tr>
      <w:tr>
        <w:trPr>
          <w:trHeight w:val="501"/>
        </w:trPr>
        <w:tc>
          <w:tcPr>
            <w:tcW w:w="480" w:type="dxa"/>
            <w:vAlign w:val="bottom"/>
          </w:tcPr>
          <w:p>
            <w:pPr>
              <w:spacing w:after="0"/>
              <w:rPr>
                <w:sz w:val="20"/>
                <w:szCs w:val="20"/>
                <w:color w:val="auto"/>
              </w:rPr>
            </w:pPr>
            <w:r>
              <w:rPr>
                <w:rFonts w:ascii="Courier New" w:cs="Courier New" w:eastAsia="Courier New" w:hAnsi="Courier New"/>
                <w:sz w:val="14"/>
                <w:szCs w:val="14"/>
                <w:color w:val="auto"/>
              </w:rPr>
              <w:t>(c)(</w:t>
            </w:r>
          </w:p>
        </w:tc>
        <w:tc>
          <w:tcPr>
            <w:tcW w:w="580" w:type="dxa"/>
            <w:vAlign w:val="bottom"/>
          </w:tcPr>
          <w:p>
            <w:pPr>
              <w:jc w:val="right"/>
              <w:ind w:right="288"/>
              <w:spacing w:after="0"/>
              <w:rPr>
                <w:sz w:val="20"/>
                <w:szCs w:val="20"/>
                <w:color w:val="auto"/>
              </w:rPr>
            </w:pPr>
            <w:r>
              <w:rPr>
                <w:rFonts w:ascii="Courier New" w:cs="Courier New" w:eastAsia="Courier New" w:hAnsi="Courier New"/>
                <w:sz w:val="14"/>
                <w:szCs w:val="14"/>
                <w:color w:val="auto"/>
              </w:rPr>
              <w:t>)</w:t>
            </w:r>
          </w:p>
        </w:tc>
        <w:tc>
          <w:tcPr>
            <w:tcW w:w="1160" w:type="dxa"/>
            <w:vAlign w:val="bottom"/>
          </w:tcPr>
          <w:p>
            <w:pPr>
              <w:ind w:left="340"/>
              <w:spacing w:after="0"/>
              <w:rPr>
                <w:sz w:val="20"/>
                <w:szCs w:val="20"/>
                <w:color w:val="auto"/>
              </w:rPr>
            </w:pPr>
            <w:r>
              <w:rPr>
                <w:rFonts w:ascii="Courier New" w:cs="Courier New" w:eastAsia="Courier New" w:hAnsi="Courier New"/>
                <w:sz w:val="14"/>
                <w:szCs w:val="14"/>
                <w:color w:val="auto"/>
              </w:rPr>
              <w:t>Insurance</w:t>
            </w:r>
          </w:p>
        </w:tc>
        <w:tc>
          <w:tcPr>
            <w:tcW w:w="4300" w:type="dxa"/>
            <w:vAlign w:val="bottom"/>
            <w:gridSpan w:val="2"/>
          </w:tcPr>
          <w:p>
            <w:pPr>
              <w:ind w:left="40"/>
              <w:spacing w:after="0"/>
              <w:rPr>
                <w:sz w:val="20"/>
                <w:szCs w:val="20"/>
                <w:color w:val="auto"/>
              </w:rPr>
            </w:pPr>
            <w:r>
              <w:rPr>
                <w:rFonts w:ascii="Courier New" w:cs="Courier New" w:eastAsia="Courier New" w:hAnsi="Courier New"/>
                <w:sz w:val="14"/>
                <w:szCs w:val="14"/>
                <w:color w:val="auto"/>
              </w:rPr>
              <w:t>Company as defined in Section 3(a)(19) of the Act</w:t>
            </w:r>
          </w:p>
        </w:tc>
      </w:tr>
    </w:tbl>
    <w:p>
      <w:pPr>
        <w:spacing w:after="0" w:line="200" w:lineRule="exact"/>
        <w:rPr>
          <w:sz w:val="20"/>
          <w:szCs w:val="20"/>
          <w:color w:val="auto"/>
        </w:rPr>
      </w:pPr>
    </w:p>
    <w:p>
      <w:pPr>
        <w:sectPr>
          <w:pgSz w:w="11900" w:h="16858" w:orient="portrait"/>
          <w:cols w:equalWidth="0" w:num="1">
            <w:col w:w="10239"/>
          </w:cols>
          <w:pgMar w:left="220" w:top="141" w:right="1440" w:bottom="0" w:gutter="0" w:footer="0" w:header="0"/>
        </w:sectPr>
      </w:pPr>
    </w:p>
    <w:p>
      <w:pPr>
        <w:spacing w:after="0" w:line="138"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(d)( X )</w:t>
      </w:r>
      <w:r>
        <w:rPr>
          <w:sz w:val="20"/>
          <w:szCs w:val="20"/>
          <w:color w:val="auto"/>
        </w:rPr>
        <w:tab/>
      </w:r>
      <w:r>
        <w:rPr>
          <w:rFonts w:ascii="Courier New" w:cs="Courier New" w:eastAsia="Courier New" w:hAnsi="Courier New"/>
          <w:sz w:val="14"/>
          <w:szCs w:val="14"/>
          <w:color w:val="auto"/>
        </w:rPr>
        <w:t>Investment Company registered under Section 8 of the Investment</w:t>
      </w:r>
    </w:p>
    <w:p>
      <w:pPr>
        <w:sectPr>
          <w:pgSz w:w="11900" w:h="16858" w:orient="portrait"/>
          <w:cols w:equalWidth="0" w:num="1">
            <w:col w:w="10239"/>
          </w:cols>
          <w:pgMar w:left="220" w:top="141" w:right="1440" w:bottom="0" w:gutter="0" w:footer="0" w:header="0"/>
          <w:type w:val="continuous"/>
        </w:sectPr>
      </w:pPr>
    </w:p>
    <w:bookmarkStart w:id="4" w:name="page5"/>
    <w:bookmarkEnd w:id="4"/>
    <w:p>
      <w:pPr>
        <w:spacing w:after="0" w:line="29"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Company Act</w:t>
      </w:r>
    </w:p>
    <w:p>
      <w:pPr>
        <w:sectPr>
          <w:pgSz w:w="11900" w:h="16868" w:orient="portrait"/>
          <w:cols w:equalWidth="0" w:num="1">
            <w:col w:w="11540"/>
          </w:cols>
          <w:pgMar w:left="220" w:top="141" w:right="139" w:bottom="0" w:gutter="0" w:footer="0" w:header="0"/>
        </w:sectPr>
      </w:pP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 X )</w:t>
      </w:r>
    </w:p>
    <w:p>
      <w:pPr>
        <w:spacing w:after="0" w:line="20" w:lineRule="exact"/>
        <w:rPr>
          <w:sz w:val="20"/>
          <w:szCs w:val="20"/>
          <w:color w:val="auto"/>
        </w:rPr>
      </w:pPr>
      <w:r>
        <w:rPr>
          <w:sz w:val="20"/>
          <w:szCs w:val="20"/>
          <w:color w:val="auto"/>
        </w:rPr>
        <w:br w:type="column"/>
      </w:r>
    </w:p>
    <w:p>
      <w:pPr>
        <w:spacing w:after="0" w:line="322" w:lineRule="exact"/>
        <w:rPr>
          <w:sz w:val="20"/>
          <w:szCs w:val="20"/>
          <w:color w:val="auto"/>
        </w:rPr>
      </w:pPr>
    </w:p>
    <w:p>
      <w:pPr>
        <w:ind w:right="4500"/>
        <w:spacing w:after="0" w:line="258" w:lineRule="auto"/>
        <w:rPr>
          <w:sz w:val="20"/>
          <w:szCs w:val="20"/>
          <w:color w:val="auto"/>
        </w:rPr>
      </w:pPr>
      <w:r>
        <w:rPr>
          <w:rFonts w:ascii="Courier New" w:cs="Courier New" w:eastAsia="Courier New" w:hAnsi="Courier New"/>
          <w:sz w:val="14"/>
          <w:szCs w:val="14"/>
          <w:color w:val="auto"/>
        </w:rPr>
        <w:t>Investment Adviser registered under Section 203 of the Investment Advisers Act of 1940</w:t>
      </w:r>
    </w:p>
    <w:p>
      <w:pPr>
        <w:spacing w:after="0" w:line="200" w:lineRule="exact"/>
        <w:rPr>
          <w:sz w:val="20"/>
          <w:szCs w:val="20"/>
          <w:color w:val="auto"/>
        </w:rPr>
      </w:pPr>
    </w:p>
    <w:p>
      <w:pPr>
        <w:sectPr>
          <w:pgSz w:w="11900" w:h="16868" w:orient="portrait"/>
          <w:cols w:equalWidth="0" w:num="2">
            <w:col w:w="700" w:space="700"/>
            <w:col w:w="10140"/>
          </w:cols>
          <w:pgMar w:left="220" w:top="141" w:right="139" w:bottom="0" w:gutter="0" w:footer="0" w:header="0"/>
          <w:type w:val="continuous"/>
        </w:sectPr>
      </w:pPr>
    </w:p>
    <w:p>
      <w:pPr>
        <w:spacing w:after="0" w:line="12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(f)(</w:t>
      </w:r>
    </w:p>
    <w:p>
      <w:pPr>
        <w:spacing w:after="0" w:line="20" w:lineRule="exact"/>
        <w:rPr>
          <w:sz w:val="20"/>
          <w:szCs w:val="20"/>
          <w:color w:val="auto"/>
        </w:rPr>
      </w:pPr>
      <w:r>
        <w:rPr>
          <w:sz w:val="20"/>
          <w:szCs w:val="20"/>
          <w:color w:val="auto"/>
        </w:rPr>
        <w:br w:type="column"/>
      </w:r>
    </w:p>
    <w:p>
      <w:pPr>
        <w:spacing w:after="0" w:line="107"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107" w:lineRule="exact"/>
        <w:rPr>
          <w:sz w:val="20"/>
          <w:szCs w:val="20"/>
          <w:color w:val="auto"/>
        </w:rPr>
      </w:pPr>
    </w:p>
    <w:p>
      <w:pPr>
        <w:ind w:right="4240"/>
        <w:spacing w:after="0" w:line="255" w:lineRule="auto"/>
        <w:rPr>
          <w:sz w:val="20"/>
          <w:szCs w:val="20"/>
          <w:color w:val="auto"/>
        </w:rPr>
      </w:pPr>
      <w:r>
        <w:rPr>
          <w:rFonts w:ascii="Courier New" w:cs="Courier New" w:eastAsia="Courier New" w:hAnsi="Courier New"/>
          <w:sz w:val="14"/>
          <w:szCs w:val="14"/>
          <w:color w:val="auto"/>
        </w:rPr>
        <w:t>Employee Benefit Plan, Pension Fund which is subject to the provisions of the Employee Retirement Income Security Act of 1974 or Endowment Fund; see (Section 240.13d-1(b)(1)(ii)(F)</w:t>
      </w:r>
    </w:p>
    <w:p>
      <w:pPr>
        <w:spacing w:after="0" w:line="200" w:lineRule="exact"/>
        <w:rPr>
          <w:sz w:val="20"/>
          <w:szCs w:val="20"/>
          <w:color w:val="auto"/>
        </w:rPr>
      </w:pPr>
    </w:p>
    <w:p>
      <w:pPr>
        <w:sectPr>
          <w:pgSz w:w="11900" w:h="16868" w:orient="portrait"/>
          <w:cols w:equalWidth="0" w:num="3">
            <w:col w:w="360" w:space="260"/>
            <w:col w:w="80" w:space="700"/>
            <w:col w:w="10140"/>
          </w:cols>
          <w:pgMar w:left="220" w:top="141" w:right="139" w:bottom="0" w:gutter="0" w:footer="0" w:header="0"/>
          <w:type w:val="continuous"/>
        </w:sectPr>
      </w:pPr>
    </w:p>
    <w:p>
      <w:pPr>
        <w:spacing w:after="0" w:line="1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 X )</w:t>
      </w:r>
    </w:p>
    <w:p>
      <w:pPr>
        <w:spacing w:after="0" w:line="20" w:lineRule="exact"/>
        <w:rPr>
          <w:sz w:val="20"/>
          <w:szCs w:val="20"/>
          <w:color w:val="auto"/>
        </w:rPr>
      </w:pPr>
      <w:r>
        <w:rPr>
          <w:sz w:val="20"/>
          <w:szCs w:val="20"/>
          <w:color w:val="auto"/>
        </w:rPr>
        <w:br w:type="column"/>
      </w:r>
    </w:p>
    <w:p>
      <w:pPr>
        <w:spacing w:after="0" w:line="1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Parent Holding Company, in accordance with Section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240.13d-1(b)(ii)(G)</w:t>
      </w:r>
    </w:p>
    <w:p>
      <w:pPr>
        <w:spacing w:after="0" w:line="200" w:lineRule="exact"/>
        <w:rPr>
          <w:sz w:val="20"/>
          <w:szCs w:val="20"/>
          <w:color w:val="auto"/>
        </w:rPr>
      </w:pPr>
    </w:p>
    <w:p>
      <w:pPr>
        <w:sectPr>
          <w:pgSz w:w="11900" w:h="16868" w:orient="portrait"/>
          <w:cols w:equalWidth="0" w:num="2">
            <w:col w:w="700" w:space="700"/>
            <w:col w:w="10140"/>
          </w:cols>
          <w:pgMar w:left="220" w:top="141" w:right="139" w:bottom="0" w:gutter="0" w:footer="0" w:header="0"/>
          <w:type w:val="continuous"/>
        </w:sectPr>
      </w:pPr>
    </w:p>
    <w:p>
      <w:pPr>
        <w:spacing w:after="0" w:line="14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(h)(</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Group, in accordance with Section 240.13d-1(b)(1)(ii)(H)</w:t>
      </w:r>
    </w:p>
    <w:p>
      <w:pPr>
        <w:spacing w:after="0" w:line="200" w:lineRule="exact"/>
        <w:rPr>
          <w:sz w:val="20"/>
          <w:szCs w:val="20"/>
          <w:color w:val="auto"/>
        </w:rPr>
      </w:pPr>
    </w:p>
    <w:p>
      <w:pPr>
        <w:sectPr>
          <w:pgSz w:w="11900" w:h="16868" w:orient="portrait"/>
          <w:cols w:equalWidth="0" w:num="3">
            <w:col w:w="360" w:space="260"/>
            <w:col w:w="80" w:space="700"/>
            <w:col w:w="10140"/>
          </w:cols>
          <w:pgMar w:left="220" w:top="141" w:right="139"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Page 8 of 11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4.</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Ownership.</w:t>
      </w:r>
    </w:p>
    <w:p>
      <w:pPr>
        <w:sectPr>
          <w:pgSz w:w="11900" w:h="16868" w:orient="portrait"/>
          <w:cols w:equalWidth="0" w:num="1">
            <w:col w:w="11540"/>
          </w:cols>
          <w:pgMar w:left="220" w:top="141" w:right="139" w:bottom="0" w:gutter="0" w:footer="0" w:header="0"/>
          <w:type w:val="continuous"/>
        </w:sectPr>
      </w:pPr>
    </w:p>
    <w:p>
      <w:pPr>
        <w:spacing w:after="0" w:line="175"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M&amp;MC</w:t>
      </w:r>
    </w:p>
    <w:p>
      <w:pPr>
        <w:spacing w:after="0" w:line="8" w:lineRule="exact"/>
        <w:rPr>
          <w:sz w:val="20"/>
          <w:szCs w:val="20"/>
          <w:color w:val="auto"/>
        </w:rPr>
      </w:pPr>
    </w:p>
    <w:p>
      <w:pPr>
        <w:ind w:left="418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(Parent holding</w:t>
      </w:r>
    </w:p>
    <w:p>
      <w:pPr>
        <w:spacing w:after="0" w:line="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company to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PIM*</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(Investment advisers</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&amp; subsidiaries of PI)</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PAC</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(Parent company</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 PIM and PAC)</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PI</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508" w:lineRule="exact"/>
        <w:rPr>
          <w:sz w:val="20"/>
          <w:szCs w:val="20"/>
          <w:color w:val="auto"/>
        </w:rPr>
      </w:pPr>
    </w:p>
    <w:p>
      <w:pPr>
        <w:sectPr>
          <w:pgSz w:w="11900" w:h="16868" w:orient="portrait"/>
          <w:cols w:equalWidth="0" w:num="4">
            <w:col w:w="5540" w:space="720"/>
            <w:col w:w="2060" w:space="720"/>
            <w:col w:w="1360" w:space="720"/>
            <w:col w:w="420"/>
          </w:cols>
          <w:pgMar w:left="220" w:top="141"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(a)</w:t>
      </w:r>
      <w:r>
        <w:rPr>
          <w:sz w:val="20"/>
          <w:szCs w:val="20"/>
          <w:color w:val="auto"/>
        </w:rPr>
        <w:tab/>
      </w:r>
      <w:r>
        <w:rPr>
          <w:rFonts w:ascii="Courier New" w:cs="Courier New" w:eastAsia="Courier New" w:hAnsi="Courier New"/>
          <w:sz w:val="14"/>
          <w:szCs w:val="14"/>
          <w:color w:val="auto"/>
        </w:rPr>
        <w:t>Amount Beneficially</w:t>
      </w:r>
    </w:p>
    <w:p>
      <w:pPr>
        <w:sectPr>
          <w:pgSz w:w="11900" w:h="16868" w:orient="portrait"/>
          <w:cols w:equalWidth="0" w:num="1">
            <w:col w:w="11540"/>
          </w:cols>
          <w:pgMar w:left="220" w:top="141"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Owned:</w:t>
      </w:r>
    </w:p>
    <w:p>
      <w:pPr>
        <w:spacing w:after="0" w:line="20" w:lineRule="exact"/>
        <w:rPr>
          <w:sz w:val="20"/>
          <w:szCs w:val="20"/>
          <w:color w:val="auto"/>
        </w:rPr>
      </w:pPr>
      <w:r>
        <w:rPr>
          <w:sz w:val="20"/>
          <w:szCs w:val="20"/>
          <w:color w:val="auto"/>
        </w:rPr>
        <w:br w:type="column"/>
      </w:r>
    </w:p>
    <w:p>
      <w:pPr>
        <w:jc w:val="center"/>
        <w:ind w:right="17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12017442</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727271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12744713</w:t>
      </w:r>
    </w:p>
    <w:p>
      <w:pPr>
        <w:spacing w:after="0" w:line="175" w:lineRule="exact"/>
        <w:rPr>
          <w:sz w:val="20"/>
          <w:szCs w:val="20"/>
          <w:color w:val="auto"/>
        </w:rPr>
      </w:pPr>
    </w:p>
    <w:p>
      <w:pPr>
        <w:sectPr>
          <w:pgSz w:w="11900" w:h="16868" w:orient="portrait"/>
          <w:cols w:equalWidth="0" w:num="7">
            <w:col w:w="2760" w:space="720"/>
            <w:col w:w="2060" w:space="720"/>
            <w:col w:w="700" w:space="680"/>
            <w:col w:w="100" w:space="600"/>
            <w:col w:w="520" w:space="180"/>
            <w:col w:w="80" w:space="620"/>
            <w:col w:w="1800"/>
          </w:cols>
          <w:pgMar w:left="220" w:top="141" w:right="139" w:bottom="0" w:gutter="0" w:footer="0" w:header="0"/>
          <w:type w:val="continuous"/>
        </w:sectPr>
      </w:pPr>
    </w:p>
    <w:p>
      <w:pPr>
        <w:spacing w:after="0"/>
        <w:tabs>
          <w:tab w:leader="none" w:pos="680" w:val="left"/>
        </w:tabs>
        <w:rPr>
          <w:sz w:val="20"/>
          <w:szCs w:val="20"/>
          <w:color w:val="auto"/>
        </w:rPr>
      </w:pPr>
      <w:r>
        <w:rPr>
          <w:rFonts w:ascii="Courier New" w:cs="Courier New" w:eastAsia="Courier New" w:hAnsi="Courier New"/>
          <w:sz w:val="14"/>
          <w:szCs w:val="14"/>
          <w:color w:val="auto"/>
        </w:rPr>
        <w:t>(b)</w:t>
      </w:r>
      <w:r>
        <w:rPr>
          <w:sz w:val="20"/>
          <w:szCs w:val="20"/>
          <w:color w:val="auto"/>
        </w:rPr>
        <w:tab/>
      </w:r>
      <w:r>
        <w:rPr>
          <w:rFonts w:ascii="Courier New" w:cs="Courier New" w:eastAsia="Courier New" w:hAnsi="Courier New"/>
          <w:sz w:val="14"/>
          <w:szCs w:val="14"/>
          <w:color w:val="auto"/>
        </w:rPr>
        <w:t>Percent of Class: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10.0%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0.6%</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10.6%</w:t>
      </w:r>
    </w:p>
    <w:p>
      <w:pPr>
        <w:spacing w:after="0" w:line="175" w:lineRule="exact"/>
        <w:rPr>
          <w:sz w:val="20"/>
          <w:szCs w:val="20"/>
          <w:color w:val="auto"/>
        </w:rPr>
      </w:pPr>
    </w:p>
    <w:p>
      <w:pPr>
        <w:sectPr>
          <w:pgSz w:w="11900" w:h="16868" w:orient="portrait"/>
          <w:cols w:equalWidth="0" w:num="7">
            <w:col w:w="3460" w:space="720"/>
            <w:col w:w="2060" w:space="720"/>
            <w:col w:w="660" w:space="720"/>
            <w:col w:w="80" w:space="620"/>
            <w:col w:w="660" w:space="720"/>
            <w:col w:w="100" w:space="600"/>
            <w:col w:w="420"/>
          </w:cols>
          <w:pgMar w:left="220" w:top="141" w:right="139" w:bottom="0" w:gutter="0" w:footer="0" w:header="0"/>
          <w:type w:val="continuous"/>
        </w:sectPr>
      </w:pPr>
    </w:p>
    <w:p>
      <w:pPr>
        <w:ind w:left="700" w:hanging="691"/>
        <w:spacing w:after="0"/>
        <w:tabs>
          <w:tab w:leader="none" w:pos="700" w:val="left"/>
        </w:tabs>
        <w:numPr>
          <w:ilvl w:val="0"/>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Number of shares as</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to which such person has:</w:t>
      </w:r>
    </w:p>
    <w:p>
      <w:pPr>
        <w:spacing w:after="0" w:line="175" w:lineRule="exact"/>
        <w:rPr>
          <w:sz w:val="20"/>
          <w:szCs w:val="20"/>
          <w:color w:val="auto"/>
        </w:rPr>
      </w:pPr>
    </w:p>
    <w:p>
      <w:pPr>
        <w:ind w:left="700" w:hanging="691"/>
        <w:spacing w:after="0"/>
        <w:tabs>
          <w:tab w:leader="none" w:pos="70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vote</w:t>
      </w:r>
    </w:p>
    <w:p>
      <w:pPr>
        <w:spacing w:after="0" w:line="8" w:lineRule="exact"/>
        <w:rPr>
          <w:rFonts w:ascii="Courier New" w:cs="Courier New" w:eastAsia="Courier New" w:hAnsi="Courier New"/>
          <w:sz w:val="14"/>
          <w:szCs w:val="14"/>
          <w:color w:val="auto"/>
        </w:rPr>
      </w:pPr>
    </w:p>
    <w:p>
      <w:pPr>
        <w:ind w:left="700"/>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or to direct the vote;</w:t>
      </w:r>
    </w:p>
    <w:p>
      <w:pPr>
        <w:spacing w:after="0" w:line="8" w:lineRule="exact"/>
        <w:rPr>
          <w:sz w:val="20"/>
          <w:szCs w:val="20"/>
          <w:color w:val="auto"/>
        </w:rPr>
      </w:pPr>
    </w:p>
    <w:p>
      <w:pPr>
        <w:ind w:left="700"/>
        <w:spacing w:after="0"/>
        <w:tabs>
          <w:tab w:leader="none" w:pos="4160" w:val="left"/>
          <w:tab w:leader="none" w:pos="6940" w:val="left"/>
          <w:tab w:leader="none" w:pos="9020" w:val="left"/>
          <w:tab w:leader="none" w:pos="11100" w:val="left"/>
        </w:tabs>
        <w:rPr>
          <w:sz w:val="20"/>
          <w:szCs w:val="20"/>
          <w:color w:val="auto"/>
        </w:rPr>
      </w:pPr>
      <w:r>
        <w:rPr>
          <w:rFonts w:ascii="Courier New" w:cs="Courier New" w:eastAsia="Courier New" w:hAnsi="Courier New"/>
          <w:sz w:val="14"/>
          <w:szCs w:val="14"/>
          <w:color w:val="auto"/>
        </w:rPr>
        <w:t>(but see Item 7)</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r>
        <w:rPr>
          <w:sz w:val="20"/>
          <w:szCs w:val="20"/>
          <w:color w:val="auto"/>
        </w:rPr>
        <w:tab/>
      </w:r>
      <w:r>
        <w:rPr>
          <w:rFonts w:ascii="Courier New" w:cs="Courier New" w:eastAsia="Courier New" w:hAnsi="Courier New"/>
          <w:sz w:val="14"/>
          <w:szCs w:val="14"/>
          <w:color w:val="auto"/>
        </w:rPr>
        <w:t>NONE</w:t>
      </w:r>
    </w:p>
    <w:p>
      <w:pPr>
        <w:spacing w:after="0" w:line="175" w:lineRule="exact"/>
        <w:rPr>
          <w:sz w:val="20"/>
          <w:szCs w:val="20"/>
          <w:color w:val="auto"/>
        </w:rPr>
      </w:pPr>
    </w:p>
    <w:p>
      <w:pPr>
        <w:ind w:left="700" w:right="8920" w:hanging="691"/>
        <w:spacing w:after="0" w:line="252" w:lineRule="auto"/>
        <w:tabs>
          <w:tab w:leader="none" w:pos="700"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vote or to direct the vote;</w:t>
      </w:r>
    </w:p>
    <w:p>
      <w:pPr>
        <w:spacing w:after="0" w:line="1" w:lineRule="exact"/>
        <w:rPr>
          <w:sz w:val="20"/>
          <w:szCs w:val="20"/>
          <w:color w:val="auto"/>
        </w:rPr>
      </w:pPr>
    </w:p>
    <w:tbl>
      <w:tblPr>
        <w:tblLayout w:type="fixed"/>
        <w:tblInd w:w="700" w:type="dxa"/>
        <w:tblCellMar>
          <w:top w:w="0" w:type="dxa"/>
          <w:left w:w="0" w:type="dxa"/>
          <w:bottom w:w="0" w:type="dxa"/>
          <w:right w:w="0" w:type="dxa"/>
        </w:tblCellMar>
      </w:tblPr>
      <w:tr>
        <w:trPr>
          <w:trHeight w:val="162"/>
        </w:trPr>
        <w:tc>
          <w:tcPr>
            <w:tcW w:w="2440" w:type="dxa"/>
            <w:vAlign w:val="bottom"/>
          </w:tcPr>
          <w:p>
            <w:pPr>
              <w:spacing w:after="0"/>
              <w:rPr>
                <w:sz w:val="20"/>
                <w:szCs w:val="20"/>
                <w:color w:val="auto"/>
              </w:rPr>
            </w:pPr>
            <w:r>
              <w:rPr>
                <w:rFonts w:ascii="Courier New" w:cs="Courier New" w:eastAsia="Courier New" w:hAnsi="Courier New"/>
                <w:sz w:val="14"/>
                <w:szCs w:val="14"/>
                <w:color w:val="auto"/>
              </w:rPr>
              <w:t>(but see Item 7)</w:t>
            </w:r>
          </w:p>
        </w:tc>
        <w:tc>
          <w:tcPr>
            <w:tcW w:w="2600" w:type="dxa"/>
            <w:vAlign w:val="bottom"/>
          </w:tcPr>
          <w:p>
            <w:pPr>
              <w:ind w:left="1040"/>
              <w:spacing w:after="0"/>
              <w:rPr>
                <w:sz w:val="20"/>
                <w:szCs w:val="20"/>
                <w:color w:val="auto"/>
              </w:rPr>
            </w:pPr>
            <w:r>
              <w:rPr>
                <w:rFonts w:ascii="Courier New" w:cs="Courier New" w:eastAsia="Courier New" w:hAnsi="Courier New"/>
                <w:sz w:val="14"/>
                <w:szCs w:val="14"/>
                <w:color w:val="auto"/>
              </w:rPr>
              <w:t>NONE</w:t>
            </w:r>
          </w:p>
        </w:tc>
        <w:tc>
          <w:tcPr>
            <w:tcW w:w="2420" w:type="dxa"/>
            <w:vAlign w:val="bottom"/>
          </w:tcPr>
          <w:p>
            <w:pPr>
              <w:ind w:left="1220"/>
              <w:spacing w:after="0"/>
              <w:rPr>
                <w:sz w:val="20"/>
                <w:szCs w:val="20"/>
                <w:color w:val="auto"/>
              </w:rPr>
            </w:pPr>
            <w:r>
              <w:rPr>
                <w:rFonts w:ascii="Courier New" w:cs="Courier New" w:eastAsia="Courier New" w:hAnsi="Courier New"/>
                <w:sz w:val="14"/>
                <w:szCs w:val="14"/>
                <w:color w:val="auto"/>
              </w:rPr>
              <w:t>NONE</w:t>
            </w:r>
          </w:p>
        </w:tc>
        <w:tc>
          <w:tcPr>
            <w:tcW w:w="1400" w:type="dxa"/>
            <w:vAlign w:val="bottom"/>
          </w:tcPr>
          <w:p>
            <w:pPr>
              <w:jc w:val="right"/>
              <w:spacing w:after="0"/>
              <w:rPr>
                <w:sz w:val="20"/>
                <w:szCs w:val="20"/>
                <w:color w:val="auto"/>
              </w:rPr>
            </w:pPr>
            <w:r>
              <w:rPr>
                <w:rFonts w:ascii="Courier New" w:cs="Courier New" w:eastAsia="Courier New" w:hAnsi="Courier New"/>
                <w:sz w:val="14"/>
                <w:szCs w:val="14"/>
                <w:color w:val="auto"/>
              </w:rPr>
              <w:t>259011</w:t>
            </w:r>
          </w:p>
        </w:tc>
      </w:tr>
      <w:tr>
        <w:trPr>
          <w:trHeight w:val="167"/>
        </w:trPr>
        <w:tc>
          <w:tcPr>
            <w:tcW w:w="2440" w:type="dxa"/>
            <w:vAlign w:val="bottom"/>
          </w:tcPr>
          <w:p>
            <w:pPr>
              <w:spacing w:after="0"/>
              <w:rPr>
                <w:sz w:val="20"/>
                <w:szCs w:val="20"/>
                <w:color w:val="auto"/>
              </w:rPr>
            </w:pPr>
            <w:r>
              <w:rPr>
                <w:rFonts w:ascii="Courier New" w:cs="Courier New" w:eastAsia="Courier New" w:hAnsi="Courier New"/>
                <w:sz w:val="14"/>
                <w:szCs w:val="14"/>
                <w:color w:val="auto"/>
              </w:rPr>
              <w:t>259011</w:t>
            </w:r>
          </w:p>
        </w:tc>
        <w:tc>
          <w:tcPr>
            <w:tcW w:w="260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1400" w:type="dxa"/>
            <w:vAlign w:val="bottom"/>
          </w:tcPr>
          <w:p>
            <w:pPr>
              <w:spacing w:after="0"/>
              <w:rPr>
                <w:sz w:val="14"/>
                <w:szCs w:val="14"/>
                <w:color w:val="auto"/>
              </w:rPr>
            </w:pPr>
          </w:p>
        </w:tc>
      </w:tr>
    </w:tbl>
    <w:p>
      <w:pPr>
        <w:spacing w:after="0" w:line="171" w:lineRule="exact"/>
        <w:rPr>
          <w:sz w:val="20"/>
          <w:szCs w:val="20"/>
          <w:color w:val="auto"/>
        </w:rPr>
      </w:pPr>
    </w:p>
    <w:p>
      <w:pPr>
        <w:ind w:left="700" w:hanging="691"/>
        <w:spacing w:after="0"/>
        <w:tabs>
          <w:tab w:leader="none" w:pos="700" w:val="left"/>
        </w:tabs>
        <w:numPr>
          <w:ilvl w:val="0"/>
          <w:numId w:val="4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sole power to dispose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or to direct the</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disposition of;</w:t>
      </w:r>
    </w:p>
    <w:p>
      <w:pPr>
        <w:sectPr>
          <w:pgSz w:w="11900" w:h="16868" w:orient="portrait"/>
          <w:cols w:equalWidth="0" w:num="1">
            <w:col w:w="11540"/>
          </w:cols>
          <w:pgMar w:left="220" w:top="141"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(but see Item 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jc w:val="center"/>
        <w:ind w:right="1020"/>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175" w:lineRule="exact"/>
        <w:rPr>
          <w:sz w:val="20"/>
          <w:szCs w:val="20"/>
          <w:color w:val="auto"/>
        </w:rPr>
      </w:pPr>
    </w:p>
    <w:p>
      <w:pPr>
        <w:sectPr>
          <w:pgSz w:w="11900" w:h="16868" w:orient="portrait"/>
          <w:cols w:equalWidth="0" w:num="5">
            <w:col w:w="3460" w:space="720"/>
            <w:col w:w="2060" w:space="720"/>
            <w:col w:w="1360" w:space="720"/>
            <w:col w:w="1360" w:space="720"/>
            <w:col w:w="420"/>
          </w:cols>
          <w:pgMar w:left="220" w:top="141" w:right="139" w:bottom="0" w:gutter="0" w:footer="0" w:header="0"/>
          <w:type w:val="continuous"/>
        </w:sectPr>
      </w:pPr>
    </w:p>
    <w:p>
      <w:pPr>
        <w:ind w:left="700" w:right="9100" w:hanging="691"/>
        <w:spacing w:after="0" w:line="252" w:lineRule="auto"/>
        <w:tabs>
          <w:tab w:leader="none" w:pos="700" w:val="left"/>
        </w:tabs>
        <w:numPr>
          <w:ilvl w:val="0"/>
          <w:numId w:val="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dispose or to direct</w:t>
      </w:r>
    </w:p>
    <w:p>
      <w:pPr>
        <w:spacing w:after="0" w:line="1"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the disposition of;</w:t>
      </w:r>
    </w:p>
    <w:p>
      <w:pPr>
        <w:sectPr>
          <w:pgSz w:w="11900" w:h="16868" w:orient="portrait"/>
          <w:cols w:equalWidth="0" w:num="1">
            <w:col w:w="11540"/>
          </w:cols>
          <w:pgMar w:left="220" w:top="141" w:right="139" w:bottom="0" w:gutter="0" w:footer="0" w:header="0"/>
          <w:type w:val="continuous"/>
        </w:sectPr>
      </w:pP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(but see Item 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NONE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ALL</w:t>
      </w:r>
    </w:p>
    <w:p>
      <w:pPr>
        <w:spacing w:after="0" w:line="20" w:lineRule="exact"/>
        <w:rPr>
          <w:sz w:val="20"/>
          <w:szCs w:val="20"/>
          <w:color w:val="auto"/>
        </w:rPr>
      </w:pPr>
      <w:r>
        <w:rPr>
          <w:sz w:val="20"/>
          <w:szCs w:val="20"/>
          <w:color w:val="auto"/>
        </w:rPr>
        <w:br w:type="column"/>
      </w:r>
    </w:p>
    <w:p>
      <w:pPr>
        <w:jc w:val="center"/>
        <w:ind w:right="1100"/>
        <w:spacing w:after="0"/>
        <w:rPr>
          <w:sz w:val="20"/>
          <w:szCs w:val="20"/>
          <w:color w:val="auto"/>
        </w:rPr>
      </w:pPr>
      <w:r>
        <w:rPr>
          <w:rFonts w:ascii="Courier New" w:cs="Courier New" w:eastAsia="Courier New" w:hAnsi="Courier New"/>
          <w:sz w:val="14"/>
          <w:szCs w:val="14"/>
          <w:color w:val="auto"/>
        </w:rPr>
        <w:t>ALL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ALL</w:t>
      </w:r>
    </w:p>
    <w:p>
      <w:pPr>
        <w:spacing w:after="0" w:line="200" w:lineRule="exact"/>
        <w:rPr>
          <w:sz w:val="20"/>
          <w:szCs w:val="20"/>
          <w:color w:val="auto"/>
        </w:rPr>
      </w:pPr>
    </w:p>
    <w:p>
      <w:pPr>
        <w:sectPr>
          <w:pgSz w:w="11900" w:h="16868" w:orient="portrait"/>
          <w:cols w:equalWidth="0" w:num="5">
            <w:col w:w="3460" w:space="720"/>
            <w:col w:w="2060" w:space="720"/>
            <w:col w:w="1360" w:space="720"/>
            <w:col w:w="1360" w:space="720"/>
            <w:col w:w="420"/>
          </w:cols>
          <w:pgMar w:left="220" w:top="141" w:right="139" w:bottom="0" w:gutter="0" w:footer="0" w:header="0"/>
          <w:type w:val="continuous"/>
        </w:sectPr>
      </w:pPr>
    </w:p>
    <w:p>
      <w:pPr>
        <w:spacing w:after="0" w:line="142" w:lineRule="exact"/>
        <w:rPr>
          <w:sz w:val="20"/>
          <w:szCs w:val="20"/>
          <w:color w:val="auto"/>
        </w:rPr>
      </w:pPr>
    </w:p>
    <w:p>
      <w:pPr>
        <w:ind w:left="100" w:right="4940" w:hanging="86"/>
        <w:spacing w:after="0" w:line="252" w:lineRule="auto"/>
        <w:rPr>
          <w:sz w:val="20"/>
          <w:szCs w:val="20"/>
          <w:color w:val="auto"/>
        </w:rPr>
      </w:pPr>
      <w:r>
        <w:rPr>
          <w:rFonts w:ascii="Courier New" w:cs="Courier New" w:eastAsia="Courier New" w:hAnsi="Courier New"/>
          <w:sz w:val="14"/>
          <w:szCs w:val="14"/>
          <w:color w:val="auto"/>
        </w:rPr>
        <w:t>*As part of the Putnam Family of Funds, and the 12017442 shares held by PIM, Putnam New Opportunities Fund held 4.58400966% or 5507000 shares.</w:t>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9 of 11 Pages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5. Ownership of Five Percent or Less of a Class</w:t>
      </w:r>
    </w:p>
    <w:p>
      <w:pPr>
        <w:spacing w:after="0" w:line="175" w:lineRule="exact"/>
        <w:rPr>
          <w:sz w:val="20"/>
          <w:szCs w:val="20"/>
          <w:color w:val="auto"/>
        </w:rPr>
      </w:pPr>
    </w:p>
    <w:p>
      <w:pPr>
        <w:ind w:right="5100"/>
        <w:spacing w:after="0" w:line="255" w:lineRule="auto"/>
        <w:rPr>
          <w:sz w:val="20"/>
          <w:szCs w:val="20"/>
          <w:color w:val="auto"/>
        </w:rPr>
      </w:pPr>
      <w:r>
        <w:rPr>
          <w:rFonts w:ascii="Courier New" w:cs="Courier New" w:eastAsia="Courier New" w:hAnsi="Courier New"/>
          <w:sz w:val="14"/>
          <w:szCs w:val="14"/>
          <w:color w:val="auto"/>
        </w:rPr>
        <w:t>If this statement is being filed to report the fact that as of the date thereof the reporting person has ceased to be the beneficial owner of more than five percent of the class of securities, check the following ( )</w:t>
      </w:r>
    </w:p>
    <w:p>
      <w:pPr>
        <w:spacing w:after="0" w:line="162" w:lineRule="exact"/>
        <w:rPr>
          <w:sz w:val="20"/>
          <w:szCs w:val="20"/>
          <w:color w:val="auto"/>
        </w:rPr>
      </w:pPr>
    </w:p>
    <w:p>
      <w:pPr>
        <w:ind w:right="5620"/>
        <w:spacing w:after="0" w:line="252" w:lineRule="auto"/>
        <w:rPr>
          <w:sz w:val="20"/>
          <w:szCs w:val="20"/>
          <w:color w:val="auto"/>
        </w:rPr>
      </w:pPr>
      <w:r>
        <w:rPr>
          <w:rFonts w:ascii="Courier New" w:cs="Courier New" w:eastAsia="Courier New" w:hAnsi="Courier New"/>
          <w:sz w:val="14"/>
          <w:szCs w:val="14"/>
          <w:color w:val="auto"/>
        </w:rPr>
        <w:t>Item 6. Ownership of More than Five/Ten Percent on Behalf of Another Person:</w:t>
      </w:r>
    </w:p>
    <w:p>
      <w:pPr>
        <w:spacing w:after="0" w:line="1" w:lineRule="exact"/>
        <w:rPr>
          <w:sz w:val="20"/>
          <w:szCs w:val="20"/>
          <w:color w:val="auto"/>
        </w:rPr>
      </w:pPr>
    </w:p>
    <w:p>
      <w:pPr>
        <w:ind w:right="4840"/>
        <w:spacing w:after="0" w:line="253" w:lineRule="auto"/>
        <w:rPr>
          <w:sz w:val="20"/>
          <w:szCs w:val="20"/>
          <w:color w:val="auto"/>
        </w:rPr>
      </w:pPr>
      <w:r>
        <w:rPr>
          <w:rFonts w:ascii="Courier New" w:cs="Courier New" w:eastAsia="Courier New" w:hAnsi="Courier New"/>
          <w:sz w:val="14"/>
          <w:szCs w:val="14"/>
          <w:color w:val="auto"/>
        </w:rPr>
        <w:t>No persons other than the persons filing this Schedule 13G have an economic interest in the securities reported on which relates to more than five percent of the class of securities. Securities reported on this Schedule 13G as being beneficially owned by M&amp;MC and PI consist of securities beneficially owned by subsidiaries of PI which are registered investment advisers, which in turn include securities beneficially owned by clients of such investment advisers, which clients may include investment companies registered under the Investment Company Act and/or employee benefit plans, pension funds, endowment funds or other institutional clients.</w:t>
      </w:r>
    </w:p>
    <w:p>
      <w:pPr>
        <w:spacing w:after="0" w:line="164" w:lineRule="exact"/>
        <w:rPr>
          <w:sz w:val="20"/>
          <w:szCs w:val="20"/>
          <w:color w:val="auto"/>
        </w:rPr>
      </w:pPr>
    </w:p>
    <w:p>
      <w:pPr>
        <w:ind w:right="5540"/>
        <w:spacing w:after="0" w:line="258"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5100"/>
        <w:spacing w:after="0" w:line="253" w:lineRule="auto"/>
        <w:rPr>
          <w:sz w:val="20"/>
          <w:szCs w:val="20"/>
          <w:color w:val="auto"/>
        </w:rPr>
      </w:pPr>
      <w:r>
        <w:rPr>
          <w:rFonts w:ascii="Courier New" w:cs="Courier New" w:eastAsia="Courier New" w:hAnsi="Courier New"/>
          <w:sz w:val="14"/>
          <w:szCs w:val="14"/>
          <w:color w:val="auto"/>
        </w:rPr>
        <w:t>PI, which is a wholly-owned subsidiary of M&amp;MC, wholly owns two registered investment advisers: Putnam Investment Management, LLC., which is the investment adviser to the Putnam family of mutual funds and The Putnam Advisory Company, LLC., which is the investment adviser to Putnam's institutional clients. Both subsidiaries have dispository power over the shares as investment managers, but each of the mutual fund's trustees have voting power over the shares held by each fund, and The Putnam Advisory</w:t>
      </w:r>
    </w:p>
    <w:p>
      <w:pPr>
        <w:sectPr>
          <w:pgSz w:w="11900" w:h="16868" w:orient="portrait"/>
          <w:cols w:equalWidth="0" w:num="1">
            <w:col w:w="11540"/>
          </w:cols>
          <w:pgMar w:left="220" w:top="141" w:right="139" w:bottom="0" w:gutter="0" w:footer="0" w:header="0"/>
          <w:type w:val="continuous"/>
        </w:sectPr>
      </w:pPr>
    </w:p>
    <w:bookmarkStart w:id="5" w:name="page6"/>
    <w:bookmarkEnd w:id="5"/>
    <w:p>
      <w:pPr>
        <w:ind w:right="3639"/>
        <w:spacing w:after="0" w:line="253" w:lineRule="auto"/>
        <w:rPr>
          <w:sz w:val="20"/>
          <w:szCs w:val="20"/>
          <w:color w:val="auto"/>
        </w:rPr>
      </w:pPr>
      <w:r>
        <w:rPr>
          <w:rFonts w:ascii="Courier New" w:cs="Courier New" w:eastAsia="Courier New" w:hAnsi="Courier New"/>
          <w:sz w:val="14"/>
          <w:szCs w:val="14"/>
          <w:color w:val="auto"/>
        </w:rPr>
        <w:t>Company, LLC. has shared voting power over the shares held by the institutional clients. Pursuant to Rule 13d-4, M&amp;MC and PI declare that the filing of this Schedule 13G shall not be deemed an admission by either or both of them that they are, for the purposes of Section 13(d) or 13(g) the beneficial owner of any securities covered by this Section 13G, and further state that neither of them have any power to vote or dispose of, or direct the voting or disposition of, any of the securities covered by this Schedule 13G.</w:t>
      </w:r>
    </w:p>
    <w:p>
      <w:pPr>
        <w:spacing w:after="0" w:line="33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8. Identification and Classification of Members of the Group:</w:t>
      </w:r>
    </w:p>
    <w:p>
      <w:pPr>
        <w:spacing w:after="0" w:line="8"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9. Notice of Dissolution of Group:</w:t>
      </w:r>
    </w:p>
    <w:p>
      <w:pPr>
        <w:spacing w:after="0" w:line="17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Not applicable.</w:t>
      </w:r>
    </w:p>
    <w:p>
      <w:pPr>
        <w:spacing w:after="0" w:line="175"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4"/>
          <w:szCs w:val="14"/>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10 of 11 Pages</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right="3539"/>
        <w:spacing w:after="0" w:line="253" w:lineRule="auto"/>
        <w:rPr>
          <w:sz w:val="20"/>
          <w:szCs w:val="20"/>
          <w:color w:val="auto"/>
        </w:rPr>
      </w:pPr>
      <w:r>
        <w:rPr>
          <w:rFonts w:ascii="Courier New" w:cs="Courier New" w:eastAsia="Courier New" w:hAnsi="Courier New"/>
          <w:sz w:val="14"/>
          <w:szCs w:val="14"/>
          <w:color w:val="auto"/>
        </w:rPr>
        <w:t>By signing below I certify that, to the best of my knowledge and belief, the securities referred to above were acquired in the ordinary course of business,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332" w:lineRule="exact"/>
        <w:rPr>
          <w:sz w:val="20"/>
          <w:szCs w:val="20"/>
          <w:color w:val="auto"/>
        </w:rPr>
      </w:pPr>
    </w:p>
    <w:p>
      <w:pPr>
        <w:ind w:right="3799"/>
        <w:spacing w:after="0" w:line="255" w:lineRule="auto"/>
        <w:rPr>
          <w:sz w:val="20"/>
          <w:szCs w:val="20"/>
          <w:color w:val="auto"/>
        </w:rPr>
      </w:pPr>
      <w:r>
        <w:rPr>
          <w:rFonts w:ascii="Courier New" w:cs="Courier New" w:eastAsia="Courier New" w:hAnsi="Courier New"/>
          <w:sz w:val="14"/>
          <w:szCs w:val="14"/>
          <w:color w:val="auto"/>
        </w:rPr>
        <w:t>After reasonable inquiry and to the best of my knowledge and belief, I certify that the information set forth in this statement is true, complete and correct.</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LLC.</w:t>
      </w:r>
    </w:p>
    <w:p>
      <w:pPr>
        <w:spacing w:after="0" w:line="342"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/s/Andrew J. Hachey</w:t>
      </w:r>
    </w:p>
    <w:p>
      <w:pPr>
        <w:spacing w:after="0" w:line="8"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4"/>
          <w:szCs w:val="14"/>
          <w:color w:val="auto"/>
        </w:rPr>
        <w:t>BY:</w:t>
      </w:r>
      <w:r>
        <w:rPr>
          <w:sz w:val="20"/>
          <w:szCs w:val="20"/>
          <w:color w:val="auto"/>
        </w:rPr>
        <w:tab/>
      </w:r>
      <w:r>
        <w:rPr>
          <w:rFonts w:ascii="Courier New" w:cs="Courier New" w:eastAsia="Courier New" w:hAnsi="Courier New"/>
          <w:sz w:val="14"/>
          <w:szCs w:val="14"/>
          <w:color w:val="auto"/>
        </w:rPr>
        <w:t>-------------------------------------------</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Signature</w:t>
      </w:r>
    </w:p>
    <w:p>
      <w:pPr>
        <w:spacing w:after="0" w:line="175"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4"/>
          <w:szCs w:val="14"/>
          <w:color w:val="auto"/>
        </w:rPr>
        <w:t>Name/Title:</w:t>
      </w:r>
      <w:r>
        <w:rPr>
          <w:sz w:val="20"/>
          <w:szCs w:val="20"/>
          <w:color w:val="auto"/>
        </w:rPr>
        <w:tab/>
      </w:r>
      <w:r>
        <w:rPr>
          <w:rFonts w:ascii="Courier New" w:cs="Courier New" w:eastAsia="Courier New" w:hAnsi="Courier New"/>
          <w:sz w:val="14"/>
          <w:szCs w:val="14"/>
          <w:color w:val="auto"/>
        </w:rPr>
        <w:t>Andrew J. Hachey</w:t>
      </w:r>
    </w:p>
    <w:p>
      <w:pPr>
        <w:spacing w:after="0" w:line="8"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Vice President and Counsel</w:t>
      </w:r>
    </w:p>
    <w:p>
      <w:pPr>
        <w:spacing w:after="0" w:line="175" w:lineRule="exact"/>
        <w:rPr>
          <w:sz w:val="20"/>
          <w:szCs w:val="20"/>
          <w:color w:val="auto"/>
        </w:rPr>
      </w:pPr>
    </w:p>
    <w:p>
      <w:pPr>
        <w:ind w:left="700"/>
        <w:spacing w:after="0"/>
        <w:tabs>
          <w:tab w:leader="none" w:pos="1380" w:val="left"/>
        </w:tabs>
        <w:rPr>
          <w:sz w:val="20"/>
          <w:szCs w:val="20"/>
          <w:color w:val="auto"/>
        </w:rPr>
      </w:pPr>
      <w:r>
        <w:rPr>
          <w:rFonts w:ascii="Courier New" w:cs="Courier New" w:eastAsia="Courier New" w:hAnsi="Courier New"/>
          <w:sz w:val="14"/>
          <w:szCs w:val="14"/>
          <w:color w:val="auto"/>
        </w:rPr>
        <w:t>Date:</w:t>
        <w:tab/>
        <w:t>February 5, 2003</w:t>
      </w:r>
    </w:p>
    <w:p>
      <w:pPr>
        <w:spacing w:after="0" w:line="342" w:lineRule="exact"/>
        <w:rPr>
          <w:sz w:val="20"/>
          <w:szCs w:val="20"/>
          <w:color w:val="auto"/>
        </w:rPr>
      </w:pPr>
    </w:p>
    <w:p>
      <w:pPr>
        <w:ind w:right="3539"/>
        <w:spacing w:after="0" w:line="252" w:lineRule="auto"/>
        <w:rPr>
          <w:sz w:val="20"/>
          <w:szCs w:val="20"/>
          <w:color w:val="auto"/>
        </w:rPr>
      </w:pPr>
      <w:r>
        <w:rPr>
          <w:rFonts w:ascii="Courier New" w:cs="Courier New" w:eastAsia="Courier New" w:hAnsi="Courier New"/>
          <w:sz w:val="14"/>
          <w:szCs w:val="14"/>
          <w:color w:val="auto"/>
        </w:rPr>
        <w:t>For this and all future filings, reference is made to Power of Attorney dated April 29, 1999, with respect to duly authorized signatures on behalf of Marsh</w:t>
      </w:r>
    </w:p>
    <w:p>
      <w:pPr>
        <w:spacing w:after="0" w:line="1" w:lineRule="exact"/>
        <w:rPr>
          <w:sz w:val="20"/>
          <w:szCs w:val="20"/>
          <w:color w:val="auto"/>
        </w:rPr>
      </w:pPr>
    </w:p>
    <w:p>
      <w:pPr>
        <w:jc w:val="both"/>
        <w:ind w:right="4059" w:firstLine="9"/>
        <w:spacing w:after="0" w:line="255" w:lineRule="auto"/>
        <w:tabs>
          <w:tab w:leader="none" w:pos="174"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McLennan Companies, Inc., Putnam Investments, LLC., Putnam Investment Management, LLC., The Putnam Advisory Company, LLC. and any Putnam Fund wherever applicable.</w:t>
      </w:r>
    </w:p>
    <w:p>
      <w:pPr>
        <w:spacing w:after="0" w:line="162" w:lineRule="exact"/>
        <w:rPr>
          <w:sz w:val="20"/>
          <w:szCs w:val="20"/>
          <w:color w:val="auto"/>
        </w:rPr>
      </w:pPr>
    </w:p>
    <w:p>
      <w:pPr>
        <w:ind w:right="3539"/>
        <w:spacing w:after="0" w:line="255" w:lineRule="auto"/>
        <w:rPr>
          <w:sz w:val="20"/>
          <w:szCs w:val="20"/>
          <w:color w:val="auto"/>
        </w:rPr>
      </w:pPr>
      <w:r>
        <w:rPr>
          <w:rFonts w:ascii="Courier New" w:cs="Courier New" w:eastAsia="Courier New" w:hAnsi="Courier New"/>
          <w:sz w:val="14"/>
          <w:szCs w:val="14"/>
          <w:color w:val="auto"/>
        </w:rPr>
        <w:t>For this and all future filings, reference is made to an Agreement dated June 28, 1990, with respect to one filing of Schedule 13G on behalf of said entities, pursuant to Rule 13d-1(f)(1).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Page 11 of 11 Pages</w:t>
      </w:r>
    </w:p>
    <w:sectPr>
      <w:pgSz w:w="11900" w:h="16838" w:orient="portrait"/>
      <w:cols w:equalWidth="0" w:num="1">
        <w:col w:w="10239"/>
      </w:cols>
      <w:pgMar w:left="22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9838CB2"/>
    <w:multiLevelType w:val="hybridMultilevel"/>
    <w:lvl w:ilvl="0">
      <w:lvlJc w:val="left"/>
      <w:lvlText w:val="%1."/>
      <w:numFmt w:val="decimal"/>
      <w:start w:val="1"/>
    </w:lvl>
  </w:abstractNum>
  <w:abstractNum w:abstractNumId="1">
    <w:nsid w:val="4353D0CD"/>
    <w:multiLevelType w:val="hybridMultilevel"/>
    <w:lvl w:ilvl="0">
      <w:lvlJc w:val="left"/>
      <w:lvlText w:val="%1."/>
      <w:numFmt w:val="decimal"/>
      <w:start w:val="2"/>
    </w:lvl>
  </w:abstractNum>
  <w:abstractNum w:abstractNumId="2">
    <w:nsid w:val="B03E0C6"/>
    <w:multiLevelType w:val="hybridMultilevel"/>
    <w:lvl w:ilvl="0">
      <w:lvlJc w:val="left"/>
      <w:lvlText w:val="%1."/>
      <w:numFmt w:val="decimal"/>
      <w:start w:val="3"/>
    </w:lvl>
  </w:abstractNum>
  <w:abstractNum w:abstractNumId="3">
    <w:nsid w:val="189A769B"/>
    <w:multiLevelType w:val="hybridMultilevel"/>
    <w:lvl w:ilvl="0">
      <w:lvlJc w:val="left"/>
      <w:lvlText w:val="%1."/>
      <w:numFmt w:val="decimal"/>
      <w:start w:val="4"/>
    </w:lvl>
  </w:abstractNum>
  <w:abstractNum w:abstractNumId="4">
    <w:nsid w:val="54E49EB4"/>
    <w:multiLevelType w:val="hybridMultilevel"/>
    <w:lvl w:ilvl="0">
      <w:lvlJc w:val="left"/>
      <w:lvlText w:val="-"/>
      <w:numFmt w:val="bullet"/>
      <w:start w:val="1"/>
    </w:lvl>
    <w:lvl w:ilvl="1">
      <w:lvlJc w:val="left"/>
      <w:lvlText w:val="%2."/>
      <w:numFmt w:val="decimal"/>
      <w:start w:val="5"/>
    </w:lvl>
  </w:abstractNum>
  <w:abstractNum w:abstractNumId="5">
    <w:nsid w:val="71F32454"/>
    <w:multiLevelType w:val="hybridMultilevel"/>
    <w:lvl w:ilvl="0">
      <w:lvlJc w:val="left"/>
      <w:lvlText w:val="%1."/>
      <w:numFmt w:val="decimal"/>
      <w:start w:val="8"/>
    </w:lvl>
  </w:abstractNum>
  <w:abstractNum w:abstractNumId="6">
    <w:nsid w:val="2CA88611"/>
    <w:multiLevelType w:val="hybridMultilevel"/>
    <w:lvl w:ilvl="0">
      <w:lvlJc w:val="left"/>
      <w:lvlText w:val="%1."/>
      <w:numFmt w:val="decimal"/>
      <w:start w:val="9"/>
    </w:lvl>
  </w:abstractNum>
  <w:abstractNum w:abstractNumId="7">
    <w:nsid w:val="836C40E"/>
    <w:multiLevelType w:val="hybridMultilevel"/>
    <w:lvl w:ilvl="0">
      <w:lvlJc w:val="left"/>
      <w:lvlText w:val="%1."/>
      <w:numFmt w:val="decimal"/>
      <w:start w:val="10"/>
    </w:lvl>
  </w:abstractNum>
  <w:abstractNum w:abstractNumId="8">
    <w:nsid w:val="2901D82"/>
    <w:multiLevelType w:val="hybridMultilevel"/>
    <w:lvl w:ilvl="0">
      <w:lvlJc w:val="left"/>
      <w:lvlText w:val="%1."/>
      <w:numFmt w:val="decimal"/>
      <w:start w:val="1"/>
    </w:lvl>
  </w:abstractNum>
  <w:abstractNum w:abstractNumId="9">
    <w:nsid w:val="3A95F874"/>
    <w:multiLevelType w:val="hybridMultilevel"/>
    <w:lvl w:ilvl="0">
      <w:lvlJc w:val="left"/>
      <w:lvlText w:val="%1."/>
      <w:numFmt w:val="decimal"/>
      <w:start w:val="2"/>
    </w:lvl>
  </w:abstractNum>
  <w:abstractNum w:abstractNumId="10">
    <w:nsid w:val="8138641"/>
    <w:multiLevelType w:val="hybridMultilevel"/>
    <w:lvl w:ilvl="0">
      <w:lvlJc w:val="left"/>
      <w:lvlText w:val="%1."/>
      <w:numFmt w:val="decimal"/>
      <w:start w:val="3"/>
    </w:lvl>
  </w:abstractNum>
  <w:abstractNum w:abstractNumId="11">
    <w:nsid w:val="1E7FF521"/>
    <w:multiLevelType w:val="hybridMultilevel"/>
    <w:lvl w:ilvl="0">
      <w:lvlJc w:val="left"/>
      <w:lvlText w:val="%1."/>
      <w:numFmt w:val="decimal"/>
      <w:start w:val="4"/>
    </w:lvl>
  </w:abstractNum>
  <w:abstractNum w:abstractNumId="12">
    <w:nsid w:val="7C3DBD3D"/>
    <w:multiLevelType w:val="hybridMultilevel"/>
    <w:lvl w:ilvl="0">
      <w:lvlJc w:val="left"/>
      <w:lvlText w:val="-"/>
      <w:numFmt w:val="bullet"/>
      <w:start w:val="1"/>
    </w:lvl>
    <w:lvl w:ilvl="1">
      <w:lvlJc w:val="left"/>
      <w:lvlText w:val="%2."/>
      <w:numFmt w:val="decimal"/>
      <w:start w:val="5"/>
    </w:lvl>
  </w:abstractNum>
  <w:abstractNum w:abstractNumId="13">
    <w:nsid w:val="737B8DDC"/>
    <w:multiLevelType w:val="hybridMultilevel"/>
    <w:lvl w:ilvl="0">
      <w:lvlJc w:val="left"/>
      <w:lvlText w:val="%1."/>
      <w:numFmt w:val="decimal"/>
      <w:start w:val="8"/>
    </w:lvl>
  </w:abstractNum>
  <w:abstractNum w:abstractNumId="14">
    <w:nsid w:val="6CEAF087"/>
    <w:multiLevelType w:val="hybridMultilevel"/>
    <w:lvl w:ilvl="0">
      <w:lvlJc w:val="left"/>
      <w:lvlText w:val="%1."/>
      <w:numFmt w:val="decimal"/>
      <w:start w:val="9"/>
    </w:lvl>
  </w:abstractNum>
  <w:abstractNum w:abstractNumId="15">
    <w:nsid w:val="22221A70"/>
    <w:multiLevelType w:val="hybridMultilevel"/>
    <w:lvl w:ilvl="0">
      <w:lvlJc w:val="left"/>
      <w:lvlText w:val="%1."/>
      <w:numFmt w:val="decimal"/>
      <w:start w:val="10"/>
    </w:lvl>
  </w:abstractNum>
  <w:abstractNum w:abstractNumId="16">
    <w:nsid w:val="4516DDE9"/>
    <w:multiLevelType w:val="hybridMultilevel"/>
    <w:lvl w:ilvl="0">
      <w:lvlJc w:val="left"/>
      <w:lvlText w:val="%1."/>
      <w:numFmt w:val="decimal"/>
      <w:start w:val="1"/>
    </w:lvl>
  </w:abstractNum>
  <w:abstractNum w:abstractNumId="17">
    <w:nsid w:val="3006C83E"/>
    <w:multiLevelType w:val="hybridMultilevel"/>
    <w:lvl w:ilvl="0">
      <w:lvlJc w:val="left"/>
      <w:lvlText w:val="%1."/>
      <w:numFmt w:val="decimal"/>
      <w:start w:val="2"/>
    </w:lvl>
  </w:abstractNum>
  <w:abstractNum w:abstractNumId="18">
    <w:nsid w:val="614FD4A1"/>
    <w:multiLevelType w:val="hybridMultilevel"/>
    <w:lvl w:ilvl="0">
      <w:lvlJc w:val="left"/>
      <w:lvlText w:val="%1."/>
      <w:numFmt w:val="decimal"/>
      <w:start w:val="3"/>
    </w:lvl>
  </w:abstractNum>
  <w:abstractNum w:abstractNumId="19">
    <w:nsid w:val="419AC241"/>
    <w:multiLevelType w:val="hybridMultilevel"/>
    <w:lvl w:ilvl="0">
      <w:lvlJc w:val="left"/>
      <w:lvlText w:val="%1."/>
      <w:numFmt w:val="decimal"/>
      <w:start w:val="4"/>
    </w:lvl>
  </w:abstractNum>
  <w:abstractNum w:abstractNumId="20">
    <w:nsid w:val="5577F8E1"/>
    <w:multiLevelType w:val="hybridMultilevel"/>
    <w:lvl w:ilvl="0">
      <w:lvlJc w:val="left"/>
      <w:lvlText w:val="-"/>
      <w:numFmt w:val="bullet"/>
      <w:start w:val="1"/>
    </w:lvl>
    <w:lvl w:ilvl="1">
      <w:lvlJc w:val="left"/>
      <w:lvlText w:val="%2."/>
      <w:numFmt w:val="decimal"/>
      <w:start w:val="5"/>
    </w:lvl>
  </w:abstractNum>
  <w:abstractNum w:abstractNumId="21">
    <w:nsid w:val="440BADFC"/>
    <w:multiLevelType w:val="hybridMultilevel"/>
    <w:lvl w:ilvl="0">
      <w:lvlJc w:val="left"/>
      <w:lvlText w:val="%1."/>
      <w:numFmt w:val="decimal"/>
      <w:start w:val="9"/>
    </w:lvl>
  </w:abstractNum>
  <w:abstractNum w:abstractNumId="22">
    <w:nsid w:val="5072367"/>
    <w:multiLevelType w:val="hybridMultilevel"/>
    <w:lvl w:ilvl="0">
      <w:lvlJc w:val="left"/>
      <w:lvlText w:val="%1."/>
      <w:numFmt w:val="decimal"/>
      <w:start w:val="10"/>
    </w:lvl>
  </w:abstractNum>
  <w:abstractNum w:abstractNumId="23">
    <w:nsid w:val="3804823E"/>
    <w:multiLevelType w:val="hybridMultilevel"/>
    <w:lvl w:ilvl="0">
      <w:lvlJc w:val="left"/>
      <w:lvlText w:val="%1."/>
      <w:numFmt w:val="decimal"/>
      <w:start w:val="1"/>
    </w:lvl>
  </w:abstractNum>
  <w:abstractNum w:abstractNumId="24">
    <w:nsid w:val="77465F01"/>
    <w:multiLevelType w:val="hybridMultilevel"/>
    <w:lvl w:ilvl="0">
      <w:lvlJc w:val="left"/>
      <w:lvlText w:val="%1."/>
      <w:numFmt w:val="decimal"/>
      <w:start w:val="2"/>
    </w:lvl>
  </w:abstractNum>
  <w:abstractNum w:abstractNumId="25">
    <w:nsid w:val="7724C67E"/>
    <w:multiLevelType w:val="hybridMultilevel"/>
    <w:lvl w:ilvl="0">
      <w:lvlJc w:val="left"/>
      <w:lvlText w:val="%1."/>
      <w:numFmt w:val="decimal"/>
      <w:start w:val="3"/>
    </w:lvl>
  </w:abstractNum>
  <w:abstractNum w:abstractNumId="26">
    <w:nsid w:val="5C482A97"/>
    <w:multiLevelType w:val="hybridMultilevel"/>
    <w:lvl w:ilvl="0">
      <w:lvlJc w:val="left"/>
      <w:lvlText w:val="%1."/>
      <w:numFmt w:val="decimal"/>
      <w:start w:val="4"/>
    </w:lvl>
  </w:abstractNum>
  <w:abstractNum w:abstractNumId="27">
    <w:nsid w:val="2463B9EA"/>
    <w:multiLevelType w:val="hybridMultilevel"/>
    <w:lvl w:ilvl="0">
      <w:lvlJc w:val="left"/>
      <w:lvlText w:val="-"/>
      <w:numFmt w:val="bullet"/>
      <w:start w:val="1"/>
    </w:lvl>
    <w:lvl w:ilvl="1">
      <w:lvlJc w:val="left"/>
      <w:lvlText w:val="%2."/>
      <w:numFmt w:val="decimal"/>
      <w:start w:val="5"/>
    </w:lvl>
  </w:abstractNum>
  <w:abstractNum w:abstractNumId="28">
    <w:nsid w:val="5E884ADC"/>
    <w:multiLevelType w:val="hybridMultilevel"/>
    <w:lvl w:ilvl="0">
      <w:lvlJc w:val="left"/>
      <w:lvlText w:val="%1."/>
      <w:numFmt w:val="decimal"/>
      <w:start w:val="8"/>
    </w:lvl>
  </w:abstractNum>
  <w:abstractNum w:abstractNumId="29">
    <w:nsid w:val="51EAD36B"/>
    <w:multiLevelType w:val="hybridMultilevel"/>
    <w:lvl w:ilvl="0">
      <w:lvlJc w:val="left"/>
      <w:lvlText w:val="%1."/>
      <w:numFmt w:val="decimal"/>
      <w:start w:val="9"/>
    </w:lvl>
  </w:abstractNum>
  <w:abstractNum w:abstractNumId="30">
    <w:nsid w:val="2D517796"/>
    <w:multiLevelType w:val="hybridMultilevel"/>
    <w:lvl w:ilvl="0">
      <w:lvlJc w:val="left"/>
      <w:lvlText w:val="%1."/>
      <w:numFmt w:val="decimal"/>
      <w:start w:val="10"/>
    </w:lvl>
  </w:abstractNum>
  <w:abstractNum w:abstractNumId="31">
    <w:nsid w:val="580BD78F"/>
    <w:multiLevelType w:val="hybridMultilevel"/>
    <w:lvl w:ilvl="0">
      <w:lvlJc w:val="left"/>
      <w:lvlText w:val="%1."/>
      <w:numFmt w:val="decimal"/>
      <w:start w:val="1"/>
    </w:lvl>
  </w:abstractNum>
  <w:abstractNum w:abstractNumId="32">
    <w:nsid w:val="153EA438"/>
    <w:multiLevelType w:val="hybridMultilevel"/>
    <w:lvl w:ilvl="0">
      <w:lvlJc w:val="left"/>
      <w:lvlText w:val="%1."/>
      <w:numFmt w:val="decimal"/>
      <w:start w:val="2"/>
    </w:lvl>
  </w:abstractNum>
  <w:abstractNum w:abstractNumId="33">
    <w:nsid w:val="3855585C"/>
    <w:multiLevelType w:val="hybridMultilevel"/>
    <w:lvl w:ilvl="0">
      <w:lvlJc w:val="left"/>
      <w:lvlText w:val="%1."/>
      <w:numFmt w:val="decimal"/>
      <w:start w:val="3"/>
    </w:lvl>
  </w:abstractNum>
  <w:abstractNum w:abstractNumId="34">
    <w:nsid w:val="70A64E2A"/>
    <w:multiLevelType w:val="hybridMultilevel"/>
    <w:lvl w:ilvl="0">
      <w:lvlJc w:val="left"/>
      <w:lvlText w:val="%1."/>
      <w:numFmt w:val="decimal"/>
      <w:start w:val="4"/>
    </w:lvl>
  </w:abstractNum>
  <w:abstractNum w:abstractNumId="35">
    <w:nsid w:val="6A2342EC"/>
    <w:multiLevelType w:val="hybridMultilevel"/>
    <w:lvl w:ilvl="0">
      <w:lvlJc w:val="left"/>
      <w:lvlText w:val="-"/>
      <w:numFmt w:val="bullet"/>
      <w:start w:val="1"/>
    </w:lvl>
    <w:lvl w:ilvl="1">
      <w:lvlJc w:val="left"/>
      <w:lvlText w:val="%2."/>
      <w:numFmt w:val="decimal"/>
      <w:start w:val="5"/>
    </w:lvl>
  </w:abstractNum>
  <w:abstractNum w:abstractNumId="36">
    <w:nsid w:val="2A487CB0"/>
    <w:multiLevelType w:val="hybridMultilevel"/>
    <w:lvl w:ilvl="0">
      <w:lvlJc w:val="left"/>
      <w:lvlText w:val="%1."/>
      <w:numFmt w:val="decimal"/>
      <w:start w:val="8"/>
    </w:lvl>
  </w:abstractNum>
  <w:abstractNum w:abstractNumId="37">
    <w:nsid w:val="1D4ED43B"/>
    <w:multiLevelType w:val="hybridMultilevel"/>
    <w:lvl w:ilvl="0">
      <w:lvlJc w:val="left"/>
      <w:lvlText w:val="%1."/>
      <w:numFmt w:val="decimal"/>
      <w:start w:val="9"/>
    </w:lvl>
  </w:abstractNum>
  <w:abstractNum w:abstractNumId="38">
    <w:nsid w:val="725A06FB"/>
    <w:multiLevelType w:val="hybridMultilevel"/>
    <w:lvl w:ilvl="0">
      <w:lvlJc w:val="left"/>
      <w:lvlText w:val="%1."/>
      <w:numFmt w:val="decimal"/>
      <w:start w:val="10"/>
    </w:lvl>
  </w:abstractNum>
  <w:abstractNum w:abstractNumId="39">
    <w:nsid w:val="2CD89A32"/>
    <w:multiLevelType w:val="hybridMultilevel"/>
    <w:lvl w:ilvl="0">
      <w:lvlJc w:val="left"/>
      <w:lvlText w:val="%1."/>
      <w:numFmt w:val="decimal"/>
      <w:start w:val="11"/>
    </w:lvl>
  </w:abstractNum>
  <w:abstractNum w:abstractNumId="40">
    <w:nsid w:val="57E4CCAF"/>
    <w:multiLevelType w:val="hybridMultilevel"/>
    <w:lvl w:ilvl="0">
      <w:lvlJc w:val="left"/>
      <w:lvlText w:val="%1."/>
      <w:numFmt w:val="decimal"/>
      <w:start w:val="12"/>
    </w:lvl>
  </w:abstractNum>
  <w:abstractNum w:abstractNumId="41">
    <w:nsid w:val="7A6D8D3C"/>
    <w:multiLevelType w:val="hybridMultilevel"/>
    <w:lvl w:ilvl="0">
      <w:lvlJc w:val="left"/>
      <w:lvlText w:val="*"/>
      <w:numFmt w:val="bullet"/>
      <w:start w:val="1"/>
    </w:lvl>
  </w:abstractNum>
  <w:abstractNum w:abstractNumId="42">
    <w:nsid w:val="4B588F54"/>
    <w:multiLevelType w:val="hybridMultilevel"/>
    <w:lvl w:ilvl="0">
      <w:lvlJc w:val="left"/>
      <w:lvlText w:val="**"/>
      <w:numFmt w:val="bullet"/>
      <w:start w:val="1"/>
    </w:lvl>
  </w:abstractNum>
  <w:abstractNum w:abstractNumId="43">
    <w:nsid w:val="542289EC"/>
    <w:multiLevelType w:val="hybridMultilevel"/>
    <w:lvl w:ilvl="0">
      <w:lvlJc w:val="left"/>
      <w:lvlText w:val="(%1)"/>
      <w:numFmt w:val="lowerLetter"/>
      <w:start w:val="3"/>
    </w:lvl>
  </w:abstractNum>
  <w:abstractNum w:abstractNumId="44">
    <w:nsid w:val="6DE91B18"/>
    <w:multiLevelType w:val="hybridMultilevel"/>
    <w:lvl w:ilvl="0">
      <w:lvlJc w:val="left"/>
      <w:lvlText w:val="(%1)"/>
      <w:numFmt w:val="decimal"/>
      <w:start w:val="1"/>
    </w:lvl>
  </w:abstractNum>
  <w:abstractNum w:abstractNumId="45">
    <w:nsid w:val="38437FDB"/>
    <w:multiLevelType w:val="hybridMultilevel"/>
    <w:lvl w:ilvl="0">
      <w:lvlJc w:val="left"/>
      <w:lvlText w:val="(%1)"/>
      <w:numFmt w:val="decimal"/>
      <w:start w:val="2"/>
    </w:lvl>
  </w:abstractNum>
  <w:abstractNum w:abstractNumId="46">
    <w:nsid w:val="7644A45C"/>
    <w:multiLevelType w:val="hybridMultilevel"/>
    <w:lvl w:ilvl="0">
      <w:lvlJc w:val="left"/>
      <w:lvlText w:val="(%1)"/>
      <w:numFmt w:val="decimal"/>
      <w:start w:val="3"/>
    </w:lvl>
  </w:abstractNum>
  <w:abstractNum w:abstractNumId="47">
    <w:nsid w:val="32FFF902"/>
    <w:multiLevelType w:val="hybridMultilevel"/>
    <w:lvl w:ilvl="0">
      <w:lvlJc w:val="left"/>
      <w:lvlText w:val="(%1)"/>
      <w:numFmt w:val="decimal"/>
      <w:start w:val="4"/>
    </w:lvl>
  </w:abstractNum>
  <w:abstractNum w:abstractNumId="48">
    <w:nsid w:val="684A481A"/>
    <w:multiLevelType w:val="hybridMultilevel"/>
    <w:lvl w:ilvl="0">
      <w:lvlJc w:val="left"/>
      <w:lvlText w:val="&amp;"/>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2019-12-14T19:24:30Z</dcterms:created>
  <dcterms:modified xsi:type="dcterms:W3CDTF">2019-12-14T19:24:30Z</dcterms:modified>
</cp:coreProperties>
</file>