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32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2320"/>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2200"/>
        <w:spacing w:after="0"/>
        <w:rPr>
          <w:sz w:val="20"/>
          <w:szCs w:val="20"/>
          <w:color w:val="auto"/>
        </w:rPr>
      </w:pPr>
      <w:r>
        <w:rPr>
          <w:rFonts w:ascii="Courier New" w:cs="Courier New" w:eastAsia="Courier New" w:hAnsi="Courier New"/>
          <w:sz w:val="18"/>
          <w:szCs w:val="18"/>
          <w:color w:val="auto"/>
        </w:rPr>
        <w:t>CURRENT REPORT PURSUANT</w:t>
      </w:r>
    </w:p>
    <w:p>
      <w:pPr>
        <w:jc w:val="center"/>
        <w:ind w:right="2200"/>
        <w:spacing w:after="0" w:line="238" w:lineRule="auto"/>
        <w:rPr>
          <w:sz w:val="20"/>
          <w:szCs w:val="20"/>
          <w:color w:val="auto"/>
        </w:rPr>
      </w:pPr>
      <w:r>
        <w:rPr>
          <w:rFonts w:ascii="Courier New" w:cs="Courier New" w:eastAsia="Courier New" w:hAnsi="Courier New"/>
          <w:sz w:val="18"/>
          <w:szCs w:val="18"/>
          <w:color w:val="auto"/>
        </w:rPr>
        <w:t>TO SECTION 13 OR 15(d) OF THE</w:t>
      </w:r>
    </w:p>
    <w:p>
      <w:pPr>
        <w:jc w:val="center"/>
        <w:ind w:right="2200"/>
        <w:spacing w:after="0"/>
        <w:rPr>
          <w:sz w:val="20"/>
          <w:szCs w:val="20"/>
          <w:color w:val="auto"/>
        </w:rPr>
      </w:pPr>
      <w:r>
        <w:rPr>
          <w:rFonts w:ascii="Courier New" w:cs="Courier New" w:eastAsia="Courier New" w:hAnsi="Courier New"/>
          <w:sz w:val="18"/>
          <w:szCs w:val="18"/>
          <w:color w:val="auto"/>
        </w:rPr>
        <w:t>SECURITIES EXCHANGE ACT OF 1934</w:t>
      </w:r>
    </w:p>
    <w:p>
      <w:pPr>
        <w:spacing w:after="0" w:line="206" w:lineRule="exact"/>
        <w:rPr>
          <w:sz w:val="24"/>
          <w:szCs w:val="24"/>
          <w:color w:val="auto"/>
        </w:rPr>
      </w:pPr>
    </w:p>
    <w:p>
      <w:pPr>
        <w:ind w:left="740"/>
        <w:spacing w:after="0"/>
        <w:rPr>
          <w:sz w:val="20"/>
          <w:szCs w:val="20"/>
          <w:color w:val="auto"/>
        </w:rPr>
      </w:pPr>
      <w:r>
        <w:rPr>
          <w:rFonts w:ascii="Courier New" w:cs="Courier New" w:eastAsia="Courier New" w:hAnsi="Courier New"/>
          <w:sz w:val="16"/>
          <w:szCs w:val="16"/>
          <w:color w:val="auto"/>
        </w:rPr>
        <w:t>DATE OF REPORT (DATE OF EARLIEST EVENT REPORTED): FEBRUARY 6, 2003</w:t>
      </w:r>
    </w:p>
    <w:p>
      <w:pPr>
        <w:spacing w:after="0" w:line="200" w:lineRule="exact"/>
        <w:rPr>
          <w:sz w:val="24"/>
          <w:szCs w:val="24"/>
          <w:color w:val="auto"/>
        </w:rPr>
      </w:pPr>
    </w:p>
    <w:p>
      <w:pPr>
        <w:spacing w:after="0" w:line="221" w:lineRule="exact"/>
        <w:rPr>
          <w:sz w:val="24"/>
          <w:szCs w:val="24"/>
          <w:color w:val="auto"/>
        </w:rPr>
      </w:pPr>
    </w:p>
    <w:p>
      <w:pPr>
        <w:jc w:val="center"/>
        <w:ind w:right="220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32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0760"/>
          </w:cols>
          <w:pgMar w:left="240" w:top="447" w:right="8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128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(State or other jurisdiction of</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940"/>
        <w:spacing w:after="0"/>
        <w:rPr>
          <w:sz w:val="20"/>
          <w:szCs w:val="20"/>
          <w:color w:val="auto"/>
        </w:rPr>
      </w:pPr>
      <w:r>
        <w:rPr>
          <w:rFonts w:ascii="Courier New" w:cs="Courier New" w:eastAsia="Courier New" w:hAnsi="Courier New"/>
          <w:sz w:val="18"/>
          <w:szCs w:val="18"/>
          <w:color w:val="auto"/>
        </w:rPr>
        <w:t>0-30877</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520"/>
        <w:spacing w:after="0"/>
        <w:rPr>
          <w:sz w:val="20"/>
          <w:szCs w:val="20"/>
          <w:color w:val="auto"/>
        </w:rPr>
      </w:pPr>
      <w:r>
        <w:rPr>
          <w:rFonts w:ascii="Courier New" w:cs="Courier New" w:eastAsia="Courier New" w:hAnsi="Courier New"/>
          <w:sz w:val="18"/>
          <w:szCs w:val="18"/>
          <w:color w:val="auto"/>
        </w:rPr>
        <w:t>77-0481679</w:t>
      </w:r>
    </w:p>
    <w:p>
      <w:pPr>
        <w:ind w:left="200"/>
        <w:spacing w:after="0" w:line="238" w:lineRule="auto"/>
        <w:rPr>
          <w:sz w:val="20"/>
          <w:szCs w:val="20"/>
          <w:color w:val="auto"/>
        </w:rPr>
      </w:pPr>
      <w:r>
        <w:rPr>
          <w:rFonts w:ascii="Courier New" w:cs="Courier New" w:eastAsia="Courier New" w:hAnsi="Courier New"/>
          <w:sz w:val="18"/>
          <w:szCs w:val="18"/>
          <w:color w:val="auto"/>
        </w:rPr>
        <w:t>(I.R.S. employer</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identification number)</w:t>
      </w:r>
    </w:p>
    <w:p>
      <w:pPr>
        <w:spacing w:after="0" w:line="216" w:lineRule="exact"/>
        <w:rPr>
          <w:sz w:val="24"/>
          <w:szCs w:val="24"/>
          <w:color w:val="auto"/>
        </w:rPr>
      </w:pPr>
    </w:p>
    <w:p>
      <w:pPr>
        <w:sectPr>
          <w:pgSz w:w="11900" w:h="16838" w:orient="portrait"/>
          <w:cols w:equalWidth="0" w:num="3">
            <w:col w:w="3720" w:space="720"/>
            <w:col w:w="3280" w:space="720"/>
            <w:col w:w="2320"/>
          </w:cols>
          <w:pgMar w:left="240" w:top="447" w:right="899" w:bottom="1440" w:gutter="0" w:footer="0" w:header="0"/>
          <w:type w:val="continuous"/>
        </w:sectPr>
      </w:pPr>
    </w:p>
    <w:p>
      <w:pPr>
        <w:spacing w:after="0" w:line="204"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4TH FLOOR</w:t>
      </w:r>
    </w:p>
    <w:p>
      <w:pPr>
        <w:ind w:left="3580"/>
        <w:spacing w:after="0" w:line="238" w:lineRule="auto"/>
        <w:rPr>
          <w:sz w:val="20"/>
          <w:szCs w:val="20"/>
          <w:color w:val="auto"/>
        </w:rPr>
      </w:pPr>
      <w:r>
        <w:rPr>
          <w:rFonts w:ascii="Courier New" w:cs="Courier New" w:eastAsia="Courier New" w:hAnsi="Courier New"/>
          <w:sz w:val="18"/>
          <w:szCs w:val="18"/>
          <w:color w:val="auto"/>
        </w:rPr>
        <w:t>WINDSOR PLACE</w:t>
      </w:r>
    </w:p>
    <w:p>
      <w:pPr>
        <w:ind w:left="3480"/>
        <w:spacing w:after="0"/>
        <w:rPr>
          <w:sz w:val="20"/>
          <w:szCs w:val="20"/>
          <w:color w:val="auto"/>
        </w:rPr>
      </w:pPr>
      <w:r>
        <w:rPr>
          <w:rFonts w:ascii="Courier New" w:cs="Courier New" w:eastAsia="Courier New" w:hAnsi="Courier New"/>
          <w:sz w:val="18"/>
          <w:szCs w:val="18"/>
          <w:color w:val="auto"/>
        </w:rPr>
        <w:t>22 QUEEN STREET</w:t>
      </w:r>
    </w:p>
    <w:p>
      <w:pPr>
        <w:ind w:left="3380"/>
        <w:spacing w:after="0" w:line="237" w:lineRule="auto"/>
        <w:rPr>
          <w:sz w:val="20"/>
          <w:szCs w:val="20"/>
          <w:color w:val="auto"/>
        </w:rPr>
      </w:pPr>
      <w:r>
        <w:rPr>
          <w:rFonts w:ascii="Courier New" w:cs="Courier New" w:eastAsia="Courier New" w:hAnsi="Courier New"/>
          <w:sz w:val="18"/>
          <w:szCs w:val="18"/>
          <w:color w:val="auto"/>
        </w:rPr>
        <w:t>P.O. BOX HM 1179</w:t>
      </w:r>
    </w:p>
    <w:p>
      <w:pPr>
        <w:ind w:left="3480"/>
        <w:spacing w:after="0" w:line="238" w:lineRule="auto"/>
        <w:rPr>
          <w:sz w:val="20"/>
          <w:szCs w:val="20"/>
          <w:color w:val="auto"/>
        </w:rPr>
      </w:pPr>
      <w:r>
        <w:rPr>
          <w:rFonts w:ascii="Courier New" w:cs="Courier New" w:eastAsia="Courier New" w:hAnsi="Courier New"/>
          <w:sz w:val="18"/>
          <w:szCs w:val="18"/>
          <w:color w:val="auto"/>
        </w:rPr>
        <w:t>HAMILTON HM EX</w:t>
      </w:r>
    </w:p>
    <w:p>
      <w:pPr>
        <w:ind w:left="3900"/>
        <w:spacing w:after="0"/>
        <w:rPr>
          <w:sz w:val="20"/>
          <w:szCs w:val="20"/>
          <w:color w:val="auto"/>
        </w:rPr>
      </w:pPr>
      <w:r>
        <w:rPr>
          <w:rFonts w:ascii="Courier New" w:cs="Courier New" w:eastAsia="Courier New" w:hAnsi="Courier New"/>
          <w:sz w:val="18"/>
          <w:szCs w:val="18"/>
          <w:color w:val="auto"/>
        </w:rPr>
        <w:t>BERMUDA</w:t>
      </w:r>
    </w:p>
    <w:p>
      <w:pPr>
        <w:ind w:left="1480"/>
        <w:spacing w:after="0" w:line="237" w:lineRule="auto"/>
        <w:rPr>
          <w:sz w:val="20"/>
          <w:szCs w:val="20"/>
          <w:color w:val="auto"/>
        </w:rPr>
      </w:pPr>
      <w:r>
        <w:rPr>
          <w:rFonts w:ascii="Courier New" w:cs="Courier New" w:eastAsia="Courier New" w:hAnsi="Courier New"/>
          <w:sz w:val="18"/>
          <w:szCs w:val="18"/>
          <w:color w:val="auto"/>
        </w:rPr>
        <w:t>(Address of principal executive offices and zip code)</w:t>
      </w:r>
    </w:p>
    <w:p>
      <w:pPr>
        <w:spacing w:after="0" w:line="200" w:lineRule="exact"/>
        <w:rPr>
          <w:sz w:val="24"/>
          <w:szCs w:val="24"/>
          <w:color w:val="auto"/>
        </w:rPr>
      </w:pPr>
    </w:p>
    <w:p>
      <w:pPr>
        <w:spacing w:after="0" w:line="210" w:lineRule="exact"/>
        <w:rPr>
          <w:sz w:val="24"/>
          <w:szCs w:val="24"/>
          <w:color w:val="auto"/>
        </w:rPr>
      </w:pPr>
    </w:p>
    <w:p>
      <w:pPr>
        <w:ind w:left="740"/>
        <w:spacing w:after="0"/>
        <w:rPr>
          <w:sz w:val="20"/>
          <w:szCs w:val="20"/>
          <w:color w:val="auto"/>
        </w:rPr>
      </w:pPr>
      <w:r>
        <w:rPr>
          <w:rFonts w:ascii="Courier New" w:cs="Courier New" w:eastAsia="Courier New" w:hAnsi="Courier New"/>
          <w:sz w:val="16"/>
          <w:szCs w:val="16"/>
          <w:color w:val="auto"/>
        </w:rPr>
        <w:t>REGISTRANT'S TELEPHONE NUMBER, INCLUDING AREA CODE: (441) 296-6395</w:t>
      </w:r>
    </w:p>
    <w:p>
      <w:pPr>
        <w:spacing w:after="0" w:line="200" w:lineRule="exact"/>
        <w:rPr>
          <w:sz w:val="24"/>
          <w:szCs w:val="24"/>
          <w:color w:val="auto"/>
        </w:rPr>
      </w:pPr>
    </w:p>
    <w:p>
      <w:pPr>
        <w:spacing w:after="0" w:line="221" w:lineRule="exact"/>
        <w:rPr>
          <w:sz w:val="24"/>
          <w:szCs w:val="24"/>
          <w:color w:val="auto"/>
        </w:rPr>
      </w:pPr>
    </w:p>
    <w:p>
      <w:pPr>
        <w:jc w:val="center"/>
        <w:ind w:right="2200"/>
        <w:spacing w:after="0"/>
        <w:rPr>
          <w:sz w:val="20"/>
          <w:szCs w:val="20"/>
          <w:color w:val="auto"/>
        </w:rPr>
      </w:pPr>
      <w:r>
        <w:rPr>
          <w:rFonts w:ascii="Courier New" w:cs="Courier New" w:eastAsia="Courier New" w:hAnsi="Courier New"/>
          <w:sz w:val="18"/>
          <w:szCs w:val="18"/>
          <w:color w:val="auto"/>
        </w:rPr>
        <w:t>N/A</w:t>
      </w:r>
    </w:p>
    <w:p>
      <w:pPr>
        <w:jc w:val="center"/>
        <w:ind w:right="2200"/>
        <w:spacing w:after="0" w:line="238" w:lineRule="auto"/>
        <w:rPr>
          <w:sz w:val="20"/>
          <w:szCs w:val="20"/>
          <w:color w:val="auto"/>
        </w:rPr>
      </w:pPr>
      <w:r>
        <w:rPr>
          <w:rFonts w:ascii="Courier New" w:cs="Courier New" w:eastAsia="Courier New" w:hAnsi="Courier New"/>
          <w:sz w:val="18"/>
          <w:szCs w:val="18"/>
          <w:color w:val="auto"/>
        </w:rPr>
        <w:t>(Former name or former address, if changed since last report)</w:t>
      </w:r>
    </w:p>
    <w:p>
      <w:pPr>
        <w:spacing w:after="0" w:line="200" w:lineRule="exact"/>
        <w:rPr>
          <w:sz w:val="24"/>
          <w:szCs w:val="24"/>
          <w:color w:val="auto"/>
        </w:rPr>
      </w:pPr>
    </w:p>
    <w:p>
      <w:pPr>
        <w:spacing w:after="0" w:line="204" w:lineRule="exact"/>
        <w:rPr>
          <w:sz w:val="24"/>
          <w:szCs w:val="24"/>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760"/>
          </w:cols>
          <w:pgMar w:left="240" w:top="447" w:right="899" w:bottom="1440" w:gutter="0" w:footer="0" w:header="0"/>
          <w:type w:val="continuous"/>
        </w:sectPr>
      </w:pPr>
    </w:p>
    <w:bookmarkStart w:id="1" w:name="page2"/>
    <w:bookmarkEnd w:id="1"/>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OTHER EVENTS</w:t>
      </w:r>
    </w:p>
    <w:p>
      <w:pPr>
        <w:spacing w:after="0" w:line="207" w:lineRule="exact"/>
        <w:rPr>
          <w:sz w:val="20"/>
          <w:szCs w:val="20"/>
          <w:color w:val="auto"/>
        </w:rPr>
      </w:pPr>
    </w:p>
    <w:p>
      <w:pPr>
        <w:ind w:right="2199" w:firstLine="1896"/>
        <w:spacing w:after="0" w:line="275" w:lineRule="auto"/>
        <w:rPr>
          <w:sz w:val="20"/>
          <w:szCs w:val="20"/>
          <w:color w:val="auto"/>
        </w:rPr>
      </w:pPr>
      <w:r>
        <w:rPr>
          <w:rFonts w:ascii="Courier New" w:cs="Courier New" w:eastAsia="Courier New" w:hAnsi="Courier New"/>
          <w:sz w:val="16"/>
          <w:szCs w:val="16"/>
          <w:color w:val="auto"/>
        </w:rPr>
        <w:t>On February 6, 2003, the Registrant issued a press release announcing its signing of a definitive agreement to acquire RADLAN Computer Communications Ltd. Attached hereto as Exhibit 99.1 and incorporated by reference herein is a copy of the February 6, 2003 press release.</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FINANCIAL STATEMENTS, PRO FORMA FINANCIAL INFORMATION AND EXHIBITS.</w:t>
      </w:r>
    </w:p>
    <w:p>
      <w:pPr>
        <w:sectPr>
          <w:pgSz w:w="11900" w:h="16838" w:orient="portrait"/>
          <w:cols w:equalWidth="0" w:num="1">
            <w:col w:w="10219"/>
          </w:cols>
          <w:pgMar w:left="240" w:top="514" w:right="1440" w:bottom="1440" w:gutter="0" w:footer="0" w:header="0"/>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Description</w:t>
      </w:r>
    </w:p>
    <w:p>
      <w:pPr>
        <w:spacing w:after="0" w:line="4"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3820" w:space="720"/>
            <w:col w:w="5679"/>
          </w:cols>
          <w:pgMar w:left="240" w:top="514"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99.1</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Press Release dated February 6, 2003.</w:t>
      </w:r>
    </w:p>
    <w:p>
      <w:pPr>
        <w:spacing w:after="0" w:line="200" w:lineRule="exact"/>
        <w:rPr>
          <w:sz w:val="20"/>
          <w:szCs w:val="20"/>
          <w:color w:val="auto"/>
        </w:rPr>
      </w:pPr>
    </w:p>
    <w:p>
      <w:pPr>
        <w:sectPr>
          <w:pgSz w:w="11900" w:h="16838" w:orient="portrait"/>
          <w:cols w:equalWidth="0" w:num="2">
            <w:col w:w="3820" w:space="720"/>
            <w:col w:w="5679"/>
          </w:cols>
          <w:pgMar w:left="240" w:top="514" w:right="1440" w:bottom="1440" w:gutter="0" w:footer="0" w:header="0"/>
          <w:type w:val="continuous"/>
        </w:sectPr>
      </w:pPr>
    </w:p>
    <w:p>
      <w:pPr>
        <w:spacing w:after="0" w:line="226"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514" w:right="1440" w:bottom="1440" w:gutter="0" w:footer="0" w:header="0"/>
          <w:type w:val="continuous"/>
        </w:sectPr>
      </w:pPr>
    </w:p>
    <w:bookmarkStart w:id="2" w:name="page3"/>
    <w:bookmarkEnd w:id="2"/>
    <w:p>
      <w:pPr>
        <w:ind w:left="3700"/>
        <w:spacing w:after="0"/>
        <w:rPr>
          <w:sz w:val="20"/>
          <w:szCs w:val="20"/>
          <w:color w:val="auto"/>
        </w:rPr>
      </w:pPr>
      <w:r>
        <w:rPr>
          <w:rFonts w:ascii="Courier New" w:cs="Courier New" w:eastAsia="Courier New" w:hAnsi="Courier New"/>
          <w:sz w:val="18"/>
          <w:szCs w:val="18"/>
          <w:color w:val="auto"/>
        </w:rPr>
        <w:t>SIGNATURES</w:t>
      </w:r>
    </w:p>
    <w:p>
      <w:pPr>
        <w:spacing w:after="0" w:line="207" w:lineRule="exact"/>
        <w:rPr>
          <w:sz w:val="20"/>
          <w:szCs w:val="20"/>
          <w:color w:val="auto"/>
        </w:rPr>
      </w:pPr>
    </w:p>
    <w:p>
      <w:pPr>
        <w:jc w:val="both"/>
        <w:ind w:right="1779" w:firstLine="1896"/>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spacing w:after="0"/>
        <w:tabs>
          <w:tab w:leader="none" w:pos="1980" w:val="left"/>
          <w:tab w:leader="none" w:pos="4200" w:val="left"/>
        </w:tabs>
        <w:rPr>
          <w:sz w:val="20"/>
          <w:szCs w:val="20"/>
          <w:color w:val="auto"/>
        </w:rPr>
      </w:pPr>
      <w:r>
        <w:rPr>
          <w:rFonts w:ascii="Courier New" w:cs="Courier New" w:eastAsia="Courier New" w:hAnsi="Courier New"/>
          <w:sz w:val="18"/>
          <w:szCs w:val="18"/>
          <w:color w:val="auto"/>
        </w:rPr>
        <w:t>Date: February 6,</w:t>
        <w:tab/>
        <w:t>2003</w:t>
      </w:r>
      <w:r>
        <w:rPr>
          <w:sz w:val="20"/>
          <w:szCs w:val="20"/>
          <w:color w:val="auto"/>
        </w:rPr>
        <w:tab/>
      </w:r>
      <w:r>
        <w:rPr>
          <w:rFonts w:ascii="Courier New" w:cs="Courier New" w:eastAsia="Courier New" w:hAnsi="Courier New"/>
          <w:sz w:val="16"/>
          <w:szCs w:val="16"/>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 /s/ George A. Hervey</w:t>
      </w:r>
    </w:p>
    <w:p>
      <w:pPr>
        <w:ind w:left="4220"/>
        <w:spacing w:after="0" w:line="238" w:lineRule="auto"/>
        <w:tabs>
          <w:tab w:leader="none" w:pos="504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8"/>
          <w:szCs w:val="18"/>
          <w:color w:val="auto"/>
        </w:rPr>
        <w:t>George A. Hervey</w:t>
      </w:r>
    </w:p>
    <w:p>
      <w:pPr>
        <w:ind w:left="4220"/>
        <w:spacing w:after="0"/>
        <w:tabs>
          <w:tab w:leader="none" w:pos="5040" w:val="left"/>
        </w:tabs>
        <w:rPr>
          <w:sz w:val="20"/>
          <w:szCs w:val="20"/>
          <w:color w:val="auto"/>
        </w:rPr>
      </w:pPr>
      <w:r>
        <w:rPr>
          <w:rFonts w:ascii="Courier New" w:cs="Courier New" w:eastAsia="Courier New" w:hAnsi="Courier New"/>
          <w:sz w:val="18"/>
          <w:szCs w:val="18"/>
          <w:color w:val="auto"/>
        </w:rPr>
        <w:t>Its:</w:t>
      </w:r>
      <w:r>
        <w:rPr>
          <w:sz w:val="20"/>
          <w:szCs w:val="20"/>
          <w:color w:val="auto"/>
        </w:rPr>
        <w:tab/>
      </w:r>
      <w:r>
        <w:rPr>
          <w:rFonts w:ascii="Courier New" w:cs="Courier New" w:eastAsia="Courier New" w:hAnsi="Courier New"/>
          <w:sz w:val="18"/>
          <w:szCs w:val="18"/>
          <w:color w:val="auto"/>
        </w:rPr>
        <w:t>Vice President of Finance and</w:t>
      </w:r>
    </w:p>
    <w:p>
      <w:pPr>
        <w:ind w:left="5060"/>
        <w:spacing w:after="0" w:line="237" w:lineRule="auto"/>
        <w:rPr>
          <w:sz w:val="20"/>
          <w:szCs w:val="20"/>
          <w:color w:val="auto"/>
        </w:rPr>
      </w:pPr>
      <w:r>
        <w:rPr>
          <w:rFonts w:ascii="Courier New" w:cs="Courier New" w:eastAsia="Courier New" w:hAnsi="Courier New"/>
          <w:sz w:val="18"/>
          <w:szCs w:val="18"/>
          <w:color w:val="auto"/>
        </w:rPr>
        <w:t>Chief Financial Officer</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514" w:right="1440" w:bottom="1440" w:gutter="0" w:footer="0" w:header="0"/>
        </w:sectPr>
      </w:pPr>
    </w:p>
    <w:bookmarkStart w:id="3" w:name="page4"/>
    <w:bookmarkEnd w:id="3"/>
    <w:p>
      <w:pPr>
        <w:jc w:val="center"/>
        <w:ind w:right="1659"/>
        <w:spacing w:after="0"/>
        <w:rPr>
          <w:sz w:val="20"/>
          <w:szCs w:val="20"/>
          <w:color w:val="auto"/>
        </w:rPr>
      </w:pPr>
      <w:r>
        <w:rPr>
          <w:rFonts w:ascii="Courier New" w:cs="Courier New" w:eastAsia="Courier New" w:hAnsi="Courier New"/>
          <w:sz w:val="18"/>
          <w:szCs w:val="18"/>
          <w:color w:val="auto"/>
        </w:rPr>
        <w:t>EXHIBIT INDEX</w:t>
      </w:r>
    </w:p>
    <w:p>
      <w:pPr>
        <w:spacing w:after="0" w:line="201" w:lineRule="exact"/>
        <w:rPr>
          <w:sz w:val="20"/>
          <w:szCs w:val="20"/>
          <w:color w:val="auto"/>
        </w:rPr>
      </w:pPr>
    </w:p>
    <w:p>
      <w:pPr>
        <w:spacing w:after="0"/>
        <w:tabs>
          <w:tab w:leader="none" w:pos="4420" w:val="left"/>
        </w:tabs>
        <w:rPr>
          <w:sz w:val="20"/>
          <w:szCs w:val="20"/>
          <w:color w:val="auto"/>
        </w:rPr>
      </w:pPr>
      <w:r>
        <w:rPr>
          <w:rFonts w:ascii="Courier New" w:cs="Courier New" w:eastAsia="Courier New" w:hAnsi="Courier New"/>
          <w:sz w:val="18"/>
          <w:szCs w:val="18"/>
          <w:color w:val="auto"/>
        </w:rPr>
        <w:t>Exhibit 99.1</w:t>
      </w:r>
      <w:r>
        <w:rPr>
          <w:sz w:val="20"/>
          <w:szCs w:val="20"/>
          <w:color w:val="auto"/>
        </w:rPr>
        <w:tab/>
      </w:r>
      <w:r>
        <w:rPr>
          <w:rFonts w:ascii="Courier New" w:cs="Courier New" w:eastAsia="Courier New" w:hAnsi="Courier New"/>
          <w:sz w:val="16"/>
          <w:szCs w:val="16"/>
          <w:color w:val="auto"/>
        </w:rPr>
        <w:t>Press Release issued February 6, 2003.</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514" w:right="1440" w:bottom="1440" w:gutter="0" w:footer="0" w:header="0"/>
        </w:sectPr>
      </w:pPr>
    </w:p>
    <w:bookmarkStart w:id="4" w:name="page5"/>
    <w:bookmarkEnd w:id="4"/>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MARVELL(R) ACQUIRES RADLAN COMPUTER COMMUNICATIONS LTD.,</w:t>
      </w:r>
    </w:p>
    <w:p>
      <w:pPr>
        <w:jc w:val="center"/>
        <w:ind w:right="1779"/>
        <w:spacing w:after="0" w:line="238" w:lineRule="auto"/>
        <w:rPr>
          <w:sz w:val="20"/>
          <w:szCs w:val="20"/>
          <w:color w:val="auto"/>
        </w:rPr>
      </w:pPr>
      <w:r>
        <w:rPr>
          <w:rFonts w:ascii="Courier New" w:cs="Courier New" w:eastAsia="Courier New" w:hAnsi="Courier New"/>
          <w:sz w:val="18"/>
          <w:szCs w:val="18"/>
          <w:color w:val="auto"/>
        </w:rPr>
        <w:t>A LEADING PROVIDER OF EMBEDDED NETWORKING SOFTWARE</w:t>
      </w:r>
    </w:p>
    <w:p>
      <w:pPr>
        <w:spacing w:after="0" w:line="202"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Combination Enables Marvell to Offer Silicon and Software</w:t>
      </w:r>
    </w:p>
    <w:p>
      <w:pPr>
        <w:ind w:left="1900"/>
        <w:spacing w:after="0" w:line="238" w:lineRule="auto"/>
        <w:rPr>
          <w:sz w:val="20"/>
          <w:szCs w:val="20"/>
          <w:color w:val="auto"/>
        </w:rPr>
      </w:pPr>
      <w:r>
        <w:rPr>
          <w:rFonts w:ascii="Courier New" w:cs="Courier New" w:eastAsia="Courier New" w:hAnsi="Courier New"/>
          <w:sz w:val="18"/>
          <w:szCs w:val="18"/>
          <w:color w:val="auto"/>
        </w:rPr>
        <w:t>Infrastructure for the Communications Market</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Sunnyvale, CA. (February 6, 2003) - Marvell(R) (NASDAQ: MRVL), a technology leader in the development of extreme broadband communications and storage solutions, today announced that it has signed a definitive agreement to acquire RADLAN Computer Communications Ltd., a leading provider of embedded networking software.</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"Marvell's industry-leading, high-performance mixed-signal ICs combined with RADLAN's networking infrastructure drivers, interfaces and software modules allows us to offer a new class of silicon solutions to our customers. The combined products will provide best-in-class, cost-effective time-to-market solutions for networking communications products," stated Dr. Sehat Sutardja, Marvell's President and Chief Executive Officer. Our silicon solution strategy enables our customers to build complex system solutions and bring differentiated products to market."</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"After many years of working together, we are excited to merge our team of top communications software experts with Marvell," said Jacob Zankel, President and CEO of RADLAN Computer Communications Ltd. "This acquisition brings together complementary technologies, enabling Marvell to provide RADLAN's OpENS((TM)) infrastructure software across all of its communications products to address the enterprise, access, wireless, and SAN markets."</w:t>
      </w:r>
    </w:p>
    <w:p>
      <w:pPr>
        <w:spacing w:after="0" w:line="210"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Under the terms of the acquisition agreement, Marvell, who currently owns 9% of RADLAN, will issue a combination of cash and shares of Marvell common stock valued at $49.7 million based on yesterday's closing price of Marvell in exchange for the remaining outstanding shares of RADLAN capital stock and employee stock options. Up to approximately 1.0 million additional shares of Marvell common stock will be reserved for future issuance upon satisfaction of certain performance goals. Additionally, Marvell will issue 0.5 million warrants to RADLAN's shareholders exercisable at $18.41. The merger transaction is expected to close within sixty days and will be accounted for under the purchase method of accounting. The boards of directors of both companies have approved the merger, which awaits the satisfaction of regulatory requirements and other customary closing conditions.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and Radlan will host a conference call on February 6, 2003 at 6:00 am PST to discuss the acquisition. The dial-in number is 706-679-0800 and the conference call ID number is 8359713. A replay will be available approximately three hours after completion of the call until midnight on February 13, 2003. The replay number for the call is 706-645-9291 and the conference call ID number is 8359713. The replay of the call will also be available via the web at www.marvell.com.</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solutions for the data communications and storage markets. The Company's diverse product portfolio includes switching, transceiver, communications controller, wireless, and storage solutions that power the entire communications infrastructure, including enterprise, metro,</w:t>
      </w:r>
    </w:p>
    <w:p>
      <w:pPr>
        <w:sectPr>
          <w:pgSz w:w="11900" w:h="16838" w:orient="portrait"/>
          <w:cols w:equalWidth="0" w:num="1">
            <w:col w:w="10219"/>
          </w:cols>
          <w:pgMar w:left="240" w:top="339" w:right="1440" w:bottom="1440" w:gutter="0" w:footer="0" w:header="0"/>
        </w:sectPr>
      </w:pPr>
    </w:p>
    <w:bookmarkStart w:id="5" w:name="page6"/>
    <w:bookmarkEnd w:id="5"/>
    <w:p>
      <w:pPr>
        <w:ind w:right="1779"/>
        <w:spacing w:after="0" w:line="271" w:lineRule="auto"/>
        <w:rPr>
          <w:sz w:val="20"/>
          <w:szCs w:val="20"/>
          <w:color w:val="auto"/>
        </w:rPr>
      </w:pPr>
      <w:r>
        <w:rPr>
          <w:rFonts w:ascii="Courier New" w:cs="Courier New" w:eastAsia="Courier New" w:hAnsi="Courier New"/>
          <w:sz w:val="16"/>
          <w:szCs w:val="16"/>
          <w:color w:val="auto"/>
        </w:rPr>
        <w:t>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Semiconductor Israel Ltd. (MSIL), and SysKonnect GmbH. MSI is headquartered in Sunnyvale, Calif., and designs, develops and markets products on behalf of MIL and MAPL. MSI may be contacted at (408) 222-2500 or at www.marvell.com.</w:t>
      </w:r>
    </w:p>
    <w:p>
      <w:pPr>
        <w:spacing w:after="0" w:line="188"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2, 2002 and Marvell's subsequent reports on Form 10-Q. We undertake no obligation to revise or update publicly any forward-looking statements.</w:t>
      </w:r>
    </w:p>
    <w:p>
      <w:pPr>
        <w:spacing w:after="0" w:line="39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Marvell(R) and the Marvell logo are trademarks of Marvell. All other trademarks are the property of their respective owners.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Contact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George Hervey</w:t>
      </w:r>
    </w:p>
    <w:p>
      <w:pPr>
        <w:spacing w:after="0" w:line="238" w:lineRule="auto"/>
        <w:rPr>
          <w:sz w:val="20"/>
          <w:szCs w:val="20"/>
          <w:color w:val="auto"/>
        </w:rPr>
      </w:pPr>
      <w:r>
        <w:rPr>
          <w:rFonts w:ascii="Courier New" w:cs="Courier New" w:eastAsia="Courier New" w:hAnsi="Courier New"/>
          <w:sz w:val="18"/>
          <w:szCs w:val="18"/>
          <w:color w:val="auto"/>
        </w:rPr>
        <w:t>VP Finance and CFO</w:t>
      </w:r>
    </w:p>
    <w:p>
      <w:pPr>
        <w:spacing w:after="0" w:line="5" w:lineRule="exact"/>
        <w:rPr>
          <w:sz w:val="20"/>
          <w:szCs w:val="20"/>
          <w:color w:val="auto"/>
        </w:rPr>
      </w:pPr>
    </w:p>
    <w:p>
      <w:pPr>
        <w:ind w:right="8219" w:firstLine="8"/>
        <w:spacing w:after="0" w:line="290" w:lineRule="auto"/>
        <w:tabs>
          <w:tab w:leader="none" w:pos="632"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222-2500 ghervey@marvell.com</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Kathryn Gentry</w:t>
      </w:r>
    </w:p>
    <w:p>
      <w:pPr>
        <w:spacing w:after="0" w:line="238" w:lineRule="auto"/>
        <w:rPr>
          <w:sz w:val="20"/>
          <w:szCs w:val="20"/>
          <w:color w:val="auto"/>
        </w:rPr>
      </w:pPr>
      <w:r>
        <w:rPr>
          <w:rFonts w:ascii="Courier New" w:cs="Courier New" w:eastAsia="Courier New" w:hAnsi="Courier New"/>
          <w:sz w:val="18"/>
          <w:szCs w:val="18"/>
          <w:color w:val="auto"/>
        </w:rPr>
        <w:t>Director, Corporate Communications</w:t>
      </w:r>
    </w:p>
    <w:p>
      <w:pPr>
        <w:ind w:left="640" w:hanging="632"/>
        <w:spacing w:after="0"/>
        <w:tabs>
          <w:tab w:leader="none" w:pos="64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222-2500</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kathy@marvell.com</w:t>
      </w:r>
    </w:p>
    <w:sectPr>
      <w:pgSz w:w="11900" w:h="16838" w:orient="portrait"/>
      <w:cols w:equalWidth="0" w:num="1">
        <w:col w:w="10219"/>
      </w:cols>
      <w:pgMar w:left="240" w:top="52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408"/>
    </w:lvl>
  </w:abstractNum>
  <w:abstractNum w:abstractNumId="1">
    <w:nsid w:val="66334873"/>
    <w:multiLevelType w:val="hybridMultilevel"/>
    <w:lvl w:ilvl="0">
      <w:lvlJc w:val="left"/>
      <w:lvlText w:val="(%1)"/>
      <w:numFmt w:val="decimal"/>
      <w:start w:val="408"/>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2019-12-14T20:23:48Z</dcterms:created>
  <dcterms:modified xsi:type="dcterms:W3CDTF">2019-12-14T20:23:48Z</dcterms:modified>
</cp:coreProperties>
</file>