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17,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80"/>
              <w:spacing w:after="0"/>
              <w:rPr>
                <w:sz w:val="20"/>
                <w:szCs w:val="20"/>
                <w:color w:val="auto"/>
              </w:rPr>
            </w:pPr>
            <w:r>
              <w:rPr>
                <w:rFonts w:ascii="Arial" w:cs="Arial" w:eastAsia="Arial" w:hAnsi="Arial"/>
                <w:sz w:val="14"/>
                <w:szCs w:val="14"/>
                <w:b w:val="1"/>
                <w:bCs w:val="1"/>
                <w:color w:val="auto"/>
                <w:w w:val="99"/>
              </w:rPr>
              <w:t>2A. Deemed Execution</w:t>
            </w:r>
          </w:p>
        </w:tc>
        <w:tc>
          <w:tcPr>
            <w:tcW w:w="120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160" w:type="dxa"/>
            <w:vAlign w:val="bottom"/>
            <w:gridSpan w:val="3"/>
          </w:tcPr>
          <w:p>
            <w:pPr>
              <w:jc w:val="right"/>
              <w:ind w:right="19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5. Amount of Sec-</w:t>
            </w:r>
          </w:p>
        </w:tc>
        <w:tc>
          <w:tcPr>
            <w:tcW w:w="128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380" w:type="dxa"/>
            <w:vAlign w:val="bottom"/>
          </w:tcPr>
          <w:p>
            <w:pPr>
              <w:ind w:left="20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b w:val="1"/>
                <w:bCs w:val="1"/>
                <w:color w:val="auto"/>
              </w:rPr>
              <w:t>Disposed of (D)</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0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8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80" w:type="dxa"/>
            <w:vAlign w:val="bottom"/>
          </w:tcPr>
          <w:p>
            <w:pPr>
              <w:spacing w:after="0"/>
              <w:rPr>
                <w:sz w:val="14"/>
                <w:szCs w:val="14"/>
                <w:color w:val="auto"/>
              </w:rPr>
            </w:pP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w:t>
            </w: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or</w:t>
            </w: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52"/>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(D)</w:t>
            </w:r>
          </w:p>
        </w:tc>
        <w:tc>
          <w:tcPr>
            <w:tcW w:w="580" w:type="dxa"/>
            <w:vAlign w:val="bottom"/>
          </w:tcPr>
          <w:p>
            <w:pPr>
              <w:jc w:val="right"/>
              <w:ind w:right="5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2,800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19.2</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1,500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19.05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4,400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19.35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20</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73</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19.05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6,200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19.95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19.07</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1,300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19.45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19.12</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1,800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19.95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19.1</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3,700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19.45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19.63</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4,400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19.3</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03/17/03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4,100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19.55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600" w:type="dxa"/>
            <w:vAlign w:val="bottom"/>
          </w:tcPr>
          <w:p>
            <w:pPr>
              <w:spacing w:after="0"/>
              <w:rPr>
                <w:sz w:val="21"/>
                <w:szCs w:val="21"/>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4,600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19.78</w:t>
            </w:r>
          </w:p>
        </w:tc>
        <w:tc>
          <w:tcPr>
            <w:tcW w:w="1460" w:type="dxa"/>
            <w:vAlign w:val="bottom"/>
          </w:tcPr>
          <w:p>
            <w:pPr>
              <w:spacing w:after="0"/>
              <w:rPr>
                <w:sz w:val="21"/>
                <w:szCs w:val="21"/>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-8785225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-8785225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-8347710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-8347710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-7815580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-7815580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-7284085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-7284085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-6752590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-6752590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-6221095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-6221095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-5688965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-5688965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-5157470</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-5157470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-4625975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-4625975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-4093845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-4093845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-3562350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-3562350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-3030855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-3030855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-2498725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-2498725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-1967230</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-1967230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-1435735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-1435735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-903605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-903605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-372110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-372110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43" w:orient="portrait"/>
          <w:cols w:equalWidth="0" w:num="1">
            <w:col w:w="11420"/>
          </w:cols>
          <w:pgMar w:left="240" w:top="1327" w:right="239" w:bottom="0" w:gutter="0" w:footer="0" w:header="0"/>
        </w:sectPr>
      </w:pPr>
    </w:p>
    <w:bookmarkStart w:id="3" w:name="page4"/>
    <w:bookmarkEnd w:id="3"/>
    <w:p>
      <w:pPr>
        <w:ind w:left="280"/>
        <w:spacing w:after="0"/>
        <w:rPr>
          <w:sz w:val="20"/>
          <w:szCs w:val="20"/>
          <w:color w:val="auto"/>
        </w:rPr>
      </w:pPr>
      <w:r>
        <w:rPr>
          <w:rFonts w:ascii="Arial" w:cs="Arial" w:eastAsia="Arial" w:hAnsi="Arial"/>
          <w:sz w:val="14"/>
          <w:szCs w:val="14"/>
          <w:color w:val="auto"/>
        </w:rPr>
        <w:t>value $0.002</w:t>
      </w:r>
    </w:p>
    <w:p>
      <w:pPr>
        <w:ind w:left="280"/>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57785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80" w:type="dxa"/>
            <w:vAlign w:val="bottom"/>
            <w:shd w:val="clear" w:color="auto" w:fill="EEEEEE"/>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4"/>
                <w:szCs w:val="14"/>
                <w:color w:val="auto"/>
              </w:rPr>
            </w:pPr>
          </w:p>
        </w:tc>
        <w:tc>
          <w:tcPr>
            <w:tcW w:w="1860" w:type="dxa"/>
            <w:vAlign w:val="bottom"/>
            <w:shd w:val="clear" w:color="auto" w:fill="EEEEEE"/>
          </w:tcPr>
          <w:p>
            <w:pPr>
              <w:spacing w:after="0"/>
              <w:rPr>
                <w:sz w:val="14"/>
                <w:szCs w:val="14"/>
                <w:color w:val="auto"/>
              </w:rPr>
            </w:pPr>
          </w:p>
        </w:tc>
        <w:tc>
          <w:tcPr>
            <w:tcW w:w="118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920" w:type="dxa"/>
            <w:vAlign w:val="bottom"/>
            <w:shd w:val="clear" w:color="auto" w:fill="EEEEEE"/>
          </w:tcPr>
          <w:p>
            <w:pPr>
              <w:spacing w:after="0"/>
              <w:rPr>
                <w:sz w:val="14"/>
                <w:szCs w:val="14"/>
                <w:color w:val="auto"/>
              </w:rPr>
            </w:pPr>
          </w:p>
        </w:tc>
        <w:tc>
          <w:tcPr>
            <w:tcW w:w="1220" w:type="dxa"/>
            <w:vAlign w:val="bottom"/>
            <w:shd w:val="clear" w:color="auto" w:fill="EEEEEE"/>
          </w:tcPr>
          <w:p>
            <w:pPr>
              <w:spacing w:after="0"/>
              <w:rPr>
                <w:sz w:val="14"/>
                <w:szCs w:val="14"/>
                <w:color w:val="auto"/>
              </w:rPr>
            </w:pPr>
          </w:p>
        </w:tc>
        <w:tc>
          <w:tcPr>
            <w:tcW w:w="980" w:type="dxa"/>
            <w:vAlign w:val="bottom"/>
            <w:shd w:val="clear" w:color="auto" w:fill="EEEEEE"/>
          </w:tcPr>
          <w:p>
            <w:pPr>
              <w:spacing w:after="0"/>
              <w:rPr>
                <w:sz w:val="14"/>
                <w:szCs w:val="14"/>
                <w:color w:val="auto"/>
              </w:rPr>
            </w:pPr>
          </w:p>
        </w:tc>
        <w:tc>
          <w:tcPr>
            <w:tcW w:w="1600" w:type="dxa"/>
            <w:vAlign w:val="bottom"/>
            <w:shd w:val="clear" w:color="auto" w:fill="EEEEEE"/>
          </w:tcPr>
          <w:p>
            <w:pPr>
              <w:spacing w:after="0"/>
              <w:rPr>
                <w:sz w:val="14"/>
                <w:szCs w:val="14"/>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900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19.56</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03/17/03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600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19.3</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2,200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19.2</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03/17/03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4,400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19.25</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600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19.31</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03/17/03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19.7</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5,100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19.85</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03/17/03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2,900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19.85</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1,427</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19.07</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03/17/03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600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19.38</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03/17/03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4,400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19.8</w:t>
            </w: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855,500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ind w:left="600"/>
              <w:spacing w:after="0"/>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7"/>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260,000</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3,263,220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spacing w:after="0"/>
              <w:rPr>
                <w:sz w:val="12"/>
                <w:szCs w:val="12"/>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50,796</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89"/>
              </w:rPr>
              <w:t>Excelsus Venture</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Capital (Int’l.)</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50,000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Forefront</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89"/>
              </w:rPr>
              <w:t>Venture Partners,</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184,616</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L.P.</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181,000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D</w:t>
            </w:r>
          </w:p>
        </w:tc>
        <w:tc>
          <w:tcPr>
            <w:tcW w:w="1600" w:type="dxa"/>
            <w:vAlign w:val="bottom"/>
            <w:shd w:val="clear" w:color="auto" w:fill="EEEEEE"/>
          </w:tcPr>
          <w:p>
            <w:pPr>
              <w:spacing w:after="0"/>
              <w:rPr>
                <w:sz w:val="13"/>
                <w:szCs w:val="1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-8433435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-8433435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-7901940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-7901940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-7370445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-7370445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-6838315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-6838315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-6306820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-6306820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-5775325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-5775325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-5243195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-5243195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-4711700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-4711700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-4180205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-4180205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-3648075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-3648075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-3116580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-3116580</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-2585085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-2585085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-2053590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-2053590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-1521460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-1521460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-989965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-989965</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-458470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-458470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8" w:right="239" w:bottom="1440" w:gutter="0" w:footer="0" w:header="0"/>
        </w:sect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168275</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8" w:right="239" w:bottom="1440" w:gutter="0" w:footer="0" w:header="0"/>
          <w:type w:val="continuous"/>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19,</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2019-12-16T07:42:53Z</dcterms:created>
  <dcterms:modified xsi:type="dcterms:W3CDTF">2019-12-16T07:42:53Z</dcterms:modified>
</cp:coreProperties>
</file>