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ind w:left="96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6019165</wp:posOffset>
            </wp:positionH>
            <wp:positionV relativeFrom="page">
              <wp:posOffset>401955</wp:posOffset>
            </wp:positionV>
            <wp:extent cx="1397635" cy="8661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97635" cy="866140"/>
                    </a:xfrm>
                    <a:prstGeom prst="rect">
                      <a:avLst/>
                    </a:prstGeom>
                    <a:noFill/>
                  </pic:spPr>
                </pic:pic>
              </a:graphicData>
            </a:graphic>
          </wp:anchor>
        </w:drawing>
        <w:t>OMB APPROVAL</w:t>
      </w:r>
    </w:p>
    <w:p>
      <w:pPr>
        <w:ind w:left="9260"/>
        <w:spacing w:after="0"/>
        <w:rPr>
          <w:sz w:val="20"/>
          <w:szCs w:val="20"/>
          <w:color w:val="auto"/>
        </w:rPr>
      </w:pPr>
      <w:r>
        <w:rPr>
          <w:sz w:val="1"/>
          <w:szCs w:val="1"/>
          <w:color w:val="auto"/>
        </w:rPr>
        <w:drawing>
          <wp:inline distT="0" distB="0" distL="0" distR="0">
            <wp:extent cx="34290" cy="180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34290" cy="180975"/>
                    </a:xfrm>
                    <a:prstGeom prst="rect">
                      <a:avLst/>
                    </a:prstGeom>
                    <a:noFill/>
                    <a:ln>
                      <a:noFill/>
                    </a:ln>
                  </pic:spPr>
                </pic:pic>
              </a:graphicData>
            </a:graphic>
          </wp:inline>
        </w:drawing>
      </w:r>
      <w:r>
        <w:rPr>
          <w:rFonts w:ascii="Arial" w:cs="Arial" w:eastAsia="Arial" w:hAnsi="Arial"/>
          <w:sz w:val="16"/>
          <w:szCs w:val="16"/>
          <w:color w:val="auto"/>
        </w:rPr>
        <w:t>OMB Number: 3235-0145</w:t>
      </w:r>
    </w:p>
    <w:p>
      <w:pPr>
        <w:spacing w:after="0" w:line="16" w:lineRule="exact"/>
        <w:rPr>
          <w:sz w:val="20"/>
          <w:szCs w:val="20"/>
          <w:color w:val="auto"/>
        </w:rPr>
      </w:pPr>
    </w:p>
    <w:p>
      <w:pPr>
        <w:ind w:left="9300"/>
        <w:spacing w:after="0"/>
        <w:rPr>
          <w:sz w:val="20"/>
          <w:szCs w:val="20"/>
          <w:color w:val="auto"/>
        </w:rPr>
      </w:pPr>
      <w:r>
        <w:rPr>
          <w:rFonts w:ascii="Arial" w:cs="Arial" w:eastAsia="Arial" w:hAnsi="Arial"/>
          <w:sz w:val="15"/>
          <w:szCs w:val="15"/>
          <w:color w:val="auto"/>
        </w:rPr>
        <w:t>Expires: December 31, 2005</w:t>
      </w:r>
    </w:p>
    <w:p>
      <w:pPr>
        <w:spacing w:after="0" w:line="96" w:lineRule="exact"/>
        <w:rPr>
          <w:sz w:val="20"/>
          <w:szCs w:val="20"/>
          <w:color w:val="auto"/>
        </w:rPr>
      </w:pPr>
    </w:p>
    <w:p>
      <w:pPr>
        <w:ind w:left="9300"/>
        <w:spacing w:after="0"/>
        <w:rPr>
          <w:sz w:val="20"/>
          <w:szCs w:val="20"/>
          <w:color w:val="auto"/>
        </w:rPr>
      </w:pPr>
      <w:r>
        <w:rPr>
          <w:rFonts w:ascii="Arial" w:cs="Arial" w:eastAsia="Arial" w:hAnsi="Arial"/>
          <w:sz w:val="16"/>
          <w:szCs w:val="16"/>
          <w:color w:val="auto"/>
        </w:rPr>
        <w:t>Estimated average burden</w:t>
      </w:r>
    </w:p>
    <w:p>
      <w:pPr>
        <w:spacing w:after="0" w:line="38" w:lineRule="exact"/>
        <w:rPr>
          <w:sz w:val="20"/>
          <w:szCs w:val="20"/>
          <w:color w:val="auto"/>
        </w:rPr>
      </w:pPr>
    </w:p>
    <w:p>
      <w:pPr>
        <w:ind w:left="9300"/>
        <w:spacing w:after="0"/>
        <w:rPr>
          <w:sz w:val="20"/>
          <w:szCs w:val="20"/>
          <w:color w:val="auto"/>
        </w:rPr>
      </w:pPr>
      <w:r>
        <w:rPr>
          <w:rFonts w:ascii="Arial" w:cs="Arial" w:eastAsia="Arial" w:hAnsi="Arial"/>
          <w:sz w:val="18"/>
          <w:szCs w:val="18"/>
          <w:color w:val="auto"/>
        </w:rPr>
        <w:t>hours per response...11</w:t>
      </w:r>
    </w:p>
    <w:p>
      <w:pPr>
        <w:spacing w:after="0" w:line="200" w:lineRule="exact"/>
        <w:rPr>
          <w:sz w:val="20"/>
          <w:szCs w:val="20"/>
          <w:color w:val="auto"/>
        </w:rPr>
      </w:pPr>
    </w:p>
    <w:p>
      <w:pPr>
        <w:spacing w:after="0" w:line="290" w:lineRule="exact"/>
        <w:rPr>
          <w:sz w:val="20"/>
          <w:szCs w:val="20"/>
          <w:color w:val="auto"/>
        </w:rPr>
      </w:pPr>
    </w:p>
    <w:p>
      <w:pPr>
        <w:jc w:val="center"/>
        <w:ind w:right="-119"/>
        <w:spacing w:after="0"/>
        <w:rPr>
          <w:sz w:val="20"/>
          <w:szCs w:val="20"/>
          <w:color w:val="auto"/>
        </w:rPr>
      </w:pPr>
      <w:r>
        <w:rPr>
          <w:rFonts w:ascii="Arial" w:cs="Arial" w:eastAsia="Arial" w:hAnsi="Arial"/>
          <w:sz w:val="24"/>
          <w:szCs w:val="24"/>
          <w:color w:val="auto"/>
        </w:rPr>
        <w:t>UNITED STATES</w:t>
      </w:r>
    </w:p>
    <w:p>
      <w:pPr>
        <w:spacing w:after="0" w:line="28" w:lineRule="exact"/>
        <w:rPr>
          <w:sz w:val="20"/>
          <w:szCs w:val="20"/>
          <w:color w:val="auto"/>
        </w:rPr>
      </w:pPr>
    </w:p>
    <w:p>
      <w:pPr>
        <w:jc w:val="center"/>
        <w:ind w:right="-119"/>
        <w:spacing w:after="0"/>
        <w:rPr>
          <w:sz w:val="20"/>
          <w:szCs w:val="20"/>
          <w:color w:val="auto"/>
        </w:rPr>
      </w:pPr>
      <w:r>
        <w:rPr>
          <w:rFonts w:ascii="Arial" w:cs="Arial" w:eastAsia="Arial" w:hAnsi="Arial"/>
          <w:sz w:val="24"/>
          <w:szCs w:val="24"/>
          <w:color w:val="auto"/>
        </w:rPr>
        <w:t>SECURITIES AND EXCHANGE COMMISSION</w:t>
      </w:r>
    </w:p>
    <w:p>
      <w:pPr>
        <w:spacing w:after="0" w:line="5" w:lineRule="exact"/>
        <w:rPr>
          <w:sz w:val="20"/>
          <w:szCs w:val="20"/>
          <w:color w:val="auto"/>
        </w:rPr>
      </w:pPr>
    </w:p>
    <w:p>
      <w:pPr>
        <w:jc w:val="center"/>
        <w:ind w:right="-119"/>
        <w:spacing w:after="0"/>
        <w:rPr>
          <w:sz w:val="20"/>
          <w:szCs w:val="20"/>
          <w:color w:val="auto"/>
        </w:rPr>
      </w:pPr>
      <w:r>
        <w:rPr>
          <w:rFonts w:ascii="Arial" w:cs="Arial" w:eastAsia="Arial" w:hAnsi="Arial"/>
          <w:sz w:val="22"/>
          <w:szCs w:val="22"/>
          <w:color w:val="auto"/>
        </w:rPr>
        <w:t>Washington, D.C. 20549</w:t>
      </w:r>
    </w:p>
    <w:p>
      <w:pPr>
        <w:spacing w:after="0" w:line="176" w:lineRule="exact"/>
        <w:rPr>
          <w:sz w:val="20"/>
          <w:szCs w:val="20"/>
          <w:color w:val="auto"/>
        </w:rPr>
      </w:pPr>
    </w:p>
    <w:p>
      <w:pPr>
        <w:jc w:val="center"/>
        <w:ind w:right="-119"/>
        <w:spacing w:after="0"/>
        <w:rPr>
          <w:sz w:val="20"/>
          <w:szCs w:val="20"/>
          <w:color w:val="auto"/>
        </w:rPr>
      </w:pPr>
      <w:r>
        <w:rPr>
          <w:rFonts w:ascii="Arial" w:cs="Arial" w:eastAsia="Arial" w:hAnsi="Arial"/>
          <w:sz w:val="32"/>
          <w:szCs w:val="32"/>
          <w:color w:val="auto"/>
        </w:rPr>
        <w:t>SCHEDULE 13G</w:t>
      </w:r>
    </w:p>
    <w:p>
      <w:pPr>
        <w:spacing w:after="0" w:line="23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Under the Securities Exchange Act of 1934</w:t>
      </w:r>
    </w:p>
    <w:p>
      <w:pPr>
        <w:spacing w:after="0" w:line="1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(Amendment No. 1)*</w:t>
      </w:r>
    </w:p>
    <w:p>
      <w:pPr>
        <w:spacing w:after="0" w:line="2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Marvell Technology Group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148590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(Name of Issuer)</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Common stock, par value $0.002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148590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(Title of Class of Securities)</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148590</wp:posOffset>
            </wp:positionV>
            <wp:extent cx="72466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(Cusip Number)</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December 31, 2002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148590</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27" w:lineRule="exact"/>
        <w:rPr>
          <w:sz w:val="20"/>
          <w:szCs w:val="20"/>
          <w:color w:val="auto"/>
        </w:rPr>
      </w:pPr>
    </w:p>
    <w:p>
      <w:pPr>
        <w:ind w:left="3720"/>
        <w:spacing w:after="0"/>
        <w:rPr>
          <w:sz w:val="20"/>
          <w:szCs w:val="20"/>
          <w:color w:val="auto"/>
        </w:rPr>
      </w:pPr>
      <w:r>
        <w:rPr>
          <w:rFonts w:ascii="Arial" w:cs="Arial" w:eastAsia="Arial" w:hAnsi="Arial"/>
          <w:sz w:val="18"/>
          <w:szCs w:val="18"/>
          <w:color w:val="auto"/>
        </w:rPr>
        <w:t>(Date of Event Which Requires Filing of this Statement)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212" w:lineRule="exact"/>
        <w:rPr>
          <w:sz w:val="20"/>
          <w:szCs w:val="20"/>
          <w:color w:val="auto"/>
        </w:rPr>
      </w:pPr>
    </w:p>
    <w:p>
      <w:pPr>
        <w:ind w:left="360"/>
        <w:spacing w:after="0"/>
        <w:rPr>
          <w:sz w:val="20"/>
          <w:szCs w:val="20"/>
          <w:color w:val="auto"/>
        </w:rPr>
      </w:pPr>
      <w:r>
        <w:rPr>
          <w:rFonts w:ascii="Arial" w:cs="Arial" w:eastAsia="Arial" w:hAnsi="Arial"/>
          <w:sz w:val="22"/>
          <w:szCs w:val="22"/>
          <w:color w:val="auto"/>
        </w:rPr>
        <w:t xml:space="preserve">o </w:t>
      </w:r>
      <w:r>
        <w:rPr>
          <w:rFonts w:ascii="Arial" w:cs="Arial" w:eastAsia="Arial" w:hAnsi="Arial"/>
          <w:sz w:val="17"/>
          <w:szCs w:val="17"/>
          <w:color w:val="auto"/>
        </w:rPr>
        <w:t>Rule 13d-1 (b)</w:t>
      </w:r>
    </w:p>
    <w:p>
      <w:pPr>
        <w:spacing w:after="0" w:line="206" w:lineRule="exact"/>
        <w:rPr>
          <w:sz w:val="20"/>
          <w:szCs w:val="20"/>
          <w:color w:val="auto"/>
        </w:rPr>
      </w:pPr>
    </w:p>
    <w:p>
      <w:pPr>
        <w:ind w:left="360"/>
        <w:spacing w:after="0"/>
        <w:rPr>
          <w:sz w:val="20"/>
          <w:szCs w:val="20"/>
          <w:color w:val="auto"/>
        </w:rPr>
      </w:pPr>
      <w:r>
        <w:rPr>
          <w:rFonts w:ascii="Arial" w:cs="Arial" w:eastAsia="Arial" w:hAnsi="Arial"/>
          <w:sz w:val="22"/>
          <w:szCs w:val="22"/>
          <w:color w:val="auto"/>
        </w:rPr>
        <w:t xml:space="preserve">o </w:t>
      </w:r>
      <w:r>
        <w:rPr>
          <w:rFonts w:ascii="Arial" w:cs="Arial" w:eastAsia="Arial" w:hAnsi="Arial"/>
          <w:sz w:val="17"/>
          <w:szCs w:val="17"/>
          <w:color w:val="auto"/>
        </w:rPr>
        <w:t>Rule 13d-1 (c)</w:t>
      </w:r>
    </w:p>
    <w:p>
      <w:pPr>
        <w:spacing w:after="0" w:line="255" w:lineRule="exact"/>
        <w:rPr>
          <w:sz w:val="20"/>
          <w:szCs w:val="20"/>
          <w:color w:val="auto"/>
        </w:rPr>
      </w:pPr>
    </w:p>
    <w:p>
      <w:pPr>
        <w:ind w:left="600" w:hanging="241"/>
        <w:spacing w:after="0"/>
        <w:tabs>
          <w:tab w:leader="none" w:pos="600" w:val="left"/>
        </w:tabs>
        <w:numPr>
          <w:ilvl w:val="0"/>
          <w:numId w:val="1"/>
        </w:numPr>
        <w:rPr>
          <w:rFonts w:ascii="MS PGothic" w:cs="MS PGothic" w:eastAsia="MS PGothic" w:hAnsi="MS PGothic"/>
          <w:sz w:val="22"/>
          <w:szCs w:val="22"/>
          <w:color w:val="auto"/>
        </w:rPr>
      </w:pPr>
      <w:r>
        <w:rPr>
          <w:rFonts w:ascii="Arial" w:cs="Arial" w:eastAsia="Arial" w:hAnsi="Arial"/>
          <w:sz w:val="18"/>
          <w:szCs w:val="18"/>
          <w:color w:val="auto"/>
        </w:rPr>
        <w:t>Rule 13d-1 (d)</w:t>
      </w:r>
    </w:p>
    <w:p>
      <w:pPr>
        <w:spacing w:after="0" w:line="210"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86" w:lineRule="exact"/>
        <w:rPr>
          <w:sz w:val="20"/>
          <w:szCs w:val="20"/>
          <w:color w:val="auto"/>
        </w:rPr>
      </w:pPr>
    </w:p>
    <w:p>
      <w:pPr>
        <w:ind w:right="180"/>
        <w:spacing w:after="0" w:line="33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or otherwise subject to the liabilities of that section of the Act but shall be subject to all other provisions of the Act (however, see the notes).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366395</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685" w:right="359" w:bottom="1440" w:gutter="0" w:footer="0" w:header="0"/>
        </w:sectPr>
      </w:pPr>
    </w:p>
    <w:bookmarkStart w:id="2" w:name="page3"/>
    <w:bookmarkEnd w:id="2"/>
    <w:p>
      <w:pPr>
        <w:jc w:val="center"/>
        <w:spacing w:after="0"/>
        <w:rPr>
          <w:sz w:val="20"/>
          <w:szCs w:val="20"/>
          <w:color w:val="auto"/>
        </w:rPr>
      </w:pPr>
      <w:r>
        <w:rPr>
          <w:rFonts w:ascii="Arial" w:cs="Arial" w:eastAsia="Arial" w:hAnsi="Arial"/>
          <w:sz w:val="15"/>
          <w:szCs w:val="15"/>
          <w:color w:val="auto"/>
        </w:rPr>
        <w:t>13G</w:t>
      </w:r>
    </w:p>
    <w:p>
      <w:pPr>
        <w:spacing w:after="0" w:line="152" w:lineRule="exact"/>
        <w:rPr>
          <w:sz w:val="20"/>
          <w:szCs w:val="20"/>
          <w:color w:val="auto"/>
        </w:rPr>
      </w:pPr>
    </w:p>
    <w:p>
      <w:pPr>
        <w:spacing w:after="0"/>
        <w:rPr>
          <w:sz w:val="20"/>
          <w:szCs w:val="20"/>
          <w:color w:val="auto"/>
        </w:rPr>
      </w:pPr>
      <w:r>
        <w:rPr>
          <w:rFonts w:ascii="Arial" w:cs="Arial" w:eastAsia="Arial" w:hAnsi="Arial"/>
          <w:sz w:val="18"/>
          <w:szCs w:val="18"/>
          <w:color w:val="auto"/>
        </w:rPr>
        <w:t>CUSIP No.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146050</wp:posOffset>
            </wp:positionV>
            <wp:extent cx="718185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ectPr>
          <w:pgSz w:w="11900" w:h="16838" w:orient="portrait"/>
          <w:cols w:equalWidth="0" w:num="1">
            <w:col w:w="11300"/>
          </w:cols>
          <w:pgMar w:left="300" w:top="1320" w:right="299" w:bottom="1440" w:gutter="0" w:footer="0" w:header="0"/>
        </w:sectPr>
      </w:pPr>
    </w:p>
    <w:p>
      <w:pPr>
        <w:spacing w:after="0" w:line="200" w:lineRule="exact"/>
        <w:rPr>
          <w:sz w:val="20"/>
          <w:szCs w:val="20"/>
          <w:color w:val="auto"/>
        </w:rPr>
      </w:pPr>
    </w:p>
    <w:p>
      <w:pPr>
        <w:spacing w:after="0" w:line="268" w:lineRule="exact"/>
        <w:rPr>
          <w:sz w:val="20"/>
          <w:szCs w:val="20"/>
          <w:color w:val="auto"/>
        </w:rPr>
      </w:pPr>
    </w:p>
    <w:p>
      <w:pPr>
        <w:ind w:left="460"/>
        <w:spacing w:after="0"/>
        <w:tabs>
          <w:tab w:leader="none" w:pos="800" w:val="left"/>
        </w:tabs>
        <w:rPr>
          <w:sz w:val="20"/>
          <w:szCs w:val="20"/>
          <w:color w:val="auto"/>
        </w:rPr>
      </w:pPr>
      <w:r>
        <w:rPr>
          <w:rFonts w:ascii="Arial" w:cs="Arial" w:eastAsia="Arial" w:hAnsi="Arial"/>
          <w:sz w:val="15"/>
          <w:szCs w:val="15"/>
          <w:color w:val="auto"/>
        </w:rPr>
        <w:t>1.</w:t>
        <w:tab/>
        <w:t>Name of Reporting Person:</w:t>
      </w:r>
    </w:p>
    <w:p>
      <w:pPr>
        <w:spacing w:after="0" w:line="50" w:lineRule="exact"/>
        <w:rPr>
          <w:sz w:val="20"/>
          <w:szCs w:val="20"/>
          <w:color w:val="auto"/>
        </w:rPr>
      </w:pPr>
    </w:p>
    <w:p>
      <w:pPr>
        <w:ind w:left="820"/>
        <w:spacing w:after="0"/>
        <w:rPr>
          <w:sz w:val="20"/>
          <w:szCs w:val="20"/>
          <w:color w:val="auto"/>
        </w:rPr>
      </w:pPr>
      <w:r>
        <w:rPr>
          <w:rFonts w:ascii="Arial" w:cs="Arial" w:eastAsia="Arial" w:hAnsi="Arial"/>
          <w:sz w:val="18"/>
          <w:szCs w:val="18"/>
          <w:color w:val="auto"/>
        </w:rPr>
        <w:t>Diosdado P. Banatao</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Arial" w:cs="Arial" w:eastAsia="Arial" w:hAnsi="Arial"/>
          <w:sz w:val="16"/>
          <w:szCs w:val="16"/>
          <w:color w:val="auto"/>
        </w:rPr>
        <w:t>I.R.S. Identification Nos. of above persons (entities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-2971800</wp:posOffset>
            </wp:positionH>
            <wp:positionV relativeFrom="paragraph">
              <wp:posOffset>297815</wp:posOffset>
            </wp:positionV>
            <wp:extent cx="718185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445" w:lineRule="exact"/>
        <w:rPr>
          <w:sz w:val="20"/>
          <w:szCs w:val="20"/>
          <w:color w:val="auto"/>
        </w:rPr>
      </w:pPr>
    </w:p>
    <w:p>
      <w:pPr>
        <w:sectPr>
          <w:pgSz w:w="11900" w:h="16838" w:orient="portrait"/>
          <w:cols w:equalWidth="0" w:num="2">
            <w:col w:w="3960" w:space="720"/>
            <w:col w:w="6620"/>
          </w:cols>
          <w:pgMar w:left="300" w:top="1320" w:right="299" w:bottom="1440" w:gutter="0" w:footer="0" w:header="0"/>
          <w:type w:val="continuous"/>
        </w:sectPr>
      </w:pPr>
    </w:p>
    <w:p>
      <w:pPr>
        <w:spacing w:after="0" w:line="262" w:lineRule="exact"/>
        <w:rPr>
          <w:sz w:val="20"/>
          <w:szCs w:val="20"/>
          <w:color w:val="auto"/>
        </w:rPr>
      </w:pPr>
    </w:p>
    <w:p>
      <w:pPr>
        <w:ind w:left="820" w:hanging="359"/>
        <w:spacing w:after="0"/>
        <w:tabs>
          <w:tab w:leader="none" w:pos="820" w:val="left"/>
        </w:tabs>
        <w:numPr>
          <w:ilvl w:val="0"/>
          <w:numId w:val="2"/>
        </w:numPr>
        <w:rPr>
          <w:rFonts w:ascii="Arial" w:cs="Arial" w:eastAsia="Arial" w:hAnsi="Arial"/>
          <w:sz w:val="18"/>
          <w:szCs w:val="18"/>
          <w:color w:val="auto"/>
        </w:rPr>
      </w:pPr>
      <w:r>
        <w:rPr>
          <w:rFonts w:ascii="Arial" w:cs="Arial" w:eastAsia="Arial" w:hAnsi="Arial"/>
          <w:sz w:val="18"/>
          <w:szCs w:val="18"/>
          <w:color w:val="auto"/>
        </w:rPr>
        <w:t>Check the Appropriate Box if a Member of a Group:</w:t>
      </w:r>
    </w:p>
    <w:p>
      <w:pPr>
        <w:spacing w:after="0" w:line="104" w:lineRule="exact"/>
        <w:rPr>
          <w:rFonts w:ascii="Arial" w:cs="Arial" w:eastAsia="Arial" w:hAnsi="Arial"/>
          <w:sz w:val="18"/>
          <w:szCs w:val="18"/>
          <w:color w:val="auto"/>
        </w:rPr>
      </w:pPr>
    </w:p>
    <w:p>
      <w:pPr>
        <w:ind w:left="1160" w:hanging="348"/>
        <w:spacing w:after="0"/>
        <w:tabs>
          <w:tab w:leader="none" w:pos="1160" w:val="left"/>
        </w:tabs>
        <w:numPr>
          <w:ilvl w:val="1"/>
          <w:numId w:val="2"/>
        </w:numPr>
        <w:rPr>
          <w:rFonts w:ascii="Arial" w:cs="Arial" w:eastAsia="Arial" w:hAnsi="Arial"/>
          <w:sz w:val="18"/>
          <w:szCs w:val="18"/>
          <w:color w:val="auto"/>
        </w:rPr>
      </w:pPr>
      <w:r>
        <w:rPr>
          <w:rFonts w:ascii="Arial" w:cs="Arial" w:eastAsia="Arial" w:hAnsi="Arial"/>
          <w:sz w:val="22"/>
          <w:szCs w:val="22"/>
          <w:color w:val="auto"/>
        </w:rPr>
        <w:t>o</w:t>
      </w:r>
    </w:p>
    <w:p>
      <w:pPr>
        <w:spacing w:after="0" w:line="98" w:lineRule="exact"/>
        <w:rPr>
          <w:rFonts w:ascii="Arial" w:cs="Arial" w:eastAsia="Arial" w:hAnsi="Arial"/>
          <w:sz w:val="18"/>
          <w:szCs w:val="18"/>
          <w:color w:val="auto"/>
        </w:rPr>
      </w:pPr>
    </w:p>
    <w:p>
      <w:pPr>
        <w:ind w:left="1160" w:hanging="348"/>
        <w:spacing w:after="0"/>
        <w:tabs>
          <w:tab w:leader="none" w:pos="1160" w:val="left"/>
        </w:tabs>
        <w:numPr>
          <w:ilvl w:val="1"/>
          <w:numId w:val="2"/>
        </w:numPr>
        <w:rPr>
          <w:rFonts w:ascii="Arial" w:cs="Arial" w:eastAsia="Arial" w:hAnsi="Arial"/>
          <w:sz w:val="18"/>
          <w:szCs w:val="18"/>
          <w:color w:val="auto"/>
        </w:rPr>
      </w:pPr>
      <w:r>
        <w:rPr>
          <w:rFonts w:ascii="Arial" w:cs="Arial" w:eastAsia="Arial" w:hAnsi="Arial"/>
          <w:sz w:val="22"/>
          <w:szCs w:val="22"/>
          <w:color w:val="auto"/>
        </w:rPr>
        <w:t>o</w:t>
      </w:r>
    </w:p>
    <w:p>
      <w:pPr>
        <w:spacing w:after="0" w:line="200" w:lineRule="exact"/>
        <w:rPr>
          <w:rFonts w:ascii="Arial" w:cs="Arial" w:eastAsia="Arial" w:hAnsi="Arial"/>
          <w:sz w:val="18"/>
          <w:szCs w:val="18"/>
          <w:color w:val="auto"/>
        </w:rPr>
      </w:pPr>
    </w:p>
    <w:p>
      <w:pPr>
        <w:spacing w:after="0" w:line="262" w:lineRule="exact"/>
        <w:rPr>
          <w:rFonts w:ascii="Arial" w:cs="Arial" w:eastAsia="Arial" w:hAnsi="Arial"/>
          <w:sz w:val="18"/>
          <w:szCs w:val="18"/>
          <w:color w:val="auto"/>
        </w:rPr>
      </w:pPr>
    </w:p>
    <w:p>
      <w:pPr>
        <w:ind w:left="820" w:hanging="359"/>
        <w:spacing w:after="0"/>
        <w:tabs>
          <w:tab w:leader="none" w:pos="820" w:val="left"/>
        </w:tabs>
        <w:numPr>
          <w:ilvl w:val="0"/>
          <w:numId w:val="2"/>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0" w:lineRule="exact"/>
        <w:rPr>
          <w:rFonts w:ascii="Arial" w:cs="Arial" w:eastAsia="Arial" w:hAnsi="Arial"/>
          <w:sz w:val="18"/>
          <w:szCs w:val="18"/>
          <w:color w:val="auto"/>
        </w:rPr>
      </w:pPr>
    </w:p>
    <w:p>
      <w:pPr>
        <w:spacing w:after="0" w:line="268" w:lineRule="exact"/>
        <w:rPr>
          <w:rFonts w:ascii="Arial" w:cs="Arial" w:eastAsia="Arial" w:hAnsi="Arial"/>
          <w:sz w:val="18"/>
          <w:szCs w:val="18"/>
          <w:color w:val="auto"/>
        </w:rPr>
      </w:pPr>
    </w:p>
    <w:p>
      <w:pPr>
        <w:ind w:left="820" w:right="7880" w:hanging="359"/>
        <w:spacing w:after="0" w:line="268" w:lineRule="auto"/>
        <w:tabs>
          <w:tab w:leader="none" w:pos="820" w:val="left"/>
        </w:tabs>
        <w:numPr>
          <w:ilvl w:val="0"/>
          <w:numId w:val="2"/>
        </w:numPr>
        <w:rPr>
          <w:rFonts w:ascii="Arial" w:cs="Arial" w:eastAsia="Arial" w:hAnsi="Arial"/>
          <w:sz w:val="18"/>
          <w:szCs w:val="18"/>
          <w:color w:val="auto"/>
        </w:rPr>
      </w:pPr>
      <w:r>
        <w:rPr>
          <w:rFonts w:ascii="Arial" w:cs="Arial" w:eastAsia="Arial" w:hAnsi="Arial"/>
          <w:sz w:val="18"/>
          <w:szCs w:val="18"/>
          <w:color w:val="auto"/>
        </w:rPr>
        <w:t>Citizenship or Place of Organization: United States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-872490</wp:posOffset>
            </wp:positionV>
            <wp:extent cx="718185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81850" cy="215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-443865</wp:posOffset>
            </wp:positionV>
            <wp:extent cx="7181850"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81850" cy="215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121285</wp:posOffset>
            </wp:positionV>
            <wp:extent cx="718185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0" w:lineRule="exact"/>
        <w:rPr>
          <w:sz w:val="20"/>
          <w:szCs w:val="20"/>
          <w:color w:val="auto"/>
        </w:rPr>
      </w:pPr>
    </w:p>
    <w:p>
      <w:pPr>
        <w:spacing w:after="0" w:line="209" w:lineRule="exact"/>
        <w:rPr>
          <w:sz w:val="20"/>
          <w:szCs w:val="20"/>
          <w:color w:val="auto"/>
        </w:rPr>
      </w:pPr>
    </w:p>
    <w:tbl>
      <w:tblPr>
        <w:tblLayout w:type="fixed"/>
        <w:tblInd w:w="100" w:type="dxa"/>
        <w:tblCellMar>
          <w:top w:w="0" w:type="dxa"/>
          <w:left w:w="0" w:type="dxa"/>
          <w:bottom w:w="0" w:type="dxa"/>
          <w:right w:w="0" w:type="dxa"/>
        </w:tblCellMar>
      </w:tblPr>
      <w:tr>
        <w:trPr>
          <w:trHeight w:val="216"/>
        </w:trPr>
        <w:tc>
          <w:tcPr>
            <w:tcW w:w="1060" w:type="dxa"/>
            <w:vAlign w:val="bottom"/>
          </w:tcPr>
          <w:p>
            <w:pPr>
              <w:spacing w:after="0"/>
              <w:rPr>
                <w:sz w:val="18"/>
                <w:szCs w:val="18"/>
                <w:color w:val="auto"/>
              </w:rPr>
            </w:pPr>
          </w:p>
        </w:tc>
        <w:tc>
          <w:tcPr>
            <w:tcW w:w="240" w:type="dxa"/>
            <w:vAlign w:val="bottom"/>
          </w:tcPr>
          <w:p>
            <w:pPr>
              <w:jc w:val="right"/>
              <w:ind w:right="12"/>
              <w:spacing w:after="0"/>
              <w:rPr>
                <w:sz w:val="20"/>
                <w:szCs w:val="20"/>
                <w:color w:val="auto"/>
              </w:rPr>
            </w:pPr>
            <w:r>
              <w:rPr>
                <w:rFonts w:ascii="Arial" w:cs="Arial" w:eastAsia="Arial" w:hAnsi="Arial"/>
                <w:sz w:val="18"/>
                <w:szCs w:val="18"/>
                <w:color w:val="auto"/>
                <w:w w:val="79"/>
              </w:rPr>
              <w:t>5.</w:t>
            </w:r>
          </w:p>
        </w:tc>
        <w:tc>
          <w:tcPr>
            <w:tcW w:w="9900" w:type="dxa"/>
            <w:vAlign w:val="bottom"/>
          </w:tcPr>
          <w:p>
            <w:pPr>
              <w:ind w:left="10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222"/>
        </w:trPr>
        <w:tc>
          <w:tcPr>
            <w:tcW w:w="10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900" w:type="dxa"/>
            <w:vAlign w:val="bottom"/>
          </w:tcPr>
          <w:p>
            <w:pPr>
              <w:ind w:left="100"/>
              <w:spacing w:after="0"/>
              <w:rPr>
                <w:sz w:val="20"/>
                <w:szCs w:val="20"/>
                <w:color w:val="auto"/>
              </w:rPr>
            </w:pPr>
            <w:r>
              <w:rPr>
                <w:rFonts w:ascii="Arial" w:cs="Arial" w:eastAsia="Arial" w:hAnsi="Arial"/>
                <w:sz w:val="18"/>
                <w:szCs w:val="18"/>
                <w:color w:val="auto"/>
              </w:rPr>
              <w:t>2,761,700 shares</w:t>
            </w:r>
          </w:p>
        </w:tc>
        <w:tc>
          <w:tcPr>
            <w:tcW w:w="0" w:type="dxa"/>
            <w:vAlign w:val="bottom"/>
          </w:tcPr>
          <w:p>
            <w:pPr>
              <w:spacing w:after="0"/>
              <w:rPr>
                <w:sz w:val="1"/>
                <w:szCs w:val="1"/>
                <w:color w:val="auto"/>
              </w:rPr>
            </w:pPr>
          </w:p>
        </w:tc>
      </w:tr>
      <w:tr>
        <w:trPr>
          <w:trHeight w:val="228"/>
        </w:trPr>
        <w:tc>
          <w:tcPr>
            <w:tcW w:w="1060" w:type="dxa"/>
            <w:vAlign w:val="bottom"/>
            <w:vMerge w:val="restart"/>
          </w:tcPr>
          <w:p>
            <w:pPr>
              <w:jc w:val="center"/>
              <w:ind w:right="114"/>
              <w:spacing w:after="0"/>
              <w:rPr>
                <w:sz w:val="20"/>
                <w:szCs w:val="20"/>
                <w:color w:val="auto"/>
              </w:rPr>
            </w:pPr>
            <w:r>
              <w:rPr>
                <w:rFonts w:ascii="Arial" w:cs="Arial" w:eastAsia="Arial" w:hAnsi="Arial"/>
                <w:sz w:val="18"/>
                <w:szCs w:val="18"/>
                <w:color w:val="auto"/>
                <w:w w:val="92"/>
              </w:rPr>
              <w:t>Number of</w:t>
            </w:r>
          </w:p>
        </w:tc>
        <w:tc>
          <w:tcPr>
            <w:tcW w:w="240" w:type="dxa"/>
            <w:vAlign w:val="bottom"/>
            <w:tcBorders>
              <w:bottom w:val="single" w:sz="8" w:color="808080"/>
            </w:tcBorders>
          </w:tcPr>
          <w:p>
            <w:pPr>
              <w:spacing w:after="0"/>
              <w:rPr>
                <w:sz w:val="19"/>
                <w:szCs w:val="19"/>
                <w:color w:val="auto"/>
              </w:rPr>
            </w:pPr>
          </w:p>
        </w:tc>
        <w:tc>
          <w:tcPr>
            <w:tcW w:w="990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326"/>
        </w:trPr>
        <w:tc>
          <w:tcPr>
            <w:tcW w:w="1060" w:type="dxa"/>
            <w:vAlign w:val="bottom"/>
            <w:vMerge w:val="continue"/>
          </w:tcPr>
          <w:p>
            <w:pPr>
              <w:spacing w:after="0"/>
              <w:rPr>
                <w:sz w:val="24"/>
                <w:szCs w:val="24"/>
                <w:color w:val="auto"/>
              </w:rPr>
            </w:pPr>
          </w:p>
        </w:tc>
        <w:tc>
          <w:tcPr>
            <w:tcW w:w="240" w:type="dxa"/>
            <w:vAlign w:val="bottom"/>
            <w:vMerge w:val="restart"/>
          </w:tcPr>
          <w:p>
            <w:pPr>
              <w:jc w:val="right"/>
              <w:ind w:right="12"/>
              <w:spacing w:after="0"/>
              <w:rPr>
                <w:sz w:val="20"/>
                <w:szCs w:val="20"/>
                <w:color w:val="auto"/>
              </w:rPr>
            </w:pPr>
            <w:r>
              <w:rPr>
                <w:rFonts w:ascii="Arial" w:cs="Arial" w:eastAsia="Arial" w:hAnsi="Arial"/>
                <w:sz w:val="18"/>
                <w:szCs w:val="18"/>
                <w:color w:val="auto"/>
                <w:w w:val="79"/>
              </w:rPr>
              <w:t>6.</w:t>
            </w:r>
          </w:p>
        </w:tc>
        <w:tc>
          <w:tcPr>
            <w:tcW w:w="9900" w:type="dxa"/>
            <w:vAlign w:val="bottom"/>
            <w:vMerge w:val="restart"/>
          </w:tcPr>
          <w:p>
            <w:pPr>
              <w:ind w:left="10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95"/>
        </w:trPr>
        <w:tc>
          <w:tcPr>
            <w:tcW w:w="1060" w:type="dxa"/>
            <w:vAlign w:val="bottom"/>
            <w:vMerge w:val="restart"/>
          </w:tcPr>
          <w:p>
            <w:pPr>
              <w:jc w:val="center"/>
              <w:ind w:right="114"/>
              <w:spacing w:after="0"/>
              <w:rPr>
                <w:sz w:val="20"/>
                <w:szCs w:val="20"/>
                <w:color w:val="auto"/>
              </w:rPr>
            </w:pPr>
            <w:r>
              <w:rPr>
                <w:rFonts w:ascii="Arial" w:cs="Arial" w:eastAsia="Arial" w:hAnsi="Arial"/>
                <w:sz w:val="18"/>
                <w:szCs w:val="18"/>
                <w:color w:val="auto"/>
                <w:w w:val="80"/>
              </w:rPr>
              <w:t>Shares</w:t>
            </w:r>
          </w:p>
        </w:tc>
        <w:tc>
          <w:tcPr>
            <w:tcW w:w="240" w:type="dxa"/>
            <w:vAlign w:val="bottom"/>
            <w:vMerge w:val="continue"/>
          </w:tcPr>
          <w:p>
            <w:pPr>
              <w:spacing w:after="0"/>
              <w:rPr>
                <w:sz w:val="8"/>
                <w:szCs w:val="8"/>
                <w:color w:val="auto"/>
              </w:rPr>
            </w:pPr>
          </w:p>
        </w:tc>
        <w:tc>
          <w:tcPr>
            <w:tcW w:w="99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22"/>
        </w:trPr>
        <w:tc>
          <w:tcPr>
            <w:tcW w:w="1060" w:type="dxa"/>
            <w:vAlign w:val="bottom"/>
            <w:vMerge w:val="continue"/>
          </w:tcPr>
          <w:p>
            <w:pPr>
              <w:spacing w:after="0"/>
              <w:rPr>
                <w:sz w:val="10"/>
                <w:szCs w:val="10"/>
                <w:color w:val="auto"/>
              </w:rPr>
            </w:pPr>
          </w:p>
        </w:tc>
        <w:tc>
          <w:tcPr>
            <w:tcW w:w="240" w:type="dxa"/>
            <w:vAlign w:val="bottom"/>
          </w:tcPr>
          <w:p>
            <w:pPr>
              <w:spacing w:after="0"/>
              <w:rPr>
                <w:sz w:val="10"/>
                <w:szCs w:val="10"/>
                <w:color w:val="auto"/>
              </w:rPr>
            </w:pPr>
          </w:p>
        </w:tc>
        <w:tc>
          <w:tcPr>
            <w:tcW w:w="9900" w:type="dxa"/>
            <w:vAlign w:val="bottom"/>
            <w:vMerge w:val="restart"/>
          </w:tcPr>
          <w:p>
            <w:pPr>
              <w:ind w:left="100"/>
              <w:spacing w:after="0"/>
              <w:rPr>
                <w:sz w:val="20"/>
                <w:szCs w:val="20"/>
                <w:color w:val="auto"/>
              </w:rPr>
            </w:pPr>
            <w:r>
              <w:rPr>
                <w:rFonts w:ascii="Arial" w:cs="Arial" w:eastAsia="Arial" w:hAnsi="Arial"/>
                <w:sz w:val="18"/>
                <w:szCs w:val="18"/>
                <w:color w:val="auto"/>
              </w:rPr>
              <w:t>2,379,375 shares</w:t>
            </w:r>
          </w:p>
        </w:tc>
        <w:tc>
          <w:tcPr>
            <w:tcW w:w="0" w:type="dxa"/>
            <w:vAlign w:val="bottom"/>
          </w:tcPr>
          <w:p>
            <w:pPr>
              <w:spacing w:after="0"/>
              <w:rPr>
                <w:sz w:val="1"/>
                <w:szCs w:val="1"/>
                <w:color w:val="auto"/>
              </w:rPr>
            </w:pPr>
          </w:p>
        </w:tc>
      </w:tr>
      <w:tr>
        <w:trPr>
          <w:trHeight w:val="101"/>
        </w:trPr>
        <w:tc>
          <w:tcPr>
            <w:tcW w:w="1060" w:type="dxa"/>
            <w:vAlign w:val="bottom"/>
            <w:vMerge w:val="restart"/>
          </w:tcPr>
          <w:p>
            <w:pPr>
              <w:jc w:val="center"/>
              <w:ind w:right="114"/>
              <w:spacing w:after="0"/>
              <w:rPr>
                <w:sz w:val="20"/>
                <w:szCs w:val="20"/>
                <w:color w:val="auto"/>
              </w:rPr>
            </w:pPr>
            <w:r>
              <w:rPr>
                <w:rFonts w:ascii="Arial" w:cs="Arial" w:eastAsia="Arial" w:hAnsi="Arial"/>
                <w:sz w:val="18"/>
                <w:szCs w:val="18"/>
                <w:color w:val="auto"/>
                <w:w w:val="94"/>
              </w:rPr>
              <w:t>Beneficially</w:t>
            </w:r>
          </w:p>
        </w:tc>
        <w:tc>
          <w:tcPr>
            <w:tcW w:w="240" w:type="dxa"/>
            <w:vAlign w:val="bottom"/>
          </w:tcPr>
          <w:p>
            <w:pPr>
              <w:spacing w:after="0"/>
              <w:rPr>
                <w:sz w:val="8"/>
                <w:szCs w:val="8"/>
                <w:color w:val="auto"/>
              </w:rPr>
            </w:pPr>
          </w:p>
        </w:tc>
        <w:tc>
          <w:tcPr>
            <w:tcW w:w="99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15"/>
        </w:trPr>
        <w:tc>
          <w:tcPr>
            <w:tcW w:w="1060" w:type="dxa"/>
            <w:vAlign w:val="bottom"/>
            <w:vMerge w:val="continue"/>
          </w:tcPr>
          <w:p>
            <w:pPr>
              <w:spacing w:after="0"/>
              <w:rPr>
                <w:sz w:val="10"/>
                <w:szCs w:val="10"/>
                <w:color w:val="auto"/>
              </w:rPr>
            </w:pPr>
          </w:p>
        </w:tc>
        <w:tc>
          <w:tcPr>
            <w:tcW w:w="240" w:type="dxa"/>
            <w:vAlign w:val="bottom"/>
          </w:tcPr>
          <w:p>
            <w:pPr>
              <w:spacing w:after="0"/>
              <w:rPr>
                <w:sz w:val="10"/>
                <w:szCs w:val="10"/>
                <w:color w:val="auto"/>
              </w:rPr>
            </w:pPr>
          </w:p>
        </w:tc>
        <w:tc>
          <w:tcPr>
            <w:tcW w:w="99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13"/>
        </w:trPr>
        <w:tc>
          <w:tcPr>
            <w:tcW w:w="1060" w:type="dxa"/>
            <w:vAlign w:val="bottom"/>
            <w:vMerge w:val="restart"/>
          </w:tcPr>
          <w:p>
            <w:pPr>
              <w:jc w:val="center"/>
              <w:ind w:right="114"/>
              <w:spacing w:after="0"/>
              <w:rPr>
                <w:sz w:val="20"/>
                <w:szCs w:val="20"/>
                <w:color w:val="auto"/>
              </w:rPr>
            </w:pPr>
            <w:r>
              <w:rPr>
                <w:rFonts w:ascii="Arial" w:cs="Arial" w:eastAsia="Arial" w:hAnsi="Arial"/>
                <w:sz w:val="18"/>
                <w:szCs w:val="18"/>
                <w:color w:val="auto"/>
                <w:w w:val="91"/>
              </w:rPr>
              <w:t>Owned by</w:t>
            </w:r>
          </w:p>
        </w:tc>
        <w:tc>
          <w:tcPr>
            <w:tcW w:w="240" w:type="dxa"/>
            <w:vAlign w:val="bottom"/>
            <w:tcBorders>
              <w:bottom w:val="single" w:sz="8" w:color="808080"/>
            </w:tcBorders>
          </w:tcPr>
          <w:p>
            <w:pPr>
              <w:spacing w:after="0"/>
              <w:rPr>
                <w:sz w:val="9"/>
                <w:szCs w:val="9"/>
                <w:color w:val="auto"/>
              </w:rPr>
            </w:pPr>
          </w:p>
        </w:tc>
        <w:tc>
          <w:tcPr>
            <w:tcW w:w="990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83"/>
        </w:trPr>
        <w:tc>
          <w:tcPr>
            <w:tcW w:w="1060" w:type="dxa"/>
            <w:vAlign w:val="bottom"/>
            <w:vMerge w:val="continue"/>
          </w:tcPr>
          <w:p>
            <w:pPr>
              <w:spacing w:after="0"/>
              <w:rPr>
                <w:sz w:val="7"/>
                <w:szCs w:val="7"/>
                <w:color w:val="auto"/>
              </w:rPr>
            </w:pPr>
          </w:p>
        </w:tc>
        <w:tc>
          <w:tcPr>
            <w:tcW w:w="240" w:type="dxa"/>
            <w:vAlign w:val="bottom"/>
          </w:tcPr>
          <w:p>
            <w:pPr>
              <w:spacing w:after="0"/>
              <w:rPr>
                <w:sz w:val="7"/>
                <w:szCs w:val="7"/>
                <w:color w:val="auto"/>
              </w:rPr>
            </w:pPr>
          </w:p>
        </w:tc>
        <w:tc>
          <w:tcPr>
            <w:tcW w:w="99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16"/>
        </w:trPr>
        <w:tc>
          <w:tcPr>
            <w:tcW w:w="1060" w:type="dxa"/>
            <w:vAlign w:val="bottom"/>
          </w:tcPr>
          <w:p>
            <w:pPr>
              <w:jc w:val="center"/>
              <w:ind w:right="114"/>
              <w:spacing w:after="0"/>
              <w:rPr>
                <w:sz w:val="20"/>
                <w:szCs w:val="20"/>
                <w:color w:val="auto"/>
              </w:rPr>
            </w:pPr>
            <w:r>
              <w:rPr>
                <w:rFonts w:ascii="Arial" w:cs="Arial" w:eastAsia="Arial" w:hAnsi="Arial"/>
                <w:sz w:val="18"/>
                <w:szCs w:val="18"/>
                <w:color w:val="auto"/>
                <w:w w:val="82"/>
              </w:rPr>
              <w:t>Each</w:t>
            </w:r>
          </w:p>
        </w:tc>
        <w:tc>
          <w:tcPr>
            <w:tcW w:w="240" w:type="dxa"/>
            <w:vAlign w:val="bottom"/>
            <w:vMerge w:val="restart"/>
          </w:tcPr>
          <w:p>
            <w:pPr>
              <w:jc w:val="right"/>
              <w:ind w:right="12"/>
              <w:spacing w:after="0"/>
              <w:rPr>
                <w:sz w:val="20"/>
                <w:szCs w:val="20"/>
                <w:color w:val="auto"/>
              </w:rPr>
            </w:pPr>
            <w:r>
              <w:rPr>
                <w:rFonts w:ascii="Arial" w:cs="Arial" w:eastAsia="Arial" w:hAnsi="Arial"/>
                <w:sz w:val="18"/>
                <w:szCs w:val="18"/>
                <w:color w:val="auto"/>
                <w:w w:val="79"/>
              </w:rPr>
              <w:t>7.</w:t>
            </w:r>
          </w:p>
        </w:tc>
        <w:tc>
          <w:tcPr>
            <w:tcW w:w="9900" w:type="dxa"/>
            <w:vAlign w:val="bottom"/>
            <w:vMerge w:val="restart"/>
          </w:tcPr>
          <w:p>
            <w:pPr>
              <w:ind w:left="100"/>
              <w:spacing w:after="0"/>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136"/>
        </w:trPr>
        <w:tc>
          <w:tcPr>
            <w:tcW w:w="1060" w:type="dxa"/>
            <w:vAlign w:val="bottom"/>
          </w:tcPr>
          <w:p>
            <w:pPr>
              <w:jc w:val="center"/>
              <w:ind w:right="114"/>
              <w:spacing w:after="0" w:line="136" w:lineRule="exact"/>
              <w:rPr>
                <w:sz w:val="20"/>
                <w:szCs w:val="20"/>
                <w:color w:val="auto"/>
              </w:rPr>
            </w:pPr>
            <w:r>
              <w:rPr>
                <w:rFonts w:ascii="Arial" w:cs="Arial" w:eastAsia="Arial" w:hAnsi="Arial"/>
                <w:sz w:val="15"/>
                <w:szCs w:val="15"/>
                <w:color w:val="auto"/>
              </w:rPr>
              <w:t>Reporting</w:t>
            </w:r>
          </w:p>
        </w:tc>
        <w:tc>
          <w:tcPr>
            <w:tcW w:w="240" w:type="dxa"/>
            <w:vAlign w:val="bottom"/>
            <w:vMerge w:val="continue"/>
          </w:tcPr>
          <w:p>
            <w:pPr>
              <w:spacing w:after="0"/>
              <w:rPr>
                <w:sz w:val="11"/>
                <w:szCs w:val="11"/>
                <w:color w:val="auto"/>
              </w:rPr>
            </w:pPr>
          </w:p>
        </w:tc>
        <w:tc>
          <w:tcPr>
            <w:tcW w:w="990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7168515</wp:posOffset>
            </wp:positionH>
            <wp:positionV relativeFrom="paragraph">
              <wp:posOffset>-855980</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736600</wp:posOffset>
            </wp:positionH>
            <wp:positionV relativeFrom="paragraph">
              <wp:posOffset>-855980</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7168515</wp:posOffset>
            </wp:positionH>
            <wp:positionV relativeFrom="paragraph">
              <wp:posOffset>-290195</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736600</wp:posOffset>
            </wp:positionH>
            <wp:positionV relativeFrom="paragraph">
              <wp:posOffset>-290195</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tbl>
      <w:tblPr>
        <w:tblLayout w:type="fixed"/>
        <w:tblInd w:w="100" w:type="dxa"/>
        <w:tblCellMar>
          <w:top w:w="0" w:type="dxa"/>
          <w:left w:w="0" w:type="dxa"/>
          <w:bottom w:w="0" w:type="dxa"/>
          <w:right w:w="0" w:type="dxa"/>
        </w:tblCellMar>
      </w:tblPr>
      <w:tr>
        <w:trPr>
          <w:trHeight w:val="222"/>
        </w:trPr>
        <w:tc>
          <w:tcPr>
            <w:tcW w:w="1060" w:type="dxa"/>
            <w:vAlign w:val="bottom"/>
            <w:vMerge w:val="restart"/>
          </w:tcPr>
          <w:p>
            <w:pPr>
              <w:spacing w:after="0"/>
              <w:rPr>
                <w:sz w:val="20"/>
                <w:szCs w:val="20"/>
                <w:color w:val="auto"/>
              </w:rPr>
            </w:pPr>
            <w:r>
              <w:rPr>
                <w:rFonts w:ascii="Arial" w:cs="Arial" w:eastAsia="Arial" w:hAnsi="Arial"/>
                <w:sz w:val="18"/>
                <w:szCs w:val="18"/>
                <w:color w:val="auto"/>
              </w:rPr>
              <w:t>Person With</w:t>
            </w:r>
          </w:p>
        </w:tc>
        <w:tc>
          <w:tcPr>
            <w:tcW w:w="10140" w:type="dxa"/>
            <w:vAlign w:val="bottom"/>
          </w:tcPr>
          <w:p>
            <w:pPr>
              <w:ind w:left="340"/>
              <w:spacing w:after="0"/>
              <w:rPr>
                <w:sz w:val="20"/>
                <w:szCs w:val="20"/>
                <w:color w:val="auto"/>
              </w:rPr>
            </w:pPr>
            <w:r>
              <w:rPr>
                <w:rFonts w:ascii="Arial" w:cs="Arial" w:eastAsia="Arial" w:hAnsi="Arial"/>
                <w:sz w:val="18"/>
                <w:szCs w:val="18"/>
                <w:color w:val="auto"/>
              </w:rPr>
              <w:t>2,761,700 shares</w:t>
            </w:r>
          </w:p>
        </w:tc>
        <w:tc>
          <w:tcPr>
            <w:tcW w:w="0" w:type="dxa"/>
            <w:vAlign w:val="bottom"/>
          </w:tcPr>
          <w:p>
            <w:pPr>
              <w:spacing w:after="0"/>
              <w:rPr>
                <w:sz w:val="1"/>
                <w:szCs w:val="1"/>
                <w:color w:val="auto"/>
              </w:rPr>
            </w:pPr>
          </w:p>
        </w:tc>
      </w:tr>
      <w:tr>
        <w:trPr>
          <w:trHeight w:val="81"/>
        </w:trPr>
        <w:tc>
          <w:tcPr>
            <w:tcW w:w="1060" w:type="dxa"/>
            <w:vAlign w:val="bottom"/>
            <w:vMerge w:val="continue"/>
          </w:tcPr>
          <w:p>
            <w:pPr>
              <w:spacing w:after="0"/>
              <w:rPr>
                <w:sz w:val="7"/>
                <w:szCs w:val="7"/>
                <w:color w:val="auto"/>
              </w:rPr>
            </w:pPr>
          </w:p>
        </w:tc>
        <w:tc>
          <w:tcPr>
            <w:tcW w:w="10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4"/>
        </w:trPr>
        <w:tc>
          <w:tcPr>
            <w:tcW w:w="1060" w:type="dxa"/>
            <w:vAlign w:val="bottom"/>
          </w:tcPr>
          <w:p>
            <w:pPr>
              <w:spacing w:after="0"/>
              <w:rPr>
                <w:sz w:val="11"/>
                <w:szCs w:val="11"/>
                <w:color w:val="auto"/>
              </w:rPr>
            </w:pPr>
          </w:p>
        </w:tc>
        <w:tc>
          <w:tcPr>
            <w:tcW w:w="101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7168515</wp:posOffset>
            </wp:positionH>
            <wp:positionV relativeFrom="paragraph">
              <wp:posOffset>-14605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736600</wp:posOffset>
            </wp:positionH>
            <wp:positionV relativeFrom="paragraph">
              <wp:posOffset>-14605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4" w:lineRule="exact"/>
        <w:rPr>
          <w:sz w:val="20"/>
          <w:szCs w:val="20"/>
          <w:color w:val="auto"/>
        </w:rPr>
      </w:pPr>
    </w:p>
    <w:p>
      <w:pPr>
        <w:ind w:left="1500" w:hanging="336"/>
        <w:spacing w:after="0"/>
        <w:tabs>
          <w:tab w:leader="none" w:pos="1500" w:val="left"/>
        </w:tabs>
        <w:numPr>
          <w:ilvl w:val="1"/>
          <w:numId w:val="3"/>
        </w:numPr>
        <w:rPr>
          <w:rFonts w:ascii="Arial" w:cs="Arial" w:eastAsia="Arial" w:hAnsi="Arial"/>
          <w:sz w:val="18"/>
          <w:szCs w:val="18"/>
          <w:color w:val="auto"/>
        </w:rPr>
      </w:pPr>
      <w:r>
        <w:rPr>
          <w:rFonts w:ascii="Arial" w:cs="Arial" w:eastAsia="Arial" w:hAnsi="Arial"/>
          <w:sz w:val="18"/>
          <w:szCs w:val="18"/>
          <w:color w:val="auto"/>
        </w:rPr>
        <w:t>Shared Dispositive Power:</w:t>
      </w:r>
    </w:p>
    <w:p>
      <w:pPr>
        <w:spacing w:after="0" w:line="15" w:lineRule="exact"/>
        <w:rPr>
          <w:rFonts w:ascii="Arial" w:cs="Arial" w:eastAsia="Arial" w:hAnsi="Arial"/>
          <w:sz w:val="18"/>
          <w:szCs w:val="18"/>
          <w:color w:val="auto"/>
        </w:rPr>
      </w:pPr>
    </w:p>
    <w:p>
      <w:pPr>
        <w:ind w:left="1500"/>
        <w:spacing w:after="0"/>
        <w:rPr>
          <w:rFonts w:ascii="Arial" w:cs="Arial" w:eastAsia="Arial" w:hAnsi="Arial"/>
          <w:sz w:val="18"/>
          <w:szCs w:val="18"/>
          <w:color w:val="auto"/>
        </w:rPr>
      </w:pPr>
      <w:r>
        <w:rPr>
          <w:rFonts w:ascii="Arial" w:cs="Arial" w:eastAsia="Arial" w:hAnsi="Arial"/>
          <w:sz w:val="18"/>
          <w:szCs w:val="18"/>
          <w:color w:val="auto"/>
        </w:rPr>
        <w:t>2,379,375 shares</w:t>
      </w:r>
    </w:p>
    <w:p>
      <w:pPr>
        <w:spacing w:after="0" w:line="200" w:lineRule="exact"/>
        <w:rPr>
          <w:rFonts w:ascii="Arial" w:cs="Arial" w:eastAsia="Arial" w:hAnsi="Arial"/>
          <w:sz w:val="18"/>
          <w:szCs w:val="18"/>
          <w:color w:val="auto"/>
        </w:rPr>
      </w:pPr>
    </w:p>
    <w:p>
      <w:pPr>
        <w:spacing w:after="0" w:line="261" w:lineRule="exact"/>
        <w:rPr>
          <w:rFonts w:ascii="Arial" w:cs="Arial" w:eastAsia="Arial" w:hAnsi="Arial"/>
          <w:sz w:val="18"/>
          <w:szCs w:val="18"/>
          <w:color w:val="auto"/>
        </w:rPr>
      </w:pPr>
    </w:p>
    <w:p>
      <w:pPr>
        <w:ind w:left="820" w:right="5760" w:hanging="359"/>
        <w:spacing w:after="0" w:line="268" w:lineRule="auto"/>
        <w:tabs>
          <w:tab w:leader="none" w:pos="820" w:val="left"/>
        </w:tabs>
        <w:numPr>
          <w:ilvl w:val="0"/>
          <w:numId w:val="4"/>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5,141,075 shares</w:t>
      </w:r>
    </w:p>
    <w:p>
      <w:pPr>
        <w:spacing w:after="0" w:line="200" w:lineRule="exact"/>
        <w:rPr>
          <w:rFonts w:ascii="Arial" w:cs="Arial" w:eastAsia="Arial" w:hAnsi="Arial"/>
          <w:sz w:val="18"/>
          <w:szCs w:val="18"/>
          <w:color w:val="auto"/>
        </w:rPr>
      </w:pPr>
    </w:p>
    <w:p>
      <w:pPr>
        <w:spacing w:after="0" w:line="229" w:lineRule="exact"/>
        <w:rPr>
          <w:rFonts w:ascii="Arial" w:cs="Arial" w:eastAsia="Arial" w:hAnsi="Arial"/>
          <w:sz w:val="18"/>
          <w:szCs w:val="18"/>
          <w:color w:val="auto"/>
        </w:rPr>
      </w:pPr>
    </w:p>
    <w:p>
      <w:pPr>
        <w:ind w:left="820" w:right="5620" w:hanging="359"/>
        <w:spacing w:after="0" w:line="268" w:lineRule="auto"/>
        <w:tabs>
          <w:tab w:leader="none" w:pos="820" w:val="left"/>
        </w:tabs>
        <w:numPr>
          <w:ilvl w:val="0"/>
          <w:numId w:val="4"/>
        </w:numPr>
        <w:rPr>
          <w:rFonts w:ascii="Arial" w:cs="Arial" w:eastAsia="Arial" w:hAnsi="Arial"/>
          <w:sz w:val="18"/>
          <w:szCs w:val="18"/>
          <w:color w:val="auto"/>
        </w:rPr>
      </w:pPr>
      <w:r>
        <w:rPr>
          <w:rFonts w:ascii="Arial" w:cs="Arial" w:eastAsia="Arial" w:hAnsi="Arial"/>
          <w:sz w:val="18"/>
          <w:szCs w:val="18"/>
          <w:color w:val="auto"/>
        </w:rPr>
        <w:t>Check if the Aggregate Amount in Row (9) Excludes Certain Shares: o</w:t>
      </w:r>
    </w:p>
    <w:p>
      <w:pPr>
        <w:spacing w:after="0" w:line="200" w:lineRule="exact"/>
        <w:rPr>
          <w:rFonts w:ascii="Arial" w:cs="Arial" w:eastAsia="Arial" w:hAnsi="Arial"/>
          <w:sz w:val="18"/>
          <w:szCs w:val="18"/>
          <w:color w:val="auto"/>
        </w:rPr>
      </w:pPr>
    </w:p>
    <w:p>
      <w:pPr>
        <w:spacing w:after="0" w:line="229" w:lineRule="exact"/>
        <w:rPr>
          <w:rFonts w:ascii="Arial" w:cs="Arial" w:eastAsia="Arial" w:hAnsi="Arial"/>
          <w:sz w:val="18"/>
          <w:szCs w:val="18"/>
          <w:color w:val="auto"/>
        </w:rPr>
      </w:pPr>
    </w:p>
    <w:p>
      <w:pPr>
        <w:ind w:left="820" w:right="6740" w:hanging="359"/>
        <w:spacing w:after="0" w:line="268" w:lineRule="auto"/>
        <w:tabs>
          <w:tab w:leader="none" w:pos="820" w:val="left"/>
        </w:tabs>
        <w:numPr>
          <w:ilvl w:val="0"/>
          <w:numId w:val="4"/>
        </w:numPr>
        <w:rPr>
          <w:rFonts w:ascii="Arial" w:cs="Arial" w:eastAsia="Arial" w:hAnsi="Arial"/>
          <w:sz w:val="18"/>
          <w:szCs w:val="18"/>
          <w:color w:val="auto"/>
        </w:rPr>
      </w:pPr>
      <w:r>
        <w:rPr>
          <w:rFonts w:ascii="Arial" w:cs="Arial" w:eastAsia="Arial" w:hAnsi="Arial"/>
          <w:sz w:val="18"/>
          <w:szCs w:val="18"/>
          <w:color w:val="auto"/>
        </w:rPr>
        <w:t>Percent of Class Represented by Amount in Row (9): 4.2%</w:t>
      </w:r>
    </w:p>
    <w:p>
      <w:pPr>
        <w:spacing w:after="0" w:line="200" w:lineRule="exact"/>
        <w:rPr>
          <w:rFonts w:ascii="Arial" w:cs="Arial" w:eastAsia="Arial" w:hAnsi="Arial"/>
          <w:sz w:val="18"/>
          <w:szCs w:val="18"/>
          <w:color w:val="auto"/>
        </w:rPr>
      </w:pPr>
    </w:p>
    <w:p>
      <w:pPr>
        <w:spacing w:after="0" w:line="229" w:lineRule="exact"/>
        <w:rPr>
          <w:rFonts w:ascii="Arial" w:cs="Arial" w:eastAsia="Arial" w:hAnsi="Arial"/>
          <w:sz w:val="18"/>
          <w:szCs w:val="18"/>
          <w:color w:val="auto"/>
        </w:rPr>
      </w:pPr>
    </w:p>
    <w:p>
      <w:pPr>
        <w:ind w:left="820" w:hanging="359"/>
        <w:spacing w:after="0"/>
        <w:tabs>
          <w:tab w:leader="none" w:pos="820" w:val="left"/>
        </w:tabs>
        <w:numPr>
          <w:ilvl w:val="0"/>
          <w:numId w:val="4"/>
        </w:numPr>
        <w:rPr>
          <w:rFonts w:ascii="Arial" w:cs="Arial" w:eastAsia="Arial" w:hAnsi="Arial"/>
          <w:sz w:val="18"/>
          <w:szCs w:val="18"/>
          <w:color w:val="auto"/>
        </w:rPr>
      </w:pPr>
      <w:r>
        <w:rPr>
          <w:rFonts w:ascii="Arial" w:cs="Arial" w:eastAsia="Arial" w:hAnsi="Arial"/>
          <w:sz w:val="18"/>
          <w:szCs w:val="18"/>
          <w:color w:val="auto"/>
        </w:rPr>
        <w:t>Type of Reporting Person:</w:t>
      </w:r>
    </w:p>
    <w:p>
      <w:pPr>
        <w:spacing w:after="0" w:line="15" w:lineRule="exact"/>
        <w:rPr>
          <w:rFonts w:ascii="Arial" w:cs="Arial" w:eastAsia="Arial" w:hAnsi="Arial"/>
          <w:sz w:val="18"/>
          <w:szCs w:val="18"/>
          <w:color w:val="auto"/>
        </w:rPr>
      </w:pPr>
    </w:p>
    <w:p>
      <w:pPr>
        <w:ind w:left="820"/>
        <w:spacing w:after="0"/>
        <w:rPr>
          <w:rFonts w:ascii="Arial" w:cs="Arial" w:eastAsia="Arial" w:hAnsi="Arial"/>
          <w:sz w:val="18"/>
          <w:szCs w:val="18"/>
          <w:color w:val="auto"/>
        </w:rPr>
      </w:pPr>
      <w:r>
        <w:rPr>
          <w:rFonts w:ascii="Arial" w:cs="Arial" w:eastAsia="Arial" w:hAnsi="Arial"/>
          <w:sz w:val="18"/>
          <w:szCs w:val="18"/>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-2120900</wp:posOffset>
            </wp:positionV>
            <wp:extent cx="718185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81850" cy="215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-1555115</wp:posOffset>
            </wp:positionV>
            <wp:extent cx="718185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81850" cy="215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-989330</wp:posOffset>
            </wp:positionV>
            <wp:extent cx="718185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81850" cy="215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-422910</wp:posOffset>
            </wp:positionV>
            <wp:extent cx="718185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81850" cy="215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142240</wp:posOffset>
            </wp:positionV>
            <wp:extent cx="718185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146050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300" w:top="1320" w:right="299" w:bottom="1440" w:gutter="0" w:footer="0" w:header="0"/>
          <w:type w:val="continuous"/>
        </w:sectPr>
      </w:pPr>
    </w:p>
    <w:bookmarkStart w:id="3" w:name="page4"/>
    <w:bookmarkEnd w:id="3"/>
    <w:p>
      <w:pPr>
        <w:jc w:val="center"/>
        <w:spacing w:after="0"/>
        <w:rPr>
          <w:sz w:val="20"/>
          <w:szCs w:val="20"/>
          <w:color w:val="auto"/>
        </w:rPr>
      </w:pPr>
      <w:r>
        <w:rPr>
          <w:rFonts w:ascii="Arial" w:cs="Arial" w:eastAsia="Arial" w:hAnsi="Arial"/>
          <w:sz w:val="18"/>
          <w:szCs w:val="18"/>
          <w:color w:val="auto"/>
        </w:rPr>
        <w:t>13G</w:t>
      </w: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w:t>
      </w:r>
    </w:p>
    <w:p>
      <w:pPr>
        <w:spacing w:after="0" w:line="123" w:lineRule="exact"/>
        <w:rPr>
          <w:sz w:val="20"/>
          <w:szCs w:val="20"/>
          <w:color w:val="auto"/>
        </w:rPr>
      </w:pPr>
    </w:p>
    <w:p>
      <w:pPr>
        <w:ind w:left="1720" w:hanging="570"/>
        <w:spacing w:after="0"/>
        <w:tabs>
          <w:tab w:leader="none" w:pos="1720" w:val="left"/>
        </w:tabs>
        <w:numPr>
          <w:ilvl w:val="0"/>
          <w:numId w:val="5"/>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117" w:lineRule="exact"/>
        <w:rPr>
          <w:rFonts w:ascii="Arial" w:cs="Arial" w:eastAsia="Arial" w:hAnsi="Arial"/>
          <w:sz w:val="18"/>
          <w:szCs w:val="18"/>
          <w:color w:val="auto"/>
        </w:rPr>
      </w:pPr>
    </w:p>
    <w:p>
      <w:pPr>
        <w:ind w:left="172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17" w:lineRule="exact"/>
        <w:rPr>
          <w:rFonts w:ascii="Arial" w:cs="Arial" w:eastAsia="Arial" w:hAnsi="Arial"/>
          <w:sz w:val="18"/>
          <w:szCs w:val="18"/>
          <w:color w:val="auto"/>
        </w:rPr>
      </w:pPr>
    </w:p>
    <w:p>
      <w:pPr>
        <w:ind w:left="1720" w:hanging="570"/>
        <w:spacing w:after="0"/>
        <w:tabs>
          <w:tab w:leader="none" w:pos="1720" w:val="left"/>
        </w:tabs>
        <w:numPr>
          <w:ilvl w:val="0"/>
          <w:numId w:val="5"/>
        </w:numPr>
        <w:rPr>
          <w:rFonts w:ascii="Arial" w:cs="Arial" w:eastAsia="Arial" w:hAnsi="Arial"/>
          <w:sz w:val="18"/>
          <w:szCs w:val="18"/>
          <w:color w:val="auto"/>
        </w:rPr>
      </w:pPr>
      <w:r>
        <w:rPr>
          <w:rFonts w:ascii="Arial" w:cs="Arial" w:eastAsia="Arial" w:hAnsi="Arial"/>
          <w:sz w:val="18"/>
          <w:szCs w:val="18"/>
          <w:color w:val="auto"/>
        </w:rPr>
        <w:t>Address of Issuer’s Principal Executive Offices:</w:t>
      </w:r>
    </w:p>
    <w:p>
      <w:pPr>
        <w:spacing w:after="0" w:line="117" w:lineRule="exact"/>
        <w:rPr>
          <w:rFonts w:ascii="Arial" w:cs="Arial" w:eastAsia="Arial" w:hAnsi="Arial"/>
          <w:sz w:val="18"/>
          <w:szCs w:val="18"/>
          <w:color w:val="auto"/>
        </w:rPr>
      </w:pPr>
    </w:p>
    <w:p>
      <w:pPr>
        <w:ind w:left="1720" w:right="7340"/>
        <w:spacing w:after="0" w:line="254" w:lineRule="auto"/>
        <w:rPr>
          <w:rFonts w:ascii="Arial" w:cs="Arial" w:eastAsia="Arial" w:hAnsi="Arial"/>
          <w:sz w:val="18"/>
          <w:szCs w:val="18"/>
          <w:color w:val="auto"/>
        </w:rPr>
      </w:pPr>
      <w:r>
        <w:rPr>
          <w:rFonts w:ascii="Arial" w:cs="Arial" w:eastAsia="Arial" w:hAnsi="Arial"/>
          <w:sz w:val="18"/>
          <w:szCs w:val="18"/>
          <w:color w:val="auto"/>
        </w:rPr>
        <w:t>Marvell Technology Group Ltd. Richmond House</w:t>
      </w:r>
    </w:p>
    <w:p>
      <w:pPr>
        <w:ind w:left="1720"/>
        <w:spacing w:after="0"/>
        <w:rPr>
          <w:rFonts w:ascii="Arial" w:cs="Arial" w:eastAsia="Arial" w:hAnsi="Arial"/>
          <w:sz w:val="18"/>
          <w:szCs w:val="18"/>
          <w:color w:val="auto"/>
        </w:rPr>
      </w:pPr>
      <w:r>
        <w:rPr>
          <w:rFonts w:ascii="Arial" w:cs="Arial" w:eastAsia="Arial" w:hAnsi="Arial"/>
          <w:sz w:val="18"/>
          <w:szCs w:val="18"/>
          <w:color w:val="auto"/>
        </w:rPr>
        <w:t>3rd Floor</w:t>
      </w:r>
    </w:p>
    <w:p>
      <w:pPr>
        <w:spacing w:after="0" w:line="9" w:lineRule="exact"/>
        <w:rPr>
          <w:rFonts w:ascii="Arial" w:cs="Arial" w:eastAsia="Arial" w:hAnsi="Arial"/>
          <w:sz w:val="18"/>
          <w:szCs w:val="18"/>
          <w:color w:val="auto"/>
        </w:rPr>
      </w:pPr>
    </w:p>
    <w:p>
      <w:pPr>
        <w:ind w:left="1720" w:right="8300"/>
        <w:spacing w:after="0" w:line="302" w:lineRule="auto"/>
        <w:rPr>
          <w:rFonts w:ascii="Arial" w:cs="Arial" w:eastAsia="Arial" w:hAnsi="Arial"/>
          <w:sz w:val="18"/>
          <w:szCs w:val="18"/>
          <w:color w:val="auto"/>
        </w:rPr>
      </w:pPr>
      <w:r>
        <w:rPr>
          <w:rFonts w:ascii="Arial" w:cs="Arial" w:eastAsia="Arial" w:hAnsi="Arial"/>
          <w:sz w:val="16"/>
          <w:szCs w:val="16"/>
          <w:color w:val="auto"/>
        </w:rPr>
        <w:t>Par la Ville Road Hamilton HM DX Bermuda</w:t>
      </w:r>
    </w:p>
    <w:p>
      <w:pPr>
        <w:spacing w:after="0" w:line="3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w:t>
      </w:r>
    </w:p>
    <w:p>
      <w:pPr>
        <w:spacing w:after="0" w:line="123" w:lineRule="exact"/>
        <w:rPr>
          <w:sz w:val="20"/>
          <w:szCs w:val="20"/>
          <w:color w:val="auto"/>
        </w:rPr>
      </w:pPr>
    </w:p>
    <w:p>
      <w:pPr>
        <w:ind w:left="1720" w:right="7940" w:hanging="570"/>
        <w:spacing w:after="0" w:line="422" w:lineRule="auto"/>
        <w:tabs>
          <w:tab w:leader="none" w:pos="1720" w:val="left"/>
        </w:tabs>
        <w:numPr>
          <w:ilvl w:val="0"/>
          <w:numId w:val="6"/>
        </w:numPr>
        <w:rPr>
          <w:rFonts w:ascii="Arial" w:cs="Arial" w:eastAsia="Arial" w:hAnsi="Arial"/>
          <w:sz w:val="16"/>
          <w:szCs w:val="16"/>
          <w:color w:val="auto"/>
        </w:rPr>
      </w:pPr>
      <w:r>
        <w:rPr>
          <w:rFonts w:ascii="Arial" w:cs="Arial" w:eastAsia="Arial" w:hAnsi="Arial"/>
          <w:sz w:val="16"/>
          <w:szCs w:val="16"/>
          <w:color w:val="auto"/>
        </w:rPr>
        <w:t>Name of Person Filing: Diosdado P. Banatao</w:t>
      </w:r>
    </w:p>
    <w:p>
      <w:pPr>
        <w:spacing w:after="0" w:line="1" w:lineRule="exact"/>
        <w:rPr>
          <w:rFonts w:ascii="Arial" w:cs="Arial" w:eastAsia="Arial" w:hAnsi="Arial"/>
          <w:sz w:val="16"/>
          <w:szCs w:val="16"/>
          <w:color w:val="auto"/>
        </w:rPr>
      </w:pPr>
    </w:p>
    <w:p>
      <w:pPr>
        <w:ind w:left="1720" w:hanging="570"/>
        <w:spacing w:after="0"/>
        <w:tabs>
          <w:tab w:leader="none" w:pos="172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w:t>
      </w:r>
    </w:p>
    <w:p>
      <w:pPr>
        <w:spacing w:after="0" w:line="117" w:lineRule="exact"/>
        <w:rPr>
          <w:rFonts w:ascii="Arial" w:cs="Arial" w:eastAsia="Arial" w:hAnsi="Arial"/>
          <w:sz w:val="18"/>
          <w:szCs w:val="18"/>
          <w:color w:val="auto"/>
        </w:rPr>
      </w:pPr>
    </w:p>
    <w:p>
      <w:pPr>
        <w:ind w:left="1720"/>
        <w:spacing w:after="0"/>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15" w:lineRule="exact"/>
        <w:rPr>
          <w:rFonts w:ascii="Arial" w:cs="Arial" w:eastAsia="Arial" w:hAnsi="Arial"/>
          <w:sz w:val="18"/>
          <w:szCs w:val="18"/>
          <w:color w:val="auto"/>
        </w:rPr>
      </w:pPr>
    </w:p>
    <w:p>
      <w:pPr>
        <w:ind w:left="1720" w:right="7560"/>
        <w:spacing w:after="0" w:line="323" w:lineRule="auto"/>
        <w:rPr>
          <w:rFonts w:ascii="Arial" w:cs="Arial" w:eastAsia="Arial" w:hAnsi="Arial"/>
          <w:sz w:val="18"/>
          <w:szCs w:val="18"/>
          <w:color w:val="auto"/>
        </w:rPr>
      </w:pPr>
      <w:r>
        <w:rPr>
          <w:rFonts w:ascii="Arial" w:cs="Arial" w:eastAsia="Arial" w:hAnsi="Arial"/>
          <w:sz w:val="16"/>
          <w:szCs w:val="16"/>
          <w:color w:val="auto"/>
        </w:rPr>
        <w:t>645 Almanor Avenue Sunnyvale, California 94085</w:t>
      </w:r>
    </w:p>
    <w:p>
      <w:pPr>
        <w:spacing w:after="0" w:line="38" w:lineRule="exact"/>
        <w:rPr>
          <w:rFonts w:ascii="Arial" w:cs="Arial" w:eastAsia="Arial" w:hAnsi="Arial"/>
          <w:sz w:val="18"/>
          <w:szCs w:val="18"/>
          <w:color w:val="auto"/>
        </w:rPr>
      </w:pPr>
    </w:p>
    <w:p>
      <w:pPr>
        <w:ind w:left="1720" w:right="8640" w:hanging="570"/>
        <w:spacing w:after="0" w:line="451" w:lineRule="auto"/>
        <w:tabs>
          <w:tab w:leader="none" w:pos="1720" w:val="left"/>
        </w:tabs>
        <w:numPr>
          <w:ilvl w:val="0"/>
          <w:numId w:val="6"/>
        </w:numPr>
        <w:rPr>
          <w:rFonts w:ascii="Arial" w:cs="Arial" w:eastAsia="Arial" w:hAnsi="Arial"/>
          <w:sz w:val="15"/>
          <w:szCs w:val="15"/>
          <w:color w:val="auto"/>
        </w:rPr>
      </w:pPr>
      <w:r>
        <w:rPr>
          <w:rFonts w:ascii="Arial" w:cs="Arial" w:eastAsia="Arial" w:hAnsi="Arial"/>
          <w:sz w:val="15"/>
          <w:szCs w:val="15"/>
          <w:color w:val="auto"/>
        </w:rPr>
        <w:t>Citizenship: United States</w:t>
      </w:r>
    </w:p>
    <w:p>
      <w:pPr>
        <w:ind w:left="1720" w:hanging="570"/>
        <w:spacing w:after="0"/>
        <w:tabs>
          <w:tab w:leader="none" w:pos="1720" w:val="left"/>
        </w:tabs>
        <w:numPr>
          <w:ilvl w:val="0"/>
          <w:numId w:val="6"/>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117" w:lineRule="exact"/>
        <w:rPr>
          <w:rFonts w:ascii="Arial" w:cs="Arial" w:eastAsia="Arial" w:hAnsi="Arial"/>
          <w:sz w:val="18"/>
          <w:szCs w:val="18"/>
          <w:color w:val="auto"/>
        </w:rPr>
      </w:pPr>
    </w:p>
    <w:p>
      <w:pPr>
        <w:ind w:left="1720"/>
        <w:spacing w:after="0"/>
        <w:rPr>
          <w:rFonts w:ascii="Arial" w:cs="Arial" w:eastAsia="Arial" w:hAnsi="Arial"/>
          <w:sz w:val="18"/>
          <w:szCs w:val="18"/>
          <w:color w:val="auto"/>
        </w:rPr>
      </w:pPr>
      <w:r>
        <w:rPr>
          <w:rFonts w:ascii="Arial" w:cs="Arial" w:eastAsia="Arial" w:hAnsi="Arial"/>
          <w:sz w:val="18"/>
          <w:szCs w:val="18"/>
          <w:color w:val="auto"/>
        </w:rPr>
        <w:t>Common stock, par value $0.002 per share</w:t>
      </w:r>
    </w:p>
    <w:p>
      <w:pPr>
        <w:spacing w:after="0" w:line="117" w:lineRule="exact"/>
        <w:rPr>
          <w:rFonts w:ascii="Arial" w:cs="Arial" w:eastAsia="Arial" w:hAnsi="Arial"/>
          <w:sz w:val="18"/>
          <w:szCs w:val="18"/>
          <w:color w:val="auto"/>
        </w:rPr>
      </w:pPr>
    </w:p>
    <w:p>
      <w:pPr>
        <w:ind w:left="1720" w:right="8420" w:hanging="570"/>
        <w:spacing w:after="0" w:line="472" w:lineRule="auto"/>
        <w:tabs>
          <w:tab w:leader="none" w:pos="1720" w:val="left"/>
        </w:tabs>
        <w:numPr>
          <w:ilvl w:val="0"/>
          <w:numId w:val="6"/>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243" w:lineRule="exact"/>
        <w:rPr>
          <w:sz w:val="20"/>
          <w:szCs w:val="20"/>
          <w:color w:val="auto"/>
        </w:rPr>
      </w:pPr>
    </w:p>
    <w:p>
      <w:pPr>
        <w:spacing w:after="0"/>
        <w:tabs>
          <w:tab w:leader="none" w:pos="114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color w:val="auto"/>
        </w:rPr>
        <w:t>If this statement is filed pursuant to §§240.13d-1(b) or 240.13d-2(b) or (c), check whether the person filing is a:</w:t>
      </w:r>
    </w:p>
    <w:p>
      <w:pPr>
        <w:spacing w:after="0" w:line="84" w:lineRule="exact"/>
        <w:rPr>
          <w:sz w:val="20"/>
          <w:szCs w:val="20"/>
          <w:color w:val="auto"/>
        </w:rPr>
      </w:pPr>
    </w:p>
    <w:p>
      <w:pPr>
        <w:ind w:left="1720"/>
        <w:spacing w:after="0" w:line="242" w:lineRule="exact"/>
        <w:rPr>
          <w:sz w:val="20"/>
          <w:szCs w:val="20"/>
          <w:color w:val="auto"/>
        </w:rPr>
      </w:pPr>
      <w:r>
        <w:rPr>
          <w:rFonts w:ascii="MS PGothic" w:cs="MS PGothic" w:eastAsia="MS PGothic" w:hAnsi="MS PGothic"/>
          <w:sz w:val="21"/>
          <w:szCs w:val="21"/>
          <w:color w:val="auto"/>
        </w:rPr>
        <w:t>☒</w:t>
      </w:r>
      <w:r>
        <w:rPr>
          <w:rFonts w:ascii="Arial" w:cs="Arial" w:eastAsia="Arial" w:hAnsi="Arial"/>
          <w:sz w:val="16"/>
          <w:szCs w:val="16"/>
          <w:color w:val="auto"/>
        </w:rPr>
        <w:t>Not Applicable.</w:t>
      </w:r>
    </w:p>
    <w:p>
      <w:pPr>
        <w:spacing w:after="0" w:line="149" w:lineRule="exact"/>
        <w:rPr>
          <w:sz w:val="20"/>
          <w:szCs w:val="20"/>
          <w:color w:val="auto"/>
        </w:rPr>
      </w:pPr>
    </w:p>
    <w:p>
      <w:pPr>
        <w:ind w:left="1720" w:hanging="570"/>
        <w:spacing w:after="0"/>
        <w:tabs>
          <w:tab w:leader="none" w:pos="1720" w:val="left"/>
        </w:tabs>
        <w:numPr>
          <w:ilvl w:val="0"/>
          <w:numId w:val="7"/>
        </w:numPr>
        <w:rPr>
          <w:rFonts w:ascii="Arial" w:cs="Arial" w:eastAsia="Arial" w:hAnsi="Arial"/>
          <w:sz w:val="18"/>
          <w:szCs w:val="18"/>
          <w:color w:val="auto"/>
        </w:rPr>
      </w:pPr>
      <w:r>
        <w:rPr>
          <w:rFonts w:ascii="Arial" w:cs="Arial" w:eastAsia="Arial" w:hAnsi="Arial"/>
          <w:sz w:val="22"/>
          <w:szCs w:val="22"/>
          <w:color w:val="auto"/>
        </w:rPr>
        <w:t>o</w:t>
      </w:r>
      <w:r>
        <w:rPr>
          <w:rFonts w:ascii="Arial" w:cs="Arial" w:eastAsia="Arial" w:hAnsi="Arial"/>
          <w:sz w:val="15"/>
          <w:szCs w:val="15"/>
          <w:color w:val="auto"/>
        </w:rPr>
        <w:t>Broker or dealer registered under section 15 of the Act (15 U.S.C. 78o).</w:t>
      </w:r>
    </w:p>
    <w:p>
      <w:pPr>
        <w:spacing w:after="0" w:line="98" w:lineRule="exact"/>
        <w:rPr>
          <w:rFonts w:ascii="Arial" w:cs="Arial" w:eastAsia="Arial" w:hAnsi="Arial"/>
          <w:sz w:val="18"/>
          <w:szCs w:val="18"/>
          <w:color w:val="auto"/>
        </w:rPr>
      </w:pPr>
    </w:p>
    <w:p>
      <w:pPr>
        <w:ind w:left="1720" w:hanging="570"/>
        <w:spacing w:after="0"/>
        <w:tabs>
          <w:tab w:leader="none" w:pos="1720" w:val="left"/>
        </w:tabs>
        <w:numPr>
          <w:ilvl w:val="0"/>
          <w:numId w:val="7"/>
        </w:numPr>
        <w:rPr>
          <w:rFonts w:ascii="Arial" w:cs="Arial" w:eastAsia="Arial" w:hAnsi="Arial"/>
          <w:sz w:val="18"/>
          <w:szCs w:val="18"/>
          <w:color w:val="auto"/>
        </w:rPr>
      </w:pPr>
      <w:r>
        <w:rPr>
          <w:rFonts w:ascii="Arial" w:cs="Arial" w:eastAsia="Arial" w:hAnsi="Arial"/>
          <w:sz w:val="22"/>
          <w:szCs w:val="22"/>
          <w:color w:val="auto"/>
        </w:rPr>
        <w:t>o</w:t>
      </w:r>
      <w:r>
        <w:rPr>
          <w:rFonts w:ascii="Arial" w:cs="Arial" w:eastAsia="Arial" w:hAnsi="Arial"/>
          <w:sz w:val="16"/>
          <w:szCs w:val="16"/>
          <w:color w:val="auto"/>
        </w:rPr>
        <w:t>Bank as defined in section 3(a)(6) of the Act (15 U.S.C. 78c).</w:t>
      </w:r>
    </w:p>
    <w:p>
      <w:pPr>
        <w:spacing w:after="0" w:line="98" w:lineRule="exact"/>
        <w:rPr>
          <w:rFonts w:ascii="Arial" w:cs="Arial" w:eastAsia="Arial" w:hAnsi="Arial"/>
          <w:sz w:val="18"/>
          <w:szCs w:val="18"/>
          <w:color w:val="auto"/>
        </w:rPr>
      </w:pPr>
    </w:p>
    <w:p>
      <w:pPr>
        <w:ind w:left="1720" w:hanging="570"/>
        <w:spacing w:after="0"/>
        <w:tabs>
          <w:tab w:leader="none" w:pos="1720" w:val="left"/>
        </w:tabs>
        <w:numPr>
          <w:ilvl w:val="0"/>
          <w:numId w:val="7"/>
        </w:numPr>
        <w:rPr>
          <w:rFonts w:ascii="Arial" w:cs="Arial" w:eastAsia="Arial" w:hAnsi="Arial"/>
          <w:sz w:val="18"/>
          <w:szCs w:val="18"/>
          <w:color w:val="auto"/>
        </w:rPr>
      </w:pPr>
      <w:r>
        <w:rPr>
          <w:rFonts w:ascii="Arial" w:cs="Arial" w:eastAsia="Arial" w:hAnsi="Arial"/>
          <w:sz w:val="22"/>
          <w:szCs w:val="22"/>
          <w:color w:val="auto"/>
        </w:rPr>
        <w:t>o</w:t>
      </w:r>
      <w:r>
        <w:rPr>
          <w:rFonts w:ascii="Arial" w:cs="Arial" w:eastAsia="Arial" w:hAnsi="Arial"/>
          <w:sz w:val="15"/>
          <w:szCs w:val="15"/>
          <w:color w:val="auto"/>
        </w:rPr>
        <w:t>Insurance company as defined in section 3(a)(19) of the Act (15 U.S.C. 78c).</w:t>
      </w:r>
    </w:p>
    <w:p>
      <w:pPr>
        <w:spacing w:after="0" w:line="98" w:lineRule="exact"/>
        <w:rPr>
          <w:rFonts w:ascii="Arial" w:cs="Arial" w:eastAsia="Arial" w:hAnsi="Arial"/>
          <w:sz w:val="18"/>
          <w:szCs w:val="18"/>
          <w:color w:val="auto"/>
        </w:rPr>
      </w:pPr>
    </w:p>
    <w:p>
      <w:pPr>
        <w:ind w:left="1720" w:hanging="570"/>
        <w:spacing w:after="0"/>
        <w:tabs>
          <w:tab w:leader="none" w:pos="1720" w:val="left"/>
        </w:tabs>
        <w:numPr>
          <w:ilvl w:val="0"/>
          <w:numId w:val="7"/>
        </w:numPr>
        <w:rPr>
          <w:rFonts w:ascii="Arial" w:cs="Arial" w:eastAsia="Arial" w:hAnsi="Arial"/>
          <w:sz w:val="18"/>
          <w:szCs w:val="18"/>
          <w:color w:val="auto"/>
        </w:rPr>
      </w:pPr>
      <w:r>
        <w:rPr>
          <w:rFonts w:ascii="Arial" w:cs="Arial" w:eastAsia="Arial" w:hAnsi="Arial"/>
          <w:sz w:val="22"/>
          <w:szCs w:val="22"/>
          <w:color w:val="auto"/>
        </w:rPr>
        <w:t>o</w:t>
      </w:r>
      <w:r>
        <w:rPr>
          <w:rFonts w:ascii="Arial" w:cs="Arial" w:eastAsia="Arial" w:hAnsi="Arial"/>
          <w:sz w:val="15"/>
          <w:szCs w:val="15"/>
          <w:color w:val="auto"/>
        </w:rPr>
        <w:t>Investment company registered under section 8 of the Investment Company Act of 1940 (15 U.S.C. 80a-8).</w:t>
      </w:r>
    </w:p>
    <w:p>
      <w:pPr>
        <w:spacing w:after="0" w:line="98" w:lineRule="exact"/>
        <w:rPr>
          <w:rFonts w:ascii="Arial" w:cs="Arial" w:eastAsia="Arial" w:hAnsi="Arial"/>
          <w:sz w:val="18"/>
          <w:szCs w:val="18"/>
          <w:color w:val="auto"/>
        </w:rPr>
      </w:pPr>
    </w:p>
    <w:p>
      <w:pPr>
        <w:ind w:left="1720" w:hanging="570"/>
        <w:spacing w:after="0"/>
        <w:tabs>
          <w:tab w:leader="none" w:pos="1720" w:val="left"/>
        </w:tabs>
        <w:numPr>
          <w:ilvl w:val="0"/>
          <w:numId w:val="7"/>
        </w:numPr>
        <w:rPr>
          <w:rFonts w:ascii="Arial" w:cs="Arial" w:eastAsia="Arial" w:hAnsi="Arial"/>
          <w:sz w:val="18"/>
          <w:szCs w:val="18"/>
          <w:color w:val="auto"/>
        </w:rPr>
      </w:pPr>
      <w:r>
        <w:rPr>
          <w:rFonts w:ascii="Arial" w:cs="Arial" w:eastAsia="Arial" w:hAnsi="Arial"/>
          <w:sz w:val="22"/>
          <w:szCs w:val="22"/>
          <w:color w:val="auto"/>
        </w:rPr>
        <w:t>o</w:t>
      </w:r>
      <w:r>
        <w:rPr>
          <w:rFonts w:ascii="Arial" w:cs="Arial" w:eastAsia="Arial" w:hAnsi="Arial"/>
          <w:sz w:val="16"/>
          <w:szCs w:val="16"/>
          <w:color w:val="auto"/>
        </w:rPr>
        <w:t>An investment adviser in accordance with §240.13d-1(b)(1)(ii)(E);</w:t>
      </w:r>
    </w:p>
    <w:p>
      <w:pPr>
        <w:spacing w:after="0" w:line="98" w:lineRule="exact"/>
        <w:rPr>
          <w:rFonts w:ascii="Arial" w:cs="Arial" w:eastAsia="Arial" w:hAnsi="Arial"/>
          <w:sz w:val="18"/>
          <w:szCs w:val="18"/>
          <w:color w:val="auto"/>
        </w:rPr>
      </w:pPr>
    </w:p>
    <w:p>
      <w:pPr>
        <w:ind w:left="1720" w:hanging="570"/>
        <w:spacing w:after="0"/>
        <w:tabs>
          <w:tab w:leader="none" w:pos="1720" w:val="left"/>
        </w:tabs>
        <w:numPr>
          <w:ilvl w:val="0"/>
          <w:numId w:val="7"/>
        </w:numPr>
        <w:rPr>
          <w:rFonts w:ascii="Arial" w:cs="Arial" w:eastAsia="Arial" w:hAnsi="Arial"/>
          <w:sz w:val="18"/>
          <w:szCs w:val="18"/>
          <w:color w:val="auto"/>
        </w:rPr>
      </w:pPr>
      <w:r>
        <w:rPr>
          <w:rFonts w:ascii="Arial" w:cs="Arial" w:eastAsia="Arial" w:hAnsi="Arial"/>
          <w:sz w:val="22"/>
          <w:szCs w:val="22"/>
          <w:color w:val="auto"/>
        </w:rPr>
        <w:t>o</w:t>
      </w:r>
      <w:r>
        <w:rPr>
          <w:rFonts w:ascii="Arial" w:cs="Arial" w:eastAsia="Arial" w:hAnsi="Arial"/>
          <w:sz w:val="16"/>
          <w:szCs w:val="16"/>
          <w:color w:val="auto"/>
        </w:rPr>
        <w:t>An employee benefit plan or endowment fund in accordance with §240.13d-1(b)(1)(ii)(F);</w:t>
      </w:r>
    </w:p>
    <w:p>
      <w:pPr>
        <w:spacing w:after="0" w:line="98" w:lineRule="exact"/>
        <w:rPr>
          <w:rFonts w:ascii="Arial" w:cs="Arial" w:eastAsia="Arial" w:hAnsi="Arial"/>
          <w:sz w:val="18"/>
          <w:szCs w:val="18"/>
          <w:color w:val="auto"/>
        </w:rPr>
      </w:pPr>
    </w:p>
    <w:p>
      <w:pPr>
        <w:ind w:left="1720" w:hanging="570"/>
        <w:spacing w:after="0"/>
        <w:tabs>
          <w:tab w:leader="none" w:pos="1720" w:val="left"/>
        </w:tabs>
        <w:numPr>
          <w:ilvl w:val="0"/>
          <w:numId w:val="7"/>
        </w:numPr>
        <w:rPr>
          <w:rFonts w:ascii="Arial" w:cs="Arial" w:eastAsia="Arial" w:hAnsi="Arial"/>
          <w:sz w:val="18"/>
          <w:szCs w:val="18"/>
          <w:color w:val="auto"/>
        </w:rPr>
      </w:pPr>
      <w:r>
        <w:rPr>
          <w:rFonts w:ascii="Arial" w:cs="Arial" w:eastAsia="Arial" w:hAnsi="Arial"/>
          <w:sz w:val="22"/>
          <w:szCs w:val="22"/>
          <w:color w:val="auto"/>
        </w:rPr>
        <w:t>o</w:t>
      </w:r>
      <w:r>
        <w:rPr>
          <w:rFonts w:ascii="Arial" w:cs="Arial" w:eastAsia="Arial" w:hAnsi="Arial"/>
          <w:sz w:val="16"/>
          <w:szCs w:val="16"/>
          <w:color w:val="auto"/>
        </w:rPr>
        <w:t>A parent holding company or control person in accordance with § 240.13d-1(b)(1)(ii)(G);</w:t>
      </w:r>
    </w:p>
    <w:p>
      <w:pPr>
        <w:spacing w:after="0" w:line="98" w:lineRule="exact"/>
        <w:rPr>
          <w:rFonts w:ascii="Arial" w:cs="Arial" w:eastAsia="Arial" w:hAnsi="Arial"/>
          <w:sz w:val="18"/>
          <w:szCs w:val="18"/>
          <w:color w:val="auto"/>
        </w:rPr>
      </w:pPr>
    </w:p>
    <w:p>
      <w:pPr>
        <w:ind w:left="1720" w:hanging="570"/>
        <w:spacing w:after="0"/>
        <w:tabs>
          <w:tab w:leader="none" w:pos="1720" w:val="left"/>
        </w:tabs>
        <w:numPr>
          <w:ilvl w:val="0"/>
          <w:numId w:val="7"/>
        </w:numPr>
        <w:rPr>
          <w:rFonts w:ascii="Arial" w:cs="Arial" w:eastAsia="Arial" w:hAnsi="Arial"/>
          <w:sz w:val="18"/>
          <w:szCs w:val="18"/>
          <w:color w:val="auto"/>
        </w:rPr>
      </w:pPr>
      <w:r>
        <w:rPr>
          <w:rFonts w:ascii="Arial" w:cs="Arial" w:eastAsia="Arial" w:hAnsi="Arial"/>
          <w:sz w:val="22"/>
          <w:szCs w:val="22"/>
          <w:color w:val="auto"/>
        </w:rPr>
        <w:t>o</w:t>
      </w:r>
      <w:r>
        <w:rPr>
          <w:rFonts w:ascii="Arial" w:cs="Arial" w:eastAsia="Arial" w:hAnsi="Arial"/>
          <w:sz w:val="15"/>
          <w:szCs w:val="15"/>
          <w:color w:val="auto"/>
        </w:rPr>
        <w:t>A savings associations as defined in Section 3(b) of the Federal Deposit Insurance Act (12 U.S.C. 1813);</w:t>
      </w:r>
    </w:p>
    <w:p>
      <w:pPr>
        <w:spacing w:after="0" w:line="111" w:lineRule="exact"/>
        <w:rPr>
          <w:sz w:val="20"/>
          <w:szCs w:val="20"/>
          <w:color w:val="auto"/>
        </w:rPr>
      </w:pPr>
    </w:p>
    <w:tbl>
      <w:tblPr>
        <w:tblLayout w:type="fixed"/>
        <w:tblInd w:w="1160" w:type="dxa"/>
        <w:tblCellMar>
          <w:top w:w="0" w:type="dxa"/>
          <w:left w:w="0" w:type="dxa"/>
          <w:bottom w:w="0" w:type="dxa"/>
          <w:right w:w="0" w:type="dxa"/>
        </w:tblCellMar>
      </w:tblPr>
      <w:tr>
        <w:trPr>
          <w:trHeight w:val="216"/>
        </w:trPr>
        <w:tc>
          <w:tcPr>
            <w:tcW w:w="360" w:type="dxa"/>
            <w:vAlign w:val="bottom"/>
            <w:vMerge w:val="restart"/>
          </w:tcPr>
          <w:p>
            <w:pPr>
              <w:spacing w:after="0"/>
              <w:rPr>
                <w:sz w:val="20"/>
                <w:szCs w:val="20"/>
                <w:color w:val="auto"/>
              </w:rPr>
            </w:pPr>
            <w:r>
              <w:rPr>
                <w:rFonts w:ascii="Arial" w:cs="Arial" w:eastAsia="Arial" w:hAnsi="Arial"/>
                <w:sz w:val="18"/>
                <w:szCs w:val="18"/>
                <w:color w:val="auto"/>
              </w:rPr>
              <w:t>(i)</w:t>
            </w:r>
          </w:p>
        </w:tc>
        <w:tc>
          <w:tcPr>
            <w:tcW w:w="540" w:type="dxa"/>
            <w:vAlign w:val="bottom"/>
            <w:vMerge w:val="restart"/>
          </w:tcPr>
          <w:p>
            <w:pPr>
              <w:ind w:left="200"/>
              <w:spacing w:after="0"/>
              <w:rPr>
                <w:sz w:val="20"/>
                <w:szCs w:val="20"/>
                <w:color w:val="auto"/>
              </w:rPr>
            </w:pPr>
            <w:r>
              <w:rPr>
                <w:rFonts w:ascii="Arial" w:cs="Arial" w:eastAsia="Arial" w:hAnsi="Arial"/>
                <w:sz w:val="22"/>
                <w:szCs w:val="22"/>
                <w:color w:val="auto"/>
              </w:rPr>
              <w:t>o</w:t>
            </w:r>
          </w:p>
        </w:tc>
        <w:tc>
          <w:tcPr>
            <w:tcW w:w="9240" w:type="dxa"/>
            <w:vAlign w:val="bottom"/>
          </w:tcPr>
          <w:p>
            <w:pPr>
              <w:ind w:left="220"/>
              <w:spacing w:after="0"/>
              <w:rPr>
                <w:sz w:val="20"/>
                <w:szCs w:val="20"/>
                <w:color w:val="auto"/>
              </w:rPr>
            </w:pPr>
            <w:r>
              <w:rPr>
                <w:rFonts w:ascii="Arial" w:cs="Arial" w:eastAsia="Arial" w:hAnsi="Arial"/>
                <w:sz w:val="18"/>
                <w:szCs w:val="18"/>
                <w:color w:val="auto"/>
                <w:w w:val="89"/>
              </w:rPr>
              <w:t>A church plan that is excluded from the definition of an investment company under section 3(c)(14) of the Investment Company</w:t>
            </w:r>
          </w:p>
        </w:tc>
        <w:tc>
          <w:tcPr>
            <w:tcW w:w="0" w:type="dxa"/>
            <w:vAlign w:val="bottom"/>
          </w:tcPr>
          <w:p>
            <w:pPr>
              <w:spacing w:after="0"/>
              <w:rPr>
                <w:sz w:val="1"/>
                <w:szCs w:val="1"/>
                <w:color w:val="auto"/>
              </w:rPr>
            </w:pPr>
          </w:p>
        </w:tc>
      </w:tr>
      <w:tr>
        <w:trPr>
          <w:trHeight w:val="140"/>
        </w:trPr>
        <w:tc>
          <w:tcPr>
            <w:tcW w:w="360" w:type="dxa"/>
            <w:vAlign w:val="bottom"/>
            <w:vMerge w:val="continue"/>
          </w:tcPr>
          <w:p>
            <w:pPr>
              <w:spacing w:after="0"/>
              <w:rPr>
                <w:sz w:val="12"/>
                <w:szCs w:val="12"/>
                <w:color w:val="auto"/>
              </w:rPr>
            </w:pPr>
          </w:p>
        </w:tc>
        <w:tc>
          <w:tcPr>
            <w:tcW w:w="540" w:type="dxa"/>
            <w:vAlign w:val="bottom"/>
            <w:vMerge w:val="continue"/>
          </w:tcPr>
          <w:p>
            <w:pPr>
              <w:spacing w:after="0"/>
              <w:rPr>
                <w:sz w:val="12"/>
                <w:szCs w:val="12"/>
                <w:color w:val="auto"/>
              </w:rPr>
            </w:pPr>
          </w:p>
        </w:tc>
        <w:tc>
          <w:tcPr>
            <w:tcW w:w="9240" w:type="dxa"/>
            <w:vAlign w:val="bottom"/>
            <w:vMerge w:val="restart"/>
          </w:tcPr>
          <w:p>
            <w:pPr>
              <w:ind w:left="220"/>
              <w:spacing w:after="0"/>
              <w:rPr>
                <w:sz w:val="20"/>
                <w:szCs w:val="20"/>
                <w:color w:val="auto"/>
              </w:rPr>
            </w:pPr>
            <w:r>
              <w:rPr>
                <w:rFonts w:ascii="Arial" w:cs="Arial" w:eastAsia="Arial" w:hAnsi="Arial"/>
                <w:sz w:val="18"/>
                <w:szCs w:val="18"/>
                <w:color w:val="auto"/>
              </w:rPr>
              <w:t>Act of 1940 (15 U.S.C. 80a-3);</w:t>
            </w:r>
          </w:p>
        </w:tc>
        <w:tc>
          <w:tcPr>
            <w:tcW w:w="0" w:type="dxa"/>
            <w:vAlign w:val="bottom"/>
          </w:tcPr>
          <w:p>
            <w:pPr>
              <w:spacing w:after="0"/>
              <w:rPr>
                <w:sz w:val="1"/>
                <w:szCs w:val="1"/>
                <w:color w:val="auto"/>
              </w:rPr>
            </w:pPr>
          </w:p>
        </w:tc>
      </w:tr>
      <w:tr>
        <w:trPr>
          <w:trHeight w:val="83"/>
        </w:trPr>
        <w:tc>
          <w:tcPr>
            <w:tcW w:w="360" w:type="dxa"/>
            <w:vAlign w:val="bottom"/>
          </w:tcPr>
          <w:p>
            <w:pPr>
              <w:spacing w:after="0"/>
              <w:rPr>
                <w:sz w:val="7"/>
                <w:szCs w:val="7"/>
                <w:color w:val="auto"/>
              </w:rPr>
            </w:pPr>
          </w:p>
        </w:tc>
        <w:tc>
          <w:tcPr>
            <w:tcW w:w="540" w:type="dxa"/>
            <w:vAlign w:val="bottom"/>
          </w:tcPr>
          <w:p>
            <w:pPr>
              <w:spacing w:after="0"/>
              <w:rPr>
                <w:sz w:val="7"/>
                <w:szCs w:val="7"/>
                <w:color w:val="auto"/>
              </w:rPr>
            </w:pPr>
          </w:p>
        </w:tc>
        <w:tc>
          <w:tcPr>
            <w:tcW w:w="92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bl>
    <w:p>
      <w:pPr>
        <w:spacing w:after="0" w:line="89" w:lineRule="exact"/>
        <w:rPr>
          <w:sz w:val="20"/>
          <w:szCs w:val="20"/>
          <w:color w:val="auto"/>
        </w:rPr>
      </w:pPr>
    </w:p>
    <w:p>
      <w:pPr>
        <w:ind w:left="1720" w:hanging="570"/>
        <w:spacing w:after="0"/>
        <w:tabs>
          <w:tab w:leader="none" w:pos="1720" w:val="left"/>
        </w:tabs>
        <w:numPr>
          <w:ilvl w:val="0"/>
          <w:numId w:val="8"/>
        </w:numPr>
        <w:rPr>
          <w:rFonts w:ascii="Arial" w:cs="Arial" w:eastAsia="Arial" w:hAnsi="Arial"/>
          <w:sz w:val="18"/>
          <w:szCs w:val="18"/>
          <w:color w:val="auto"/>
        </w:rPr>
      </w:pPr>
      <w:r>
        <w:rPr>
          <w:rFonts w:ascii="Arial" w:cs="Arial" w:eastAsia="Arial" w:hAnsi="Arial"/>
          <w:sz w:val="22"/>
          <w:szCs w:val="22"/>
          <w:color w:val="auto"/>
        </w:rPr>
        <w:t>o</w:t>
      </w:r>
      <w:r>
        <w:rPr>
          <w:rFonts w:ascii="Arial" w:cs="Arial" w:eastAsia="Arial" w:hAnsi="Arial"/>
          <w:sz w:val="16"/>
          <w:szCs w:val="16"/>
          <w:color w:val="auto"/>
        </w:rPr>
        <w:t>Group, in accordance with §240.13d-1(b)(1)(ii)(J).</w:t>
      </w:r>
    </w:p>
    <w:p>
      <w:pPr>
        <w:spacing w:after="0" w:line="200" w:lineRule="exact"/>
        <w:rPr>
          <w:rFonts w:ascii="Arial" w:cs="Arial" w:eastAsia="Arial" w:hAnsi="Arial"/>
          <w:sz w:val="18"/>
          <w:szCs w:val="18"/>
          <w:color w:val="auto"/>
        </w:rPr>
      </w:pPr>
    </w:p>
    <w:p>
      <w:pPr>
        <w:spacing w:after="0" w:line="397" w:lineRule="exact"/>
        <w:rPr>
          <w:rFonts w:ascii="Arial" w:cs="Arial" w:eastAsia="Arial" w:hAnsi="Arial"/>
          <w:sz w:val="18"/>
          <w:szCs w:val="18"/>
          <w:color w:val="auto"/>
        </w:rPr>
      </w:pPr>
    </w:p>
    <w:p>
      <w:pPr>
        <w:ind w:left="5620"/>
        <w:spacing w:after="0"/>
        <w:rPr>
          <w:rFonts w:ascii="Arial" w:cs="Arial" w:eastAsia="Arial" w:hAnsi="Arial"/>
          <w:sz w:val="18"/>
          <w:szCs w:val="18"/>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146050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300" w:top="941" w:right="299" w:bottom="1440" w:gutter="0" w:footer="0" w:header="0"/>
        </w:sectPr>
      </w:pPr>
    </w:p>
    <w:bookmarkStart w:id="4" w:name="page5"/>
    <w:bookmarkEnd w:id="4"/>
    <w:p>
      <w:pPr>
        <w:jc w:val="center"/>
        <w:ind w:right="-19"/>
        <w:spacing w:after="0"/>
        <w:rPr>
          <w:sz w:val="20"/>
          <w:szCs w:val="20"/>
          <w:color w:val="auto"/>
        </w:rPr>
      </w:pPr>
      <w:r>
        <w:rPr>
          <w:rFonts w:ascii="Arial" w:cs="Arial" w:eastAsia="Arial" w:hAnsi="Arial"/>
          <w:sz w:val="18"/>
          <w:szCs w:val="18"/>
          <w:color w:val="auto"/>
        </w:rPr>
        <w:t>13G</w:t>
      </w:r>
    </w:p>
    <w:p>
      <w:pPr>
        <w:spacing w:after="0" w:line="381" w:lineRule="exact"/>
        <w:rPr>
          <w:sz w:val="20"/>
          <w:szCs w:val="20"/>
          <w:color w:val="auto"/>
        </w:rPr>
      </w:pPr>
    </w:p>
    <w:p>
      <w:pPr>
        <w:ind w:left="60"/>
        <w:spacing w:after="0"/>
        <w:tabs>
          <w:tab w:leader="none" w:pos="120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color w:val="auto"/>
        </w:rPr>
        <w:t>Ownership.</w:t>
      </w:r>
    </w:p>
    <w:p>
      <w:pPr>
        <w:spacing w:after="0" w:line="123" w:lineRule="exact"/>
        <w:rPr>
          <w:sz w:val="20"/>
          <w:szCs w:val="20"/>
          <w:color w:val="auto"/>
        </w:rPr>
      </w:pPr>
    </w:p>
    <w:p>
      <w:pPr>
        <w:ind w:left="1780" w:hanging="570"/>
        <w:spacing w:after="0"/>
        <w:tabs>
          <w:tab w:leader="none" w:pos="1780" w:val="left"/>
        </w:tabs>
        <w:numPr>
          <w:ilvl w:val="0"/>
          <w:numId w:val="9"/>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117" w:lineRule="exact"/>
        <w:rPr>
          <w:rFonts w:ascii="Arial" w:cs="Arial" w:eastAsia="Arial" w:hAnsi="Arial"/>
          <w:sz w:val="18"/>
          <w:szCs w:val="18"/>
          <w:color w:val="auto"/>
        </w:rPr>
      </w:pPr>
    </w:p>
    <w:p>
      <w:pPr>
        <w:ind w:left="1780"/>
        <w:spacing w:after="0"/>
        <w:rPr>
          <w:rFonts w:ascii="Arial" w:cs="Arial" w:eastAsia="Arial" w:hAnsi="Arial"/>
          <w:sz w:val="18"/>
          <w:szCs w:val="18"/>
          <w:color w:val="auto"/>
        </w:rPr>
      </w:pPr>
      <w:r>
        <w:rPr>
          <w:rFonts w:ascii="Arial" w:cs="Arial" w:eastAsia="Arial" w:hAnsi="Arial"/>
          <w:sz w:val="18"/>
          <w:szCs w:val="18"/>
          <w:color w:val="auto"/>
        </w:rPr>
        <w:t>5,141,075 shares</w:t>
      </w:r>
    </w:p>
    <w:p>
      <w:pPr>
        <w:spacing w:after="0" w:line="117" w:lineRule="exact"/>
        <w:rPr>
          <w:rFonts w:ascii="Arial" w:cs="Arial" w:eastAsia="Arial" w:hAnsi="Arial"/>
          <w:sz w:val="18"/>
          <w:szCs w:val="18"/>
          <w:color w:val="auto"/>
        </w:rPr>
      </w:pPr>
    </w:p>
    <w:p>
      <w:pPr>
        <w:ind w:left="1780" w:hanging="570"/>
        <w:spacing w:after="0"/>
        <w:tabs>
          <w:tab w:leader="none" w:pos="1780" w:val="left"/>
        </w:tabs>
        <w:numPr>
          <w:ilvl w:val="0"/>
          <w:numId w:val="9"/>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117" w:lineRule="exact"/>
        <w:rPr>
          <w:rFonts w:ascii="Arial" w:cs="Arial" w:eastAsia="Arial" w:hAnsi="Arial"/>
          <w:sz w:val="18"/>
          <w:szCs w:val="18"/>
          <w:color w:val="auto"/>
        </w:rPr>
      </w:pPr>
    </w:p>
    <w:p>
      <w:pPr>
        <w:ind w:left="1780"/>
        <w:spacing w:after="0"/>
        <w:rPr>
          <w:rFonts w:ascii="Arial" w:cs="Arial" w:eastAsia="Arial" w:hAnsi="Arial"/>
          <w:sz w:val="18"/>
          <w:szCs w:val="18"/>
          <w:color w:val="auto"/>
        </w:rPr>
      </w:pPr>
      <w:r>
        <w:rPr>
          <w:rFonts w:ascii="Arial" w:cs="Arial" w:eastAsia="Arial" w:hAnsi="Arial"/>
          <w:sz w:val="18"/>
          <w:szCs w:val="18"/>
          <w:color w:val="auto"/>
        </w:rPr>
        <w:t>4.2%</w:t>
      </w:r>
    </w:p>
    <w:p>
      <w:pPr>
        <w:spacing w:after="0" w:line="117" w:lineRule="exact"/>
        <w:rPr>
          <w:rFonts w:ascii="Arial" w:cs="Arial" w:eastAsia="Arial" w:hAnsi="Arial"/>
          <w:sz w:val="18"/>
          <w:szCs w:val="18"/>
          <w:color w:val="auto"/>
        </w:rPr>
      </w:pPr>
    </w:p>
    <w:p>
      <w:pPr>
        <w:ind w:left="1780" w:hanging="570"/>
        <w:spacing w:after="0"/>
        <w:tabs>
          <w:tab w:leader="none" w:pos="1780" w:val="left"/>
        </w:tabs>
        <w:numPr>
          <w:ilvl w:val="0"/>
          <w:numId w:val="9"/>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117" w:lineRule="exact"/>
        <w:rPr>
          <w:rFonts w:ascii="Arial" w:cs="Arial" w:eastAsia="Arial" w:hAnsi="Arial"/>
          <w:sz w:val="18"/>
          <w:szCs w:val="18"/>
          <w:color w:val="auto"/>
        </w:rPr>
      </w:pPr>
    </w:p>
    <w:p>
      <w:pPr>
        <w:ind w:left="2340" w:hanging="563"/>
        <w:spacing w:after="0"/>
        <w:tabs>
          <w:tab w:leader="none" w:pos="2340" w:val="left"/>
        </w:tabs>
        <w:numPr>
          <w:ilvl w:val="1"/>
          <w:numId w:val="9"/>
        </w:numPr>
        <w:rPr>
          <w:rFonts w:ascii="Arial" w:cs="Arial" w:eastAsia="Arial" w:hAnsi="Arial"/>
          <w:sz w:val="18"/>
          <w:szCs w:val="18"/>
          <w:color w:val="auto"/>
        </w:rPr>
      </w:pPr>
      <w:r>
        <w:rPr>
          <w:rFonts w:ascii="Arial" w:cs="Arial" w:eastAsia="Arial" w:hAnsi="Arial"/>
          <w:sz w:val="18"/>
          <w:szCs w:val="18"/>
          <w:color w:val="auto"/>
        </w:rPr>
        <w:t>Sole power to vote or to direct the vote:</w:t>
      </w:r>
    </w:p>
    <w:p>
      <w:pPr>
        <w:spacing w:after="0" w:line="117" w:lineRule="exact"/>
        <w:rPr>
          <w:rFonts w:ascii="Arial" w:cs="Arial" w:eastAsia="Arial" w:hAnsi="Arial"/>
          <w:sz w:val="18"/>
          <w:szCs w:val="18"/>
          <w:color w:val="auto"/>
        </w:rPr>
      </w:pPr>
    </w:p>
    <w:p>
      <w:pPr>
        <w:ind w:left="2340"/>
        <w:spacing w:after="0"/>
        <w:rPr>
          <w:rFonts w:ascii="Arial" w:cs="Arial" w:eastAsia="Arial" w:hAnsi="Arial"/>
          <w:sz w:val="18"/>
          <w:szCs w:val="18"/>
          <w:color w:val="auto"/>
        </w:rPr>
      </w:pPr>
      <w:r>
        <w:rPr>
          <w:rFonts w:ascii="Arial" w:cs="Arial" w:eastAsia="Arial" w:hAnsi="Arial"/>
          <w:sz w:val="18"/>
          <w:szCs w:val="18"/>
          <w:color w:val="auto"/>
        </w:rPr>
        <w:t>2,761,700 shares*</w:t>
      </w:r>
    </w:p>
    <w:p>
      <w:pPr>
        <w:spacing w:after="0" w:line="117" w:lineRule="exact"/>
        <w:rPr>
          <w:rFonts w:ascii="Arial" w:cs="Arial" w:eastAsia="Arial" w:hAnsi="Arial"/>
          <w:sz w:val="18"/>
          <w:szCs w:val="18"/>
          <w:color w:val="auto"/>
        </w:rPr>
      </w:pPr>
    </w:p>
    <w:p>
      <w:pPr>
        <w:ind w:left="2340" w:hanging="563"/>
        <w:spacing w:after="0"/>
        <w:tabs>
          <w:tab w:leader="none" w:pos="2340" w:val="left"/>
        </w:tabs>
        <w:numPr>
          <w:ilvl w:val="1"/>
          <w:numId w:val="9"/>
        </w:numPr>
        <w:rPr>
          <w:rFonts w:ascii="Arial" w:cs="Arial" w:eastAsia="Arial" w:hAnsi="Arial"/>
          <w:sz w:val="18"/>
          <w:szCs w:val="18"/>
          <w:color w:val="auto"/>
        </w:rPr>
      </w:pPr>
      <w:r>
        <w:rPr>
          <w:rFonts w:ascii="Arial" w:cs="Arial" w:eastAsia="Arial" w:hAnsi="Arial"/>
          <w:sz w:val="18"/>
          <w:szCs w:val="18"/>
          <w:color w:val="auto"/>
        </w:rPr>
        <w:t>Shared power to vote or to direct the vote:</w:t>
      </w:r>
    </w:p>
    <w:p>
      <w:pPr>
        <w:spacing w:after="0" w:line="117" w:lineRule="exact"/>
        <w:rPr>
          <w:rFonts w:ascii="Arial" w:cs="Arial" w:eastAsia="Arial" w:hAnsi="Arial"/>
          <w:sz w:val="18"/>
          <w:szCs w:val="18"/>
          <w:color w:val="auto"/>
        </w:rPr>
      </w:pPr>
    </w:p>
    <w:p>
      <w:pPr>
        <w:ind w:left="2340"/>
        <w:spacing w:after="0"/>
        <w:rPr>
          <w:rFonts w:ascii="Arial" w:cs="Arial" w:eastAsia="Arial" w:hAnsi="Arial"/>
          <w:sz w:val="18"/>
          <w:szCs w:val="18"/>
          <w:color w:val="auto"/>
        </w:rPr>
      </w:pPr>
      <w:r>
        <w:rPr>
          <w:rFonts w:ascii="Arial" w:cs="Arial" w:eastAsia="Arial" w:hAnsi="Arial"/>
          <w:sz w:val="18"/>
          <w:szCs w:val="18"/>
          <w:color w:val="auto"/>
        </w:rPr>
        <w:t>2,379,375 shares**</w:t>
      </w:r>
    </w:p>
    <w:p>
      <w:pPr>
        <w:spacing w:after="0" w:line="117" w:lineRule="exact"/>
        <w:rPr>
          <w:rFonts w:ascii="Arial" w:cs="Arial" w:eastAsia="Arial" w:hAnsi="Arial"/>
          <w:sz w:val="18"/>
          <w:szCs w:val="18"/>
          <w:color w:val="auto"/>
        </w:rPr>
      </w:pPr>
    </w:p>
    <w:p>
      <w:pPr>
        <w:ind w:left="2340" w:right="5380" w:hanging="563"/>
        <w:spacing w:after="0" w:line="375" w:lineRule="auto"/>
        <w:tabs>
          <w:tab w:leader="none" w:pos="2340" w:val="left"/>
        </w:tabs>
        <w:numPr>
          <w:ilvl w:val="1"/>
          <w:numId w:val="9"/>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2,761,700 shares*</w:t>
      </w:r>
    </w:p>
    <w:p>
      <w:pPr>
        <w:spacing w:after="0" w:line="1" w:lineRule="exact"/>
        <w:rPr>
          <w:rFonts w:ascii="Arial" w:cs="Arial" w:eastAsia="Arial" w:hAnsi="Arial"/>
          <w:sz w:val="18"/>
          <w:szCs w:val="18"/>
          <w:color w:val="auto"/>
        </w:rPr>
      </w:pPr>
    </w:p>
    <w:p>
      <w:pPr>
        <w:ind w:left="2340" w:right="5200" w:hanging="563"/>
        <w:spacing w:after="0" w:line="393" w:lineRule="auto"/>
        <w:tabs>
          <w:tab w:leader="none" w:pos="2340" w:val="left"/>
        </w:tabs>
        <w:numPr>
          <w:ilvl w:val="1"/>
          <w:numId w:val="9"/>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2,379,375 shares**</w:t>
      </w:r>
    </w:p>
    <w:p>
      <w:pPr>
        <w:spacing w:after="0" w:line="289" w:lineRule="exact"/>
        <w:rPr>
          <w:sz w:val="20"/>
          <w:szCs w:val="20"/>
          <w:color w:val="auto"/>
        </w:rPr>
      </w:pPr>
    </w:p>
    <w:p>
      <w:pPr>
        <w:ind w:left="60"/>
        <w:spacing w:after="0"/>
        <w:tabs>
          <w:tab w:leader="none" w:pos="120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5"/>
          <w:szCs w:val="15"/>
          <w:b w:val="1"/>
          <w:bCs w:val="1"/>
          <w:color w:val="auto"/>
        </w:rPr>
        <w:t>Ownership of Five Percent or Less of a Class.</w:t>
      </w:r>
    </w:p>
    <w:p>
      <w:pPr>
        <w:spacing w:after="0" w:line="200" w:lineRule="exact"/>
        <w:rPr>
          <w:sz w:val="20"/>
          <w:szCs w:val="20"/>
          <w:color w:val="auto"/>
        </w:rPr>
      </w:pPr>
    </w:p>
    <w:p>
      <w:pPr>
        <w:spacing w:after="0" w:line="247" w:lineRule="exact"/>
        <w:rPr>
          <w:sz w:val="20"/>
          <w:szCs w:val="20"/>
          <w:color w:val="auto"/>
        </w:rPr>
      </w:pPr>
    </w:p>
    <w:p>
      <w:pPr>
        <w:ind w:left="60" w:right="140"/>
        <w:spacing w:after="0" w:line="242"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21"/>
          <w:szCs w:val="21"/>
          <w:color w:val="auto"/>
        </w:rPr>
        <w:t>.</w:t>
      </w:r>
    </w:p>
    <w:p>
      <w:pPr>
        <w:spacing w:after="0" w:line="200" w:lineRule="exact"/>
        <w:rPr>
          <w:sz w:val="20"/>
          <w:szCs w:val="20"/>
          <w:color w:val="auto"/>
        </w:rPr>
      </w:pPr>
    </w:p>
    <w:p>
      <w:pPr>
        <w:spacing w:after="0" w:line="201" w:lineRule="exact"/>
        <w:rPr>
          <w:sz w:val="20"/>
          <w:szCs w:val="20"/>
          <w:color w:val="auto"/>
        </w:rPr>
      </w:pPr>
    </w:p>
    <w:p>
      <w:pPr>
        <w:ind w:left="60"/>
        <w:spacing w:after="0"/>
        <w:tabs>
          <w:tab w:leader="none" w:pos="120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color w:val="auto"/>
        </w:rPr>
        <w:t>Ownership of More than Five Percent on Behalf of Another Person.</w:t>
      </w:r>
    </w:p>
    <w:p>
      <w:pPr>
        <w:spacing w:after="0" w:line="200" w:lineRule="exact"/>
        <w:rPr>
          <w:sz w:val="20"/>
          <w:szCs w:val="20"/>
          <w:color w:val="auto"/>
        </w:rPr>
      </w:pPr>
    </w:p>
    <w:p>
      <w:pPr>
        <w:spacing w:after="0" w:line="247" w:lineRule="exact"/>
        <w:rPr>
          <w:sz w:val="20"/>
          <w:szCs w:val="20"/>
          <w:color w:val="auto"/>
        </w:rPr>
      </w:pPr>
    </w:p>
    <w:p>
      <w:pPr>
        <w:ind w:left="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5" w:lineRule="exact"/>
        <w:rPr>
          <w:sz w:val="20"/>
          <w:szCs w:val="20"/>
          <w:color w:val="auto"/>
        </w:rPr>
      </w:pPr>
    </w:p>
    <w:p>
      <w:pPr>
        <w:ind w:left="60"/>
        <w:spacing w:after="0"/>
        <w:tabs>
          <w:tab w:leader="none" w:pos="120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color w:val="auto"/>
        </w:rPr>
        <w:t>Identification and Classification of the Subsidiary Which Acquired the Security Being Reported on By the Parent Holding Company.</w:t>
      </w:r>
    </w:p>
    <w:p>
      <w:pPr>
        <w:spacing w:after="0" w:line="200" w:lineRule="exact"/>
        <w:rPr>
          <w:sz w:val="20"/>
          <w:szCs w:val="20"/>
          <w:color w:val="auto"/>
        </w:rPr>
      </w:pPr>
    </w:p>
    <w:p>
      <w:pPr>
        <w:spacing w:after="0" w:line="247" w:lineRule="exact"/>
        <w:rPr>
          <w:sz w:val="20"/>
          <w:szCs w:val="20"/>
          <w:color w:val="auto"/>
        </w:rPr>
      </w:pPr>
    </w:p>
    <w:p>
      <w:pPr>
        <w:ind w:left="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5" w:lineRule="exact"/>
        <w:rPr>
          <w:sz w:val="20"/>
          <w:szCs w:val="20"/>
          <w:color w:val="auto"/>
        </w:rPr>
      </w:pPr>
    </w:p>
    <w:p>
      <w:pPr>
        <w:ind w:left="60"/>
        <w:spacing w:after="0"/>
        <w:tabs>
          <w:tab w:leader="none" w:pos="120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5"/>
          <w:szCs w:val="15"/>
          <w:b w:val="1"/>
          <w:bCs w:val="1"/>
          <w:color w:val="auto"/>
        </w:rPr>
        <w:t>Identification and Classification of Members of the Group.</w:t>
      </w:r>
    </w:p>
    <w:p>
      <w:pPr>
        <w:spacing w:after="0" w:line="200" w:lineRule="exact"/>
        <w:rPr>
          <w:sz w:val="20"/>
          <w:szCs w:val="20"/>
          <w:color w:val="auto"/>
        </w:rPr>
      </w:pPr>
    </w:p>
    <w:p>
      <w:pPr>
        <w:spacing w:after="0" w:line="247" w:lineRule="exact"/>
        <w:rPr>
          <w:sz w:val="20"/>
          <w:szCs w:val="20"/>
          <w:color w:val="auto"/>
        </w:rPr>
      </w:pPr>
    </w:p>
    <w:p>
      <w:pPr>
        <w:ind w:left="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35" w:lineRule="exact"/>
        <w:rPr>
          <w:sz w:val="20"/>
          <w:szCs w:val="20"/>
          <w:color w:val="auto"/>
        </w:rPr>
      </w:pPr>
    </w:p>
    <w:p>
      <w:pPr>
        <w:ind w:left="60"/>
        <w:spacing w:after="0"/>
        <w:tabs>
          <w:tab w:leader="none" w:pos="120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color w:val="auto"/>
        </w:rPr>
        <w:t>Notice of Dissolution of Group.</w:t>
      </w:r>
    </w:p>
    <w:p>
      <w:pPr>
        <w:spacing w:after="0" w:line="200" w:lineRule="exact"/>
        <w:rPr>
          <w:sz w:val="20"/>
          <w:szCs w:val="20"/>
          <w:color w:val="auto"/>
        </w:rPr>
      </w:pPr>
    </w:p>
    <w:p>
      <w:pPr>
        <w:spacing w:after="0" w:line="247" w:lineRule="exact"/>
        <w:rPr>
          <w:sz w:val="20"/>
          <w:szCs w:val="20"/>
          <w:color w:val="auto"/>
        </w:rPr>
      </w:pPr>
    </w:p>
    <w:p>
      <w:pPr>
        <w:ind w:left="6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322" w:lineRule="exact"/>
        <w:rPr>
          <w:sz w:val="20"/>
          <w:szCs w:val="20"/>
          <w:color w:val="auto"/>
        </w:rPr>
      </w:pPr>
    </w:p>
    <w:p>
      <w:pPr>
        <w:spacing w:after="0"/>
        <w:rPr>
          <w:sz w:val="20"/>
          <w:szCs w:val="20"/>
          <w:color w:val="auto"/>
        </w:rPr>
      </w:pPr>
      <w:r>
        <w:rPr>
          <w:rFonts w:ascii="Arial" w:cs="Arial" w:eastAsia="Arial" w:hAnsi="Arial"/>
          <w:sz w:val="18"/>
          <w:szCs w:val="18"/>
          <w:color w:val="auto"/>
        </w:rPr>
        <w:t>Footnotes:</w:t>
      </w: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color w:val="auto"/>
        </w:rPr>
        <w:t>* The amount reported includes 1,386,700 shares beneficially owned pursuant to stock options exercisable within 60 days of December 31, 2002.</w:t>
      </w:r>
    </w:p>
    <w:p>
      <w:pPr>
        <w:spacing w:after="0" w:line="248" w:lineRule="exact"/>
        <w:rPr>
          <w:sz w:val="20"/>
          <w:szCs w:val="20"/>
          <w:color w:val="auto"/>
        </w:rPr>
      </w:pPr>
    </w:p>
    <w:p>
      <w:pPr>
        <w:ind w:firstLine="8"/>
        <w:spacing w:after="0" w:line="256" w:lineRule="auto"/>
        <w:tabs>
          <w:tab w:leader="none" w:pos="2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amount reported includes 1,681,747 shares held by the Diosdado Banatao and Maria C. Banatao Living Trust (“Banatao Living Trust”), 680,680 shares held by Tallwood Partners LLC, and 16,948 shares held by the Reporting Person’s daughter. The Reporting Person and his spouse are the co-trustees of the Banatao Living Trust. The Banatao Living Trust is the managing member of Tallwood Partners, LLC. The Reporting Person disclaims beneficial ownership of the share held by his daughter except to the extent of his pecuniary interest, if any.</w:t>
      </w:r>
    </w:p>
    <w:p>
      <w:pPr>
        <w:spacing w:after="0" w:line="200" w:lineRule="exact"/>
        <w:rPr>
          <w:sz w:val="20"/>
          <w:szCs w:val="20"/>
          <w:color w:val="auto"/>
        </w:rPr>
      </w:pPr>
    </w:p>
    <w:p>
      <w:pPr>
        <w:spacing w:after="0" w:line="24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941" w:right="259" w:bottom="674" w:gutter="0" w:footer="0" w:header="0"/>
        </w:sectPr>
      </w:pPr>
    </w:p>
    <w:bookmarkStart w:id="5" w:name="page6"/>
    <w:bookmarkEnd w:id="5"/>
    <w:p>
      <w:pPr>
        <w:jc w:val="center"/>
        <w:spacing w:after="0"/>
        <w:rPr>
          <w:sz w:val="20"/>
          <w:szCs w:val="20"/>
          <w:color w:val="auto"/>
        </w:rPr>
      </w:pPr>
      <w:r>
        <w:rPr>
          <w:rFonts w:ascii="Arial" w:cs="Arial" w:eastAsia="Arial" w:hAnsi="Arial"/>
          <w:sz w:val="15"/>
          <w:szCs w:val="15"/>
          <w:color w:val="auto"/>
        </w:rPr>
        <w:t>13G</w:t>
      </w:r>
    </w:p>
    <w:p>
      <w:pPr>
        <w:sectPr>
          <w:pgSz w:w="11900" w:h="16838" w:orient="portrait"/>
          <w:cols w:equalWidth="0" w:num="1">
            <w:col w:w="11420"/>
          </w:cols>
          <w:pgMar w:left="240" w:top="941" w:right="239" w:bottom="1440" w:gutter="0" w:footer="0" w:header="0"/>
        </w:sectPr>
      </w:pPr>
    </w:p>
    <w:p>
      <w:pPr>
        <w:spacing w:after="0" w:line="200" w:lineRule="exact"/>
        <w:rPr>
          <w:sz w:val="20"/>
          <w:szCs w:val="20"/>
          <w:color w:val="auto"/>
        </w:rPr>
      </w:pPr>
    </w:p>
    <w:p>
      <w:pPr>
        <w:spacing w:after="0" w:line="216" w:lineRule="exact"/>
        <w:rPr>
          <w:sz w:val="20"/>
          <w:szCs w:val="20"/>
          <w:color w:val="auto"/>
        </w:rPr>
      </w:pPr>
    </w:p>
    <w:p>
      <w:pPr>
        <w:ind w:left="60"/>
        <w:spacing w:after="0"/>
        <w:rPr>
          <w:sz w:val="20"/>
          <w:szCs w:val="20"/>
          <w:color w:val="auto"/>
        </w:rPr>
      </w:pPr>
      <w:r>
        <w:rPr>
          <w:rFonts w:ascii="Arial" w:cs="Arial" w:eastAsia="Arial" w:hAnsi="Arial"/>
          <w:sz w:val="16"/>
          <w:szCs w:val="16"/>
          <w:b w:val="1"/>
          <w:bCs w:val="1"/>
          <w:color w:val="auto"/>
        </w:rPr>
        <w:t>Item 10.</w:t>
      </w:r>
    </w:p>
    <w:p>
      <w:pPr>
        <w:spacing w:after="0" w:line="20" w:lineRule="exact"/>
        <w:rPr>
          <w:sz w:val="20"/>
          <w:szCs w:val="20"/>
          <w:color w:val="auto"/>
        </w:rPr>
      </w:pPr>
      <w:r>
        <w:rPr>
          <w:sz w:val="20"/>
          <w:szCs w:val="20"/>
          <w:color w:val="auto"/>
        </w:rPr>
        <w:br w:type="column"/>
      </w:r>
    </w:p>
    <w:p>
      <w:pPr>
        <w:spacing w:after="0" w:line="396"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Certification.</w:t>
      </w:r>
    </w:p>
    <w:p>
      <w:pPr>
        <w:spacing w:after="0" w:line="200" w:lineRule="exact"/>
        <w:rPr>
          <w:sz w:val="20"/>
          <w:szCs w:val="20"/>
          <w:color w:val="auto"/>
        </w:rPr>
      </w:pPr>
    </w:p>
    <w:p>
      <w:pPr>
        <w:sectPr>
          <w:pgSz w:w="11900" w:h="16838" w:orient="portrait"/>
          <w:cols w:equalWidth="0" w:num="2">
            <w:col w:w="680" w:space="540"/>
            <w:col w:w="10200"/>
          </w:cols>
          <w:pgMar w:left="240" w:top="941" w:right="239" w:bottom="1440" w:gutter="0" w:footer="0" w:header="0"/>
          <w:type w:val="continuous"/>
        </w:sectPr>
      </w:pPr>
    </w:p>
    <w:p>
      <w:pPr>
        <w:spacing w:after="0" w:line="270" w:lineRule="exact"/>
        <w:rPr>
          <w:sz w:val="20"/>
          <w:szCs w:val="20"/>
          <w:color w:val="auto"/>
        </w:rPr>
      </w:pPr>
    </w:p>
    <w:p>
      <w:pPr>
        <w:ind w:left="60"/>
        <w:spacing w:after="0"/>
        <w:rPr>
          <w:sz w:val="20"/>
          <w:szCs w:val="20"/>
          <w:color w:val="auto"/>
        </w:rPr>
      </w:pPr>
      <w:r>
        <w:rPr>
          <w:rFonts w:ascii="Arial" w:cs="Arial" w:eastAsia="Arial" w:hAnsi="Arial"/>
          <w:sz w:val="18"/>
          <w:szCs w:val="18"/>
          <w:color w:val="auto"/>
        </w:rPr>
        <w:t>Not applicable.</w:t>
      </w:r>
    </w:p>
    <w:p>
      <w:pPr>
        <w:spacing w:after="0" w:line="273"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SIGNATURE</w:t>
      </w:r>
    </w:p>
    <w:p>
      <w:pPr>
        <w:sectPr>
          <w:pgSz w:w="11900" w:h="16838" w:orient="portrait"/>
          <w:cols w:equalWidth="0" w:num="1">
            <w:col w:w="11420"/>
          </w:cols>
          <w:pgMar w:left="240" w:top="941" w:right="239" w:bottom="1440" w:gutter="0" w:footer="0" w:header="0"/>
          <w:type w:val="continuous"/>
        </w:sectPr>
      </w:pPr>
    </w:p>
    <w:p>
      <w:pPr>
        <w:spacing w:after="0" w:line="254"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48" w:lineRule="exact"/>
        <w:rPr>
          <w:sz w:val="20"/>
          <w:szCs w:val="20"/>
          <w:color w:val="auto"/>
        </w:rPr>
      </w:pPr>
    </w:p>
    <w:tbl>
      <w:tblPr>
        <w:tblLayout w:type="fixed"/>
        <w:tblInd w:w="6860" w:type="dxa"/>
        <w:tblCellMar>
          <w:top w:w="0" w:type="dxa"/>
          <w:left w:w="0" w:type="dxa"/>
          <w:bottom w:w="0" w:type="dxa"/>
          <w:right w:w="0" w:type="dxa"/>
        </w:tblCellMar>
      </w:tblPr>
      <w:tr>
        <w:trPr>
          <w:trHeight w:val="222"/>
        </w:trPr>
        <w:tc>
          <w:tcPr>
            <w:tcW w:w="840" w:type="dxa"/>
            <w:vAlign w:val="bottom"/>
          </w:tcPr>
          <w:p>
            <w:pPr>
              <w:spacing w:after="0"/>
              <w:rPr>
                <w:sz w:val="20"/>
                <w:szCs w:val="20"/>
                <w:color w:val="auto"/>
              </w:rPr>
            </w:pPr>
            <w:r>
              <w:rPr>
                <w:rFonts w:ascii="Arial" w:cs="Arial" w:eastAsia="Arial" w:hAnsi="Arial"/>
                <w:sz w:val="18"/>
                <w:szCs w:val="18"/>
                <w:color w:val="auto"/>
              </w:rPr>
              <w:t>Date:</w:t>
            </w:r>
          </w:p>
        </w:tc>
        <w:tc>
          <w:tcPr>
            <w:tcW w:w="3720" w:type="dxa"/>
            <w:vAlign w:val="bottom"/>
          </w:tcPr>
          <w:p>
            <w:pPr>
              <w:spacing w:after="0"/>
              <w:rPr>
                <w:sz w:val="20"/>
                <w:szCs w:val="20"/>
                <w:color w:val="auto"/>
              </w:rPr>
            </w:pPr>
            <w:r>
              <w:rPr>
                <w:rFonts w:ascii="Arial" w:cs="Arial" w:eastAsia="Arial" w:hAnsi="Arial"/>
                <w:sz w:val="18"/>
                <w:szCs w:val="18"/>
                <w:color w:val="auto"/>
              </w:rPr>
              <w:t>February 14, 2003</w:t>
            </w:r>
          </w:p>
        </w:tc>
        <w:tc>
          <w:tcPr>
            <w:tcW w:w="0" w:type="dxa"/>
            <w:vAlign w:val="bottom"/>
          </w:tcPr>
          <w:p>
            <w:pPr>
              <w:spacing w:after="0"/>
              <w:rPr>
                <w:sz w:val="1"/>
                <w:szCs w:val="1"/>
                <w:color w:val="auto"/>
              </w:rPr>
            </w:pPr>
          </w:p>
        </w:tc>
      </w:tr>
      <w:tr>
        <w:trPr>
          <w:trHeight w:val="432"/>
        </w:trPr>
        <w:tc>
          <w:tcPr>
            <w:tcW w:w="4560" w:type="dxa"/>
            <w:vAlign w:val="bottom"/>
            <w:gridSpan w:val="2"/>
          </w:tcPr>
          <w:p>
            <w:pPr>
              <w:spacing w:after="0"/>
              <w:rPr>
                <w:sz w:val="20"/>
                <w:szCs w:val="20"/>
                <w:color w:val="auto"/>
              </w:rPr>
            </w:pPr>
            <w:r>
              <w:rPr>
                <w:rFonts w:ascii="Arial" w:cs="Arial" w:eastAsia="Arial" w:hAnsi="Arial"/>
                <w:sz w:val="18"/>
                <w:szCs w:val="18"/>
                <w:color w:val="auto"/>
              </w:rPr>
              <w:t>Company Name(s):</w:t>
            </w:r>
          </w:p>
        </w:tc>
        <w:tc>
          <w:tcPr>
            <w:tcW w:w="0" w:type="dxa"/>
            <w:vAlign w:val="bottom"/>
          </w:tcPr>
          <w:p>
            <w:pPr>
              <w:spacing w:after="0"/>
              <w:rPr>
                <w:sz w:val="1"/>
                <w:szCs w:val="1"/>
                <w:color w:val="auto"/>
              </w:rPr>
            </w:pPr>
          </w:p>
        </w:tc>
      </w:tr>
      <w:tr>
        <w:trPr>
          <w:trHeight w:val="648"/>
        </w:trPr>
        <w:tc>
          <w:tcPr>
            <w:tcW w:w="840" w:type="dxa"/>
            <w:vAlign w:val="bottom"/>
          </w:tcPr>
          <w:p>
            <w:pPr>
              <w:spacing w:after="0"/>
              <w:rPr>
                <w:sz w:val="20"/>
                <w:szCs w:val="20"/>
                <w:color w:val="auto"/>
              </w:rPr>
            </w:pPr>
            <w:r>
              <w:rPr>
                <w:rFonts w:ascii="Arial" w:cs="Arial" w:eastAsia="Arial" w:hAnsi="Arial"/>
                <w:sz w:val="18"/>
                <w:szCs w:val="18"/>
                <w:color w:val="auto"/>
              </w:rPr>
              <w:t>By:</w:t>
            </w:r>
          </w:p>
        </w:tc>
        <w:tc>
          <w:tcPr>
            <w:tcW w:w="3720" w:type="dxa"/>
            <w:vAlign w:val="bottom"/>
          </w:tcPr>
          <w:p>
            <w:pPr>
              <w:spacing w:after="0"/>
              <w:rPr>
                <w:sz w:val="20"/>
                <w:szCs w:val="20"/>
                <w:color w:val="auto"/>
              </w:rPr>
            </w:pPr>
            <w:r>
              <w:rPr>
                <w:rFonts w:ascii="Arial" w:cs="Arial" w:eastAsia="Arial" w:hAnsi="Arial"/>
                <w:sz w:val="18"/>
                <w:szCs w:val="18"/>
                <w:color w:val="auto"/>
              </w:rPr>
              <w:t>/s/ Diosdado P. Banatao</w:t>
            </w:r>
          </w:p>
        </w:tc>
        <w:tc>
          <w:tcPr>
            <w:tcW w:w="0" w:type="dxa"/>
            <w:vAlign w:val="bottom"/>
          </w:tcPr>
          <w:p>
            <w:pPr>
              <w:spacing w:after="0"/>
              <w:rPr>
                <w:sz w:val="1"/>
                <w:szCs w:val="1"/>
                <w:color w:val="auto"/>
              </w:rPr>
            </w:pPr>
          </w:p>
        </w:tc>
      </w:tr>
      <w:tr>
        <w:trPr>
          <w:trHeight w:val="97"/>
        </w:trPr>
        <w:tc>
          <w:tcPr>
            <w:tcW w:w="840" w:type="dxa"/>
            <w:vAlign w:val="bottom"/>
          </w:tcPr>
          <w:p>
            <w:pPr>
              <w:spacing w:after="0"/>
              <w:rPr>
                <w:sz w:val="8"/>
                <w:szCs w:val="8"/>
                <w:color w:val="auto"/>
              </w:rPr>
            </w:pPr>
          </w:p>
        </w:tc>
        <w:tc>
          <w:tcPr>
            <w:tcW w:w="37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840" w:type="dxa"/>
            <w:vAlign w:val="bottom"/>
          </w:tcPr>
          <w:p>
            <w:pPr>
              <w:spacing w:after="0"/>
              <w:rPr>
                <w:sz w:val="20"/>
                <w:szCs w:val="20"/>
                <w:color w:val="auto"/>
              </w:rPr>
            </w:pPr>
            <w:r>
              <w:rPr>
                <w:rFonts w:ascii="Arial" w:cs="Arial" w:eastAsia="Arial" w:hAnsi="Arial"/>
                <w:sz w:val="18"/>
                <w:szCs w:val="18"/>
                <w:color w:val="auto"/>
              </w:rPr>
              <w:t>Name:</w:t>
            </w:r>
          </w:p>
        </w:tc>
        <w:tc>
          <w:tcPr>
            <w:tcW w:w="3720" w:type="dxa"/>
            <w:vAlign w:val="bottom"/>
          </w:tcPr>
          <w:p>
            <w:pPr>
              <w:spacing w:after="0"/>
              <w:rPr>
                <w:sz w:val="20"/>
                <w:szCs w:val="20"/>
                <w:color w:val="auto"/>
              </w:rPr>
            </w:pPr>
            <w:r>
              <w:rPr>
                <w:rFonts w:ascii="Arial" w:cs="Arial" w:eastAsia="Arial" w:hAnsi="Arial"/>
                <w:sz w:val="18"/>
                <w:szCs w:val="18"/>
                <w:color w:val="auto"/>
              </w:rPr>
              <w:t>Diosdado P. Banatao</w:t>
            </w:r>
          </w:p>
        </w:tc>
        <w:tc>
          <w:tcPr>
            <w:tcW w:w="0" w:type="dxa"/>
            <w:vAlign w:val="bottom"/>
          </w:tcPr>
          <w:p>
            <w:pPr>
              <w:spacing w:after="0"/>
              <w:rPr>
                <w:sz w:val="1"/>
                <w:szCs w:val="1"/>
                <w:color w:val="auto"/>
              </w:rPr>
            </w:pPr>
          </w:p>
        </w:tc>
      </w:tr>
      <w:tr>
        <w:trPr>
          <w:trHeight w:val="97"/>
        </w:trPr>
        <w:tc>
          <w:tcPr>
            <w:tcW w:w="840" w:type="dxa"/>
            <w:vAlign w:val="bottom"/>
            <w:vMerge w:val="restart"/>
          </w:tcPr>
          <w:p>
            <w:pPr>
              <w:spacing w:after="0"/>
              <w:rPr>
                <w:sz w:val="20"/>
                <w:szCs w:val="20"/>
                <w:color w:val="auto"/>
              </w:rPr>
            </w:pPr>
            <w:r>
              <w:rPr>
                <w:rFonts w:ascii="Arial" w:cs="Arial" w:eastAsia="Arial" w:hAnsi="Arial"/>
                <w:sz w:val="18"/>
                <w:szCs w:val="18"/>
                <w:color w:val="auto"/>
              </w:rPr>
              <w:t>Title:</w:t>
            </w:r>
          </w:p>
        </w:tc>
        <w:tc>
          <w:tcPr>
            <w:tcW w:w="37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840" w:type="dxa"/>
            <w:vAlign w:val="bottom"/>
            <w:vMerge w:val="continue"/>
          </w:tcPr>
          <w:p>
            <w:pPr>
              <w:spacing w:after="0"/>
              <w:rPr>
                <w:sz w:val="24"/>
                <w:szCs w:val="24"/>
                <w:color w:val="auto"/>
              </w:rPr>
            </w:pPr>
          </w:p>
        </w:tc>
        <w:tc>
          <w:tcPr>
            <w:tcW w:w="3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7"/>
        </w:trPr>
        <w:tc>
          <w:tcPr>
            <w:tcW w:w="840" w:type="dxa"/>
            <w:vAlign w:val="bottom"/>
          </w:tcPr>
          <w:p>
            <w:pPr>
              <w:spacing w:after="0"/>
              <w:rPr>
                <w:sz w:val="8"/>
                <w:szCs w:val="8"/>
                <w:color w:val="auto"/>
              </w:rPr>
            </w:pPr>
          </w:p>
        </w:tc>
        <w:tc>
          <w:tcPr>
            <w:tcW w:w="37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bl>
    <w:p>
      <w:pPr>
        <w:spacing w:after="0" w:line="28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(Individually)</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71120</wp:posOffset>
            </wp:positionV>
            <wp:extent cx="2898775"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7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4893310</wp:posOffset>
            </wp:positionH>
            <wp:positionV relativeFrom="paragraph">
              <wp:posOffset>71120</wp:posOffset>
            </wp:positionV>
            <wp:extent cx="235839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2358390" cy="8890"/>
                    </a:xfrm>
                    <a:prstGeom prst="rect">
                      <a:avLst/>
                    </a:prstGeom>
                    <a:noFill/>
                  </pic:spPr>
                </pic:pic>
              </a:graphicData>
            </a:graphic>
          </wp:anchor>
        </w:drawing>
      </w:r>
    </w:p>
    <w:p>
      <w:pPr>
        <w:spacing w:after="0" w:line="17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4893310</wp:posOffset>
            </wp:positionH>
            <wp:positionV relativeFrom="paragraph">
              <wp:posOffset>71120</wp:posOffset>
            </wp:positionV>
            <wp:extent cx="235839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235839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sectPr>
      <w:pgSz w:w="11900" w:h="16838" w:orient="portrait"/>
      <w:cols w:equalWidth="0" w:num="1">
        <w:col w:w="11420"/>
      </w:cols>
      <w:pgMar w:left="240" w:top="941"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D1B58BA"/>
    <w:multiLevelType w:val="hybridMultilevel"/>
    <w:lvl w:ilvl="0">
      <w:lvlJc w:val="left"/>
      <w:lvlText w:val="☒"/>
      <w:numFmt w:val="bullet"/>
      <w:start w:val="1"/>
    </w:lvl>
  </w:abstractNum>
  <w:abstractNum w:abstractNumId="1">
    <w:nsid w:val="507ED7AB"/>
    <w:multiLevelType w:val="hybridMultilevel"/>
    <w:lvl w:ilvl="0">
      <w:lvlJc w:val="left"/>
      <w:lvlText w:val="%1."/>
      <w:numFmt w:val="decimal"/>
      <w:start w:val="2"/>
    </w:lvl>
    <w:lvl w:ilvl="1">
      <w:lvlJc w:val="left"/>
      <w:lvlText w:val="(%2)"/>
      <w:numFmt w:val="lowerLetter"/>
      <w:start w:val="1"/>
    </w:lvl>
  </w:abstractNum>
  <w:abstractNum w:abstractNumId="2">
    <w:nsid w:val="2EB141F2"/>
    <w:multiLevelType w:val="hybridMultilevel"/>
    <w:lvl w:ilvl="0">
      <w:lvlJc w:val="left"/>
      <w:lvlText w:val="%1"/>
      <w:numFmt w:val="decimal"/>
      <w:start w:val="1"/>
    </w:lvl>
    <w:lvl w:ilvl="1">
      <w:lvlJc w:val="left"/>
      <w:lvlText w:val="%2."/>
      <w:numFmt w:val="decimal"/>
      <w:start w:val="8"/>
    </w:lvl>
  </w:abstractNum>
  <w:abstractNum w:abstractNumId="3">
    <w:nsid w:val="41B71EFB"/>
    <w:multiLevelType w:val="hybridMultilevel"/>
    <w:lvl w:ilvl="0">
      <w:lvlJc w:val="left"/>
      <w:lvlText w:val="%1."/>
      <w:numFmt w:val="decimal"/>
      <w:start w:val="9"/>
    </w:lvl>
    <w:lvl w:ilvl="1">
      <w:lvlJc w:val="left"/>
      <w:lvlText w:val="%2"/>
      <w:numFmt w:val="decimal"/>
      <w:start w:val="1"/>
    </w:lvl>
  </w:abstractNum>
  <w:abstractNum w:abstractNumId="4">
    <w:nsid w:val="79E2A9E3"/>
    <w:multiLevelType w:val="hybridMultilevel"/>
    <w:lvl w:ilvl="0">
      <w:lvlJc w:val="left"/>
      <w:lvlText w:val="(%1)"/>
      <w:numFmt w:val="lowerLetter"/>
      <w:start w:val="1"/>
    </w:lvl>
  </w:abstractNum>
  <w:abstractNum w:abstractNumId="5">
    <w:nsid w:val="7545E146"/>
    <w:multiLevelType w:val="hybridMultilevel"/>
    <w:lvl w:ilvl="0">
      <w:lvlJc w:val="left"/>
      <w:lvlText w:val="(%1)"/>
      <w:numFmt w:val="lowerLetter"/>
      <w:start w:val="1"/>
    </w:lvl>
  </w:abstractNum>
  <w:abstractNum w:abstractNumId="6">
    <w:nsid w:val="515F007C"/>
    <w:multiLevelType w:val="hybridMultilevel"/>
    <w:lvl w:ilvl="0">
      <w:lvlJc w:val="left"/>
      <w:lvlText w:val="(%1)"/>
      <w:numFmt w:val="lowerLetter"/>
      <w:start w:val="1"/>
    </w:lvl>
  </w:abstractNum>
  <w:abstractNum w:abstractNumId="7">
    <w:nsid w:val="5BD062C2"/>
    <w:multiLevelType w:val="hybridMultilevel"/>
    <w:lvl w:ilvl="0">
      <w:lvlJc w:val="left"/>
      <w:lvlText w:val="(%1)"/>
      <w:numFmt w:val="lowerLetter"/>
      <w:start w:val="10"/>
    </w:lvl>
  </w:abstractNum>
  <w:abstractNum w:abstractNumId="8">
    <w:nsid w:val="12200854"/>
    <w:multiLevelType w:val="hybridMultilevel"/>
    <w:lvl w:ilvl="0">
      <w:lvlJc w:val="left"/>
      <w:lvlText w:val="(%1)"/>
      <w:numFmt w:val="lowerLetter"/>
      <w:start w:val="1"/>
    </w:lvl>
    <w:lvl w:ilvl="1">
      <w:lvlJc w:val="left"/>
      <w:lvlText w:val="(%2)"/>
      <w:numFmt w:val="lowerRoman"/>
      <w:start w:val="1"/>
    </w:lvl>
  </w:abstractNum>
  <w:abstractNum w:abstractNumId="9">
    <w:nsid w:val="4DB127F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2019-12-12T02:08:10Z</dcterms:created>
  <dcterms:modified xsi:type="dcterms:W3CDTF">2019-12-12T02:08:10Z</dcterms:modified>
</cp:coreProperties>
</file>