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9"/>
          <w:szCs w:val="19"/>
          <w:color w:val="auto"/>
        </w:rPr>
        <w:t>SEC Form 4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1440" w:gutter="0" w:footer="0" w:header="0"/>
        </w:sectPr>
      </w:pPr>
    </w:p>
    <w:p>
      <w:pPr>
        <w:spacing w:after="0" w:line="62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-241300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90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26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540" w:type="dxa"/>
            <w:vAlign w:val="bottom"/>
          </w:tcPr>
          <w:p>
            <w:pPr>
              <w:jc w:val="center"/>
              <w:ind w:right="218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102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Expires: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December 31,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2014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</w:t>
            </w:r>
          </w:p>
        </w:tc>
        <w:tc>
          <w:tcPr>
            <w:tcW w:w="102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or Section 30(h) of the Investment Company Act of 1940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response:</w:t>
            </w: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-1710055</wp:posOffset>
            </wp:positionH>
            <wp:positionV relativeFrom="paragraph">
              <wp:posOffset>-932815</wp:posOffset>
            </wp:positionV>
            <wp:extent cx="7324090" cy="598170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598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1440" w:gutter="0" w:footer="0" w:header="0"/>
          <w:type w:val="continuous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0" w:type="dxa"/>
            <w:vAlign w:val="bottom"/>
            <w:gridSpan w:val="8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40" w:type="dxa"/>
            <w:vAlign w:val="bottom"/>
            <w:gridSpan w:val="11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  <w:w w:val="94"/>
              </w:rPr>
            </w:pPr>
            <w:hyperlink r:id="rId10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4"/>
                </w:rPr>
                <w:t>HERVEY GEORGE</w:t>
              </w:r>
            </w:hyperlink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60" w:type="dxa"/>
            <w:vAlign w:val="bottom"/>
            <w:gridSpan w:val="12"/>
          </w:tcPr>
          <w:p>
            <w:pPr>
              <w:ind w:left="60"/>
              <w:spacing w:after="0" w:line="107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1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00" w:type="dxa"/>
            <w:vAlign w:val="bottom"/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0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0000EE"/>
            </w:tcBorders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6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MRVL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 ]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0" w:type="dxa"/>
            <w:vAlign w:val="bottom"/>
            <w:gridSpan w:val="8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40" w:type="dxa"/>
            <w:vAlign w:val="bottom"/>
            <w:gridSpan w:val="5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80" w:type="dxa"/>
            <w:vAlign w:val="bottom"/>
            <w:gridSpan w:val="5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06/20/2003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4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shd w:val="clear" w:color="auto" w:fill="EEEEE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EEEEE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  <w:shd w:val="clear" w:color="auto" w:fill="EEEEE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shd w:val="clear" w:color="auto" w:fill="EEEEE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shd w:val="clear" w:color="auto" w:fill="EEEEE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  <w:shd w:val="clear" w:color="auto" w:fill="EEEEE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80" w:type="dxa"/>
            <w:vAlign w:val="bottom"/>
            <w:gridSpan w:val="10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540" w:type="dxa"/>
            <w:vAlign w:val="bottom"/>
            <w:gridSpan w:val="11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8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540" w:type="dxa"/>
            <w:vAlign w:val="bottom"/>
            <w:gridSpan w:val="11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540" w:type="dxa"/>
            <w:vAlign w:val="bottom"/>
            <w:gridSpan w:val="11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540" w:type="dxa"/>
            <w:vAlign w:val="bottom"/>
            <w:gridSpan w:val="11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80" w:type="dxa"/>
            <w:vAlign w:val="bottom"/>
            <w:gridSpan w:val="8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2C2C2C"/>
            </w:tcBorders>
            <w:gridSpan w:val="7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21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20" w:type="dxa"/>
            <w:vAlign w:val="bottom"/>
            <w:gridSpan w:val="5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920" w:type="dxa"/>
            <w:vAlign w:val="bottom"/>
            <w:gridSpan w:val="8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3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20" w:type="dxa"/>
            <w:vAlign w:val="bottom"/>
            <w:gridSpan w:val="8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20" w:type="dxa"/>
            <w:vAlign w:val="bottom"/>
            <w:gridSpan w:val="5"/>
          </w:tcPr>
          <w:p>
            <w:pPr>
              <w:ind w:left="8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4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20" w:type="dxa"/>
            <w:vAlign w:val="bottom"/>
            <w:gridSpan w:val="5"/>
          </w:tcPr>
          <w:p>
            <w:pPr>
              <w:ind w:left="9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06/20/2003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2,000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right"/>
              <w:ind w:right="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7,057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20" w:type="dxa"/>
            <w:vAlign w:val="bottom"/>
            <w:gridSpan w:val="5"/>
          </w:tcPr>
          <w:p>
            <w:pPr>
              <w:ind w:left="9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06/20/2003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2,000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33.8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5,057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2C2C2C"/>
            </w:tcBorders>
            <w:gridSpan w:val="7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20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8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4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80" w:type="dxa"/>
            <w:vAlign w:val="bottom"/>
            <w:gridSpan w:val="7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Expiration Date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7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Date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5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9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</w:t>
            </w:r>
          </w:p>
        </w:tc>
        <w:tc>
          <w:tcPr>
            <w:tcW w:w="1100" w:type="dxa"/>
            <w:vAlign w:val="bottom"/>
            <w:gridSpan w:val="2"/>
            <w:vMerge w:val="restart"/>
          </w:tcPr>
          <w:p>
            <w:pPr>
              <w:jc w:val="right"/>
              <w:ind w:right="15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06/20/2003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525,400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525,400</w:t>
            </w:r>
          </w:p>
        </w:tc>
        <w:tc>
          <w:tcPr>
            <w:tcW w:w="320" w:type="dxa"/>
            <w:vAlign w:val="bottom"/>
            <w:gridSpan w:val="2"/>
          </w:tcPr>
          <w:p>
            <w:pPr>
              <w:jc w:val="right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74"/>
              </w:rPr>
              <w:t>(2)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  <w:gridSpan w:val="3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08/08/1988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99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152,000 shares on 04/26/01, 12,667 shares per month beginning 05/26/01 until 04/26/05.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220" w:firstLine="6"/>
        <w:spacing w:after="0" w:line="245" w:lineRule="auto"/>
        <w:tabs>
          <w:tab w:leader="none" w:pos="173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Summary of Derivative Securities: In addition, the Reporting Person owns directly three additional Stock Options (Right to Buy) with different vesting schedules described as follows: (i) 40,000 shares granted on January 2, 2001 at $21.37 per share, vests 10,000 shares on 01/02/02 , and 833 shares per month beginning 02/02/02 until 01/02/05; (ii) 40,000 shares granted on February 28, 2002 at $30.69 per share, vests 10,000 shares on 02/03/03, 8,333 shares on 12/03/03, and 833 shares per month beginning 01/03/04 until 02/03/06; (iii) 70,000 shares granted on October 16, 2002 at $13.87 per share, vests 70,000 shares on 10/16/2007. Options become exerciseable as they vest.</w:t>
      </w:r>
    </w:p>
    <w:p>
      <w:pPr>
        <w:spacing w:after="0" w:line="41" w:lineRule="exact"/>
        <w:rPr>
          <w:sz w:val="20"/>
          <w:szCs w:val="20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0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George Hevey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06/23/2003</w:t>
            </w:r>
          </w:p>
        </w:tc>
      </w:tr>
      <w:tr>
        <w:trPr>
          <w:trHeight w:val="233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left="40" w:right="3800" w:firstLine="6"/>
        <w:spacing w:after="0" w:line="318" w:lineRule="auto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hyperlink" Target="http://www.sec.gov/cgi-bin/browse-edgar?action=getcompany&amp;CIK=0001189880" TargetMode="External"/><Relationship Id="rId11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2019-12-23T22:55:32Z</dcterms:created>
  <dcterms:modified xsi:type="dcterms:W3CDTF">2019-12-23T22:55:32Z</dcterms:modified>
</cp:coreProperties>
</file>