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82530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82530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159"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28,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159"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60" w:val="left"/>
          <w:tab w:leader="none" w:pos="5340" w:val="left"/>
          <w:tab w:leader="none" w:pos="594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40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36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159"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03/28/03</w:t>
            </w:r>
          </w:p>
        </w:tc>
        <w:tc>
          <w:tcPr>
            <w:tcW w:w="980" w:type="dxa"/>
            <w:vAlign w:val="bottom"/>
            <w:tcBorders>
              <w:top w:val="single" w:sz="8" w:color="2C2C2C"/>
            </w:tcBorders>
          </w:tcPr>
          <w:p>
            <w:pPr>
              <w:ind w:left="440"/>
              <w:spacing w:after="0"/>
              <w:rPr>
                <w:sz w:val="20"/>
                <w:szCs w:val="20"/>
                <w:color w:val="auto"/>
              </w:rPr>
            </w:pPr>
            <w:r>
              <w:rPr>
                <w:rFonts w:ascii="Arial" w:cs="Arial" w:eastAsia="Arial" w:hAnsi="Arial"/>
                <w:sz w:val="17"/>
                <w:szCs w:val="17"/>
                <w:b w:val="1"/>
                <w:bCs w:val="1"/>
                <w:color w:val="auto"/>
              </w:rPr>
              <w:t>S</w:t>
            </w:r>
          </w:p>
        </w:tc>
        <w:tc>
          <w:tcPr>
            <w:tcW w:w="9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2,400</w:t>
            </w:r>
          </w:p>
        </w:tc>
        <w:tc>
          <w:tcPr>
            <w:tcW w:w="480" w:type="dxa"/>
            <w:vAlign w:val="bottom"/>
            <w:tcBorders>
              <w:top w:val="single" w:sz="8" w:color="2C2C2C"/>
            </w:tcBorders>
          </w:tcPr>
          <w:p>
            <w:pPr>
              <w:ind w:left="100"/>
              <w:spacing w:after="0"/>
              <w:rPr>
                <w:sz w:val="20"/>
                <w:szCs w:val="20"/>
                <w:color w:val="auto"/>
              </w:rPr>
            </w:pPr>
            <w:r>
              <w:rPr>
                <w:rFonts w:ascii="Arial" w:cs="Arial" w:eastAsia="Arial" w:hAnsi="Arial"/>
                <w:sz w:val="17"/>
                <w:szCs w:val="17"/>
                <w:b w:val="1"/>
                <w:bCs w:val="1"/>
                <w:color w:val="auto"/>
              </w:rPr>
              <w:t>D</w:t>
            </w:r>
          </w:p>
        </w:tc>
        <w:tc>
          <w:tcPr>
            <w:tcW w:w="1140" w:type="dxa"/>
            <w:vAlign w:val="bottom"/>
            <w:tcBorders>
              <w:top w:val="single" w:sz="8" w:color="2C2C2C"/>
            </w:tcBorders>
          </w:tcPr>
          <w:p>
            <w:pPr>
              <w:jc w:val="right"/>
              <w:ind w:right="317"/>
              <w:spacing w:after="0"/>
              <w:rPr>
                <w:sz w:val="20"/>
                <w:szCs w:val="20"/>
                <w:color w:val="auto"/>
              </w:rPr>
            </w:pPr>
            <w:r>
              <w:rPr>
                <w:rFonts w:ascii="Arial" w:cs="Arial" w:eastAsia="Arial" w:hAnsi="Arial"/>
                <w:sz w:val="17"/>
                <w:szCs w:val="17"/>
                <w:b w:val="1"/>
                <w:bCs w:val="1"/>
                <w:color w:val="auto"/>
              </w:rPr>
              <w:t>$22.15</w:t>
            </w:r>
          </w:p>
        </w:tc>
        <w:tc>
          <w:tcPr>
            <w:tcW w:w="122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4,200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$22.1</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$22.45</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3,300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$22.3</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1,700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$22.31</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$22.19</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2,213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$22.4</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5,800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$21.91</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14,500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$22.0</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5,500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$22.05</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7,787</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$22.4</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2,600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$22.15</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474,000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3,096,488</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210,000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ectPr>
          <w:pgSz w:w="11900" w:h="16838" w:orient="portrait"/>
          <w:cols w:equalWidth="0" w:num="1">
            <w:col w:w="11500"/>
          </w:cols>
          <w:pgMar w:left="240" w:top="220" w:right="159" w:bottom="159" w:gutter="0" w:footer="0" w:header="0"/>
          <w:type w:val="continuous"/>
        </w:sectPr>
      </w:pPr>
    </w:p>
    <w:bookmarkStart w:id="1" w:name="page2"/>
    <w:bookmarkEnd w:id="1"/>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0"/>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gridSpan w:val="3"/>
          </w:tcPr>
          <w:p>
            <w:pPr>
              <w:ind w:left="14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$21.59</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06/21/12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-3061970</wp:posOffset>
            </wp:positionV>
            <wp:extent cx="7326630" cy="30924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092450"/>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0" w:right="120" w:firstLine="8"/>
        <w:spacing w:after="0" w:line="254"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left="20" w:right="140" w:firstLine="8"/>
        <w:spacing w:after="0" w:line="251"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left="20" w:right="140" w:firstLine="8"/>
        <w:spacing w:after="0" w:line="256"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40" w:type="dxa"/>
        <w:tblCellMar>
          <w:top w:w="0" w:type="dxa"/>
          <w:left w:w="0" w:type="dxa"/>
          <w:bottom w:w="0" w:type="dxa"/>
          <w:right w:w="0" w:type="dxa"/>
        </w:tblCellMar>
      </w:tblPr>
      <w:tr>
        <w:trPr>
          <w:trHeight w:val="195"/>
        </w:trPr>
        <w:tc>
          <w:tcPr>
            <w:tcW w:w="98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920" w:type="dxa"/>
            <w:vAlign w:val="bottom"/>
          </w:tcPr>
          <w:p>
            <w:pPr>
              <w:spacing w:after="0"/>
              <w:rPr>
                <w:sz w:val="20"/>
                <w:szCs w:val="20"/>
                <w:color w:val="auto"/>
              </w:rPr>
            </w:pPr>
            <w:r>
              <w:rPr>
                <w:rFonts w:ascii="Arial" w:cs="Arial" w:eastAsia="Arial" w:hAnsi="Arial"/>
                <w:sz w:val="17"/>
                <w:szCs w:val="17"/>
                <w:b w:val="1"/>
                <w:bCs w:val="1"/>
                <w:color w:val="auto"/>
                <w:w w:val="89"/>
              </w:rPr>
              <w:t>April 1,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8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920" w:type="dxa"/>
            <w:vAlign w:val="bottom"/>
          </w:tcPr>
          <w:p>
            <w:pPr>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9800" w:type="dxa"/>
            <w:vAlign w:val="bottom"/>
            <w:gridSpan w:val="3"/>
            <w:vMerge w:val="continue"/>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98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8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98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8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4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40" w:top="12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2019-12-23T22:53:56Z</dcterms:created>
  <dcterms:modified xsi:type="dcterms:W3CDTF">2019-12-23T22:53:56Z</dcterms:modified>
</cp:coreProperties>
</file>