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hyperlink w:anchor="page3">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As filed with the Securities and Exchange Commission on May 2, 2003.</w:t>
      </w:r>
    </w:p>
    <w:p>
      <w:pPr>
        <w:spacing w:after="0" w:line="225" w:lineRule="exact"/>
        <w:rPr>
          <w:sz w:val="20"/>
          <w:szCs w:val="20"/>
          <w:color w:val="auto"/>
        </w:rPr>
      </w:pPr>
    </w:p>
    <w:p>
      <w:pPr>
        <w:ind w:left="9360"/>
        <w:spacing w:after="0"/>
        <w:rPr>
          <w:sz w:val="20"/>
          <w:szCs w:val="20"/>
          <w:color w:val="auto"/>
        </w:rPr>
      </w:pPr>
      <w:r>
        <w:rPr>
          <w:rFonts w:ascii="Times New Roman" w:cs="Times New Roman" w:eastAsia="Times New Roman" w:hAnsi="Times New Roman"/>
          <w:sz w:val="16"/>
          <w:szCs w:val="16"/>
          <w:color w:val="auto"/>
        </w:rPr>
        <w:t>Registration No. 333-______</w:t>
      </w:r>
    </w:p>
    <w:p>
      <w:pPr>
        <w:spacing w:after="0" w:line="23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SECURITIES AND EXCHANGE COMMISSION</w:t>
      </w:r>
    </w:p>
    <w:p>
      <w:pPr>
        <w:spacing w:after="0" w:line="2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Washington, D.C. 20549</w:t>
      </w:r>
    </w:p>
    <w:p>
      <w:pPr>
        <w:spacing w:after="0" w:line="20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S-8</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REGISTRATION STATEMENT</w:t>
      </w:r>
    </w:p>
    <w:p>
      <w:pPr>
        <w:spacing w:after="0" w:line="4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Under</w:t>
      </w:r>
    </w:p>
    <w:p>
      <w:pPr>
        <w:spacing w:after="0" w:line="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THE SECURITIES ACT OF 1933</w:t>
      </w:r>
    </w:p>
    <w:p>
      <w:pPr>
        <w:spacing w:after="0" w:line="1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24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pacing w:after="0" w:line="250" w:lineRule="exact"/>
        <w:rPr>
          <w:sz w:val="20"/>
          <w:szCs w:val="20"/>
          <w:color w:val="auto"/>
        </w:rPr>
      </w:pPr>
    </w:p>
    <w:tbl>
      <w:tblPr>
        <w:tblLayout w:type="fixed"/>
        <w:tblInd w:w="3100" w:type="dxa"/>
        <w:tblCellMar>
          <w:top w:w="0" w:type="dxa"/>
          <w:left w:w="0" w:type="dxa"/>
          <w:bottom w:w="0" w:type="dxa"/>
          <w:right w:w="0" w:type="dxa"/>
        </w:tblCellMar>
      </w:tblPr>
      <w:tr>
        <w:trPr>
          <w:trHeight w:val="218"/>
        </w:trPr>
        <w:tc>
          <w:tcPr>
            <w:tcW w:w="2900" w:type="dxa"/>
            <w:vAlign w:val="bottom"/>
          </w:tcPr>
          <w:p>
            <w:pPr>
              <w:jc w:val="center"/>
              <w:ind w:right="712"/>
              <w:spacing w:after="0"/>
              <w:rPr>
                <w:sz w:val="20"/>
                <w:szCs w:val="20"/>
                <w:color w:val="auto"/>
              </w:rPr>
            </w:pPr>
            <w:r>
              <w:rPr>
                <w:rFonts w:ascii="Times New Roman" w:cs="Times New Roman" w:eastAsia="Times New Roman" w:hAnsi="Times New Roman"/>
                <w:sz w:val="18"/>
                <w:szCs w:val="18"/>
                <w:b w:val="1"/>
                <w:bCs w:val="1"/>
                <w:color w:val="auto"/>
                <w:w w:val="97"/>
              </w:rPr>
              <w:t>Bermuda</w:t>
            </w:r>
          </w:p>
        </w:tc>
        <w:tc>
          <w:tcPr>
            <w:tcW w:w="2100" w:type="dxa"/>
            <w:vAlign w:val="bottom"/>
          </w:tcPr>
          <w:p>
            <w:pPr>
              <w:jc w:val="center"/>
              <w:ind w:left="692"/>
              <w:spacing w:after="0"/>
              <w:rPr>
                <w:sz w:val="20"/>
                <w:szCs w:val="20"/>
                <w:color w:val="auto"/>
              </w:rPr>
            </w:pPr>
            <w:r>
              <w:rPr>
                <w:rFonts w:ascii="Times New Roman" w:cs="Times New Roman" w:eastAsia="Times New Roman" w:hAnsi="Times New Roman"/>
                <w:sz w:val="18"/>
                <w:szCs w:val="18"/>
                <w:b w:val="1"/>
                <w:bCs w:val="1"/>
                <w:color w:val="auto"/>
                <w:w w:val="96"/>
              </w:rPr>
              <w:t>77-0481679</w:t>
            </w:r>
          </w:p>
        </w:tc>
      </w:tr>
      <w:tr>
        <w:trPr>
          <w:trHeight w:val="216"/>
        </w:trPr>
        <w:tc>
          <w:tcPr>
            <w:tcW w:w="2900" w:type="dxa"/>
            <w:vAlign w:val="bottom"/>
          </w:tcPr>
          <w:p>
            <w:pPr>
              <w:jc w:val="center"/>
              <w:ind w:right="692"/>
              <w:spacing w:after="0"/>
              <w:rPr>
                <w:sz w:val="20"/>
                <w:szCs w:val="20"/>
                <w:color w:val="auto"/>
              </w:rPr>
            </w:pPr>
            <w:r>
              <w:rPr>
                <w:rFonts w:ascii="Times New Roman" w:cs="Times New Roman" w:eastAsia="Times New Roman" w:hAnsi="Times New Roman"/>
                <w:sz w:val="18"/>
                <w:szCs w:val="18"/>
                <w:color w:val="auto"/>
                <w:w w:val="97"/>
              </w:rPr>
              <w:t>(State or other jurisdiction of</w:t>
            </w:r>
          </w:p>
        </w:tc>
        <w:tc>
          <w:tcPr>
            <w:tcW w:w="2100" w:type="dxa"/>
            <w:vAlign w:val="bottom"/>
          </w:tcPr>
          <w:p>
            <w:pPr>
              <w:jc w:val="center"/>
              <w:ind w:left="692"/>
              <w:spacing w:after="0"/>
              <w:rPr>
                <w:sz w:val="20"/>
                <w:szCs w:val="20"/>
                <w:color w:val="auto"/>
              </w:rPr>
            </w:pPr>
            <w:r>
              <w:rPr>
                <w:rFonts w:ascii="Times New Roman" w:cs="Times New Roman" w:eastAsia="Times New Roman" w:hAnsi="Times New Roman"/>
                <w:sz w:val="18"/>
                <w:szCs w:val="18"/>
                <w:color w:val="auto"/>
                <w:w w:val="97"/>
              </w:rPr>
              <w:t>(I.R.S. Employer</w:t>
            </w:r>
          </w:p>
        </w:tc>
      </w:tr>
      <w:tr>
        <w:trPr>
          <w:trHeight w:val="228"/>
        </w:trPr>
        <w:tc>
          <w:tcPr>
            <w:tcW w:w="2900" w:type="dxa"/>
            <w:vAlign w:val="bottom"/>
          </w:tcPr>
          <w:p>
            <w:pPr>
              <w:jc w:val="center"/>
              <w:ind w:right="692"/>
              <w:spacing w:after="0"/>
              <w:rPr>
                <w:sz w:val="20"/>
                <w:szCs w:val="20"/>
                <w:color w:val="auto"/>
              </w:rPr>
            </w:pPr>
            <w:r>
              <w:rPr>
                <w:rFonts w:ascii="Times New Roman" w:cs="Times New Roman" w:eastAsia="Times New Roman" w:hAnsi="Times New Roman"/>
                <w:sz w:val="18"/>
                <w:szCs w:val="18"/>
                <w:color w:val="auto"/>
                <w:w w:val="97"/>
              </w:rPr>
              <w:t>incorporation or organization)</w:t>
            </w:r>
          </w:p>
        </w:tc>
        <w:tc>
          <w:tcPr>
            <w:tcW w:w="2100" w:type="dxa"/>
            <w:vAlign w:val="bottom"/>
          </w:tcPr>
          <w:p>
            <w:pPr>
              <w:jc w:val="center"/>
              <w:ind w:left="692"/>
              <w:spacing w:after="0"/>
              <w:rPr>
                <w:sz w:val="20"/>
                <w:szCs w:val="20"/>
                <w:color w:val="auto"/>
              </w:rPr>
            </w:pPr>
            <w:r>
              <w:rPr>
                <w:rFonts w:ascii="Times New Roman" w:cs="Times New Roman" w:eastAsia="Times New Roman" w:hAnsi="Times New Roman"/>
                <w:sz w:val="18"/>
                <w:szCs w:val="18"/>
                <w:color w:val="auto"/>
                <w:w w:val="98"/>
              </w:rPr>
              <w:t>Identification No.)</w:t>
            </w:r>
          </w:p>
        </w:tc>
      </w:tr>
    </w:tbl>
    <w:p>
      <w:pPr>
        <w:spacing w:after="0" w:line="20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4th Floor</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Windsor Place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Queen Street</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P.O. Box HM 1179</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EX</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(Address, including Zip Code, and Telephone Number, including</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Area Code of Registrant’s Principal Executive Offices)</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Amended and Restated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1995 Stock Option Plan</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(Full title of the plans)</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Matthew Gloss</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(Name, Address, including Zip Code, and Telephone Number, including Area Code,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of Agent for Service)</w:t>
      </w:r>
    </w:p>
    <w:p>
      <w:pPr>
        <w:spacing w:after="0" w:line="2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CALCULATION OF REGISTRATION FEE</w:t>
      </w:r>
    </w:p>
    <w:p>
      <w:pPr>
        <w:spacing w:after="0" w:line="200" w:lineRule="exact"/>
        <w:rPr>
          <w:sz w:val="20"/>
          <w:szCs w:val="20"/>
          <w:color w:val="auto"/>
        </w:rPr>
      </w:pP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20" w:type="dxa"/>
            <w:vAlign w:val="bottom"/>
            <w:gridSpan w:val="2"/>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w w:val="97"/>
              </w:rPr>
              <w:t>Title of</w:t>
            </w:r>
          </w:p>
        </w:tc>
        <w:tc>
          <w:tcPr>
            <w:tcW w:w="19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7"/>
              </w:rPr>
              <w:t>Amount</w:t>
            </w:r>
          </w:p>
        </w:tc>
        <w:tc>
          <w:tcPr>
            <w:tcW w:w="2020" w:type="dxa"/>
            <w:vAlign w:val="bottom"/>
          </w:tcPr>
          <w:p>
            <w:pPr>
              <w:jc w:val="center"/>
              <w:ind w:right="2"/>
              <w:spacing w:after="0"/>
              <w:rPr>
                <w:sz w:val="20"/>
                <w:szCs w:val="20"/>
                <w:color w:val="auto"/>
              </w:rPr>
            </w:pPr>
            <w:r>
              <w:rPr>
                <w:rFonts w:ascii="Times New Roman" w:cs="Times New Roman" w:eastAsia="Times New Roman" w:hAnsi="Times New Roman"/>
                <w:sz w:val="14"/>
                <w:szCs w:val="14"/>
                <w:b w:val="1"/>
                <w:bCs w:val="1"/>
                <w:color w:val="auto"/>
                <w:w w:val="96"/>
              </w:rPr>
              <w:t>Proposed Maximum</w:t>
            </w:r>
          </w:p>
        </w:tc>
        <w:tc>
          <w:tcPr>
            <w:tcW w:w="620" w:type="dxa"/>
            <w:vAlign w:val="bottom"/>
          </w:tcPr>
          <w:p>
            <w:pPr>
              <w:spacing w:after="0"/>
              <w:rPr>
                <w:sz w:val="13"/>
                <w:szCs w:val="13"/>
                <w:color w:val="auto"/>
              </w:rPr>
            </w:pPr>
          </w:p>
        </w:tc>
        <w:tc>
          <w:tcPr>
            <w:tcW w:w="1640" w:type="dxa"/>
            <w:vAlign w:val="bottom"/>
          </w:tcPr>
          <w:p>
            <w:pPr>
              <w:jc w:val="center"/>
              <w:ind w:right="677"/>
              <w:spacing w:after="0"/>
              <w:rPr>
                <w:sz w:val="20"/>
                <w:szCs w:val="20"/>
                <w:color w:val="auto"/>
              </w:rPr>
            </w:pPr>
            <w:r>
              <w:rPr>
                <w:rFonts w:ascii="Times New Roman" w:cs="Times New Roman" w:eastAsia="Times New Roman" w:hAnsi="Times New Roman"/>
                <w:sz w:val="14"/>
                <w:szCs w:val="14"/>
                <w:b w:val="1"/>
                <w:bCs w:val="1"/>
                <w:color w:val="auto"/>
                <w:w w:val="92"/>
              </w:rPr>
              <w:t>Proposed</w:t>
            </w:r>
          </w:p>
        </w:tc>
        <w:tc>
          <w:tcPr>
            <w:tcW w:w="660" w:type="dxa"/>
            <w:vAlign w:val="bottom"/>
          </w:tcPr>
          <w:p>
            <w:pPr>
              <w:spacing w:after="0"/>
              <w:rPr>
                <w:sz w:val="13"/>
                <w:szCs w:val="13"/>
                <w:color w:val="auto"/>
              </w:rPr>
            </w:pPr>
          </w:p>
        </w:tc>
        <w:tc>
          <w:tcPr>
            <w:tcW w:w="1740" w:type="dxa"/>
            <w:vAlign w:val="bottom"/>
          </w:tcPr>
          <w:p>
            <w:pPr>
              <w:jc w:val="center"/>
              <w:ind w:right="882"/>
              <w:spacing w:after="0"/>
              <w:rPr>
                <w:sz w:val="20"/>
                <w:szCs w:val="20"/>
                <w:color w:val="auto"/>
              </w:rPr>
            </w:pPr>
            <w:r>
              <w:rPr>
                <w:rFonts w:ascii="Times New Roman" w:cs="Times New Roman" w:eastAsia="Times New Roman" w:hAnsi="Times New Roman"/>
                <w:sz w:val="14"/>
                <w:szCs w:val="14"/>
                <w:b w:val="1"/>
                <w:bCs w:val="1"/>
                <w:color w:val="auto"/>
                <w:w w:val="96"/>
              </w:rPr>
              <w:t>Amount of</w:t>
            </w:r>
          </w:p>
        </w:tc>
      </w:tr>
      <w:tr>
        <w:trPr>
          <w:trHeight w:val="149"/>
        </w:trPr>
        <w:tc>
          <w:tcPr>
            <w:tcW w:w="282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w w:val="94"/>
              </w:rPr>
              <w:t>Securities To</w:t>
            </w:r>
          </w:p>
        </w:tc>
        <w:tc>
          <w:tcPr>
            <w:tcW w:w="19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0"/>
              </w:rPr>
              <w:t>To Be</w:t>
            </w:r>
          </w:p>
        </w:tc>
        <w:tc>
          <w:tcPr>
            <w:tcW w:w="2020" w:type="dxa"/>
            <w:vAlign w:val="bottom"/>
          </w:tcPr>
          <w:p>
            <w:pPr>
              <w:jc w:val="center"/>
              <w:ind w:right="2"/>
              <w:spacing w:after="0" w:line="149" w:lineRule="exact"/>
              <w:rPr>
                <w:sz w:val="20"/>
                <w:szCs w:val="20"/>
                <w:color w:val="auto"/>
              </w:rPr>
            </w:pPr>
            <w:r>
              <w:rPr>
                <w:rFonts w:ascii="Times New Roman" w:cs="Times New Roman" w:eastAsia="Times New Roman" w:hAnsi="Times New Roman"/>
                <w:sz w:val="14"/>
                <w:szCs w:val="14"/>
                <w:b w:val="1"/>
                <w:bCs w:val="1"/>
                <w:color w:val="auto"/>
                <w:w w:val="95"/>
              </w:rPr>
              <w:t>Offering Price</w:t>
            </w:r>
          </w:p>
        </w:tc>
        <w:tc>
          <w:tcPr>
            <w:tcW w:w="2260" w:type="dxa"/>
            <w:vAlign w:val="bottom"/>
            <w:gridSpan w:val="2"/>
          </w:tcPr>
          <w:p>
            <w:pPr>
              <w:jc w:val="center"/>
              <w:ind w:right="57"/>
              <w:spacing w:after="0" w:line="149" w:lineRule="exact"/>
              <w:rPr>
                <w:sz w:val="20"/>
                <w:szCs w:val="20"/>
                <w:color w:val="auto"/>
              </w:rPr>
            </w:pPr>
            <w:r>
              <w:rPr>
                <w:rFonts w:ascii="Times New Roman" w:cs="Times New Roman" w:eastAsia="Times New Roman" w:hAnsi="Times New Roman"/>
                <w:sz w:val="14"/>
                <w:szCs w:val="14"/>
                <w:b w:val="1"/>
                <w:bCs w:val="1"/>
                <w:color w:val="auto"/>
                <w:w w:val="97"/>
              </w:rPr>
              <w:t>Maximum Aggregate</w:t>
            </w:r>
          </w:p>
        </w:tc>
        <w:tc>
          <w:tcPr>
            <w:tcW w:w="660" w:type="dxa"/>
            <w:vAlign w:val="bottom"/>
          </w:tcPr>
          <w:p>
            <w:pPr>
              <w:spacing w:after="0"/>
              <w:rPr>
                <w:sz w:val="12"/>
                <w:szCs w:val="12"/>
                <w:color w:val="auto"/>
              </w:rPr>
            </w:pPr>
          </w:p>
        </w:tc>
        <w:tc>
          <w:tcPr>
            <w:tcW w:w="1740" w:type="dxa"/>
            <w:vAlign w:val="bottom"/>
          </w:tcPr>
          <w:p>
            <w:pPr>
              <w:jc w:val="center"/>
              <w:ind w:right="902"/>
              <w:spacing w:after="0" w:line="149" w:lineRule="exact"/>
              <w:rPr>
                <w:sz w:val="20"/>
                <w:szCs w:val="20"/>
                <w:color w:val="auto"/>
              </w:rPr>
            </w:pPr>
            <w:r>
              <w:rPr>
                <w:rFonts w:ascii="Times New Roman" w:cs="Times New Roman" w:eastAsia="Times New Roman" w:hAnsi="Times New Roman"/>
                <w:sz w:val="14"/>
                <w:szCs w:val="14"/>
                <w:b w:val="1"/>
                <w:bCs w:val="1"/>
                <w:color w:val="auto"/>
                <w:w w:val="97"/>
              </w:rPr>
              <w:t>Registration</w:t>
            </w:r>
          </w:p>
        </w:tc>
      </w:tr>
      <w:tr>
        <w:trPr>
          <w:trHeight w:val="178"/>
        </w:trPr>
        <w:tc>
          <w:tcPr>
            <w:tcW w:w="2820" w:type="dxa"/>
            <w:vAlign w:val="bottom"/>
            <w:gridSpan w:val="2"/>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w w:val="94"/>
              </w:rPr>
              <w:t>Be Registered</w:t>
            </w:r>
          </w:p>
        </w:tc>
        <w:tc>
          <w:tcPr>
            <w:tcW w:w="19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4"/>
              </w:rPr>
              <w:t>Registered(1)</w:t>
            </w:r>
          </w:p>
        </w:tc>
        <w:tc>
          <w:tcPr>
            <w:tcW w:w="2020" w:type="dxa"/>
            <w:vAlign w:val="bottom"/>
          </w:tcPr>
          <w:p>
            <w:pPr>
              <w:jc w:val="center"/>
              <w:ind w:right="22"/>
              <w:spacing w:after="0"/>
              <w:rPr>
                <w:sz w:val="20"/>
                <w:szCs w:val="20"/>
                <w:color w:val="auto"/>
              </w:rPr>
            </w:pPr>
            <w:r>
              <w:rPr>
                <w:rFonts w:ascii="Times New Roman" w:cs="Times New Roman" w:eastAsia="Times New Roman" w:hAnsi="Times New Roman"/>
                <w:sz w:val="14"/>
                <w:szCs w:val="14"/>
                <w:b w:val="1"/>
                <w:bCs w:val="1"/>
                <w:color w:val="auto"/>
                <w:w w:val="95"/>
              </w:rPr>
              <w:t>per Share(2)</w:t>
            </w:r>
          </w:p>
        </w:tc>
        <w:tc>
          <w:tcPr>
            <w:tcW w:w="2260" w:type="dxa"/>
            <w:vAlign w:val="bottom"/>
            <w:gridSpan w:val="2"/>
          </w:tcPr>
          <w:p>
            <w:pPr>
              <w:jc w:val="center"/>
              <w:ind w:right="57"/>
              <w:spacing w:after="0"/>
              <w:rPr>
                <w:sz w:val="20"/>
                <w:szCs w:val="20"/>
                <w:color w:val="auto"/>
              </w:rPr>
            </w:pPr>
            <w:r>
              <w:rPr>
                <w:rFonts w:ascii="Times New Roman" w:cs="Times New Roman" w:eastAsia="Times New Roman" w:hAnsi="Times New Roman"/>
                <w:sz w:val="14"/>
                <w:szCs w:val="14"/>
                <w:b w:val="1"/>
                <w:bCs w:val="1"/>
                <w:color w:val="auto"/>
                <w:w w:val="97"/>
              </w:rPr>
              <w:t>Offering Price(2)</w:t>
            </w:r>
          </w:p>
        </w:tc>
        <w:tc>
          <w:tcPr>
            <w:tcW w:w="660" w:type="dxa"/>
            <w:vAlign w:val="bottom"/>
          </w:tcPr>
          <w:p>
            <w:pPr>
              <w:spacing w:after="0"/>
              <w:rPr>
                <w:sz w:val="15"/>
                <w:szCs w:val="15"/>
                <w:color w:val="auto"/>
              </w:rPr>
            </w:pPr>
          </w:p>
        </w:tc>
        <w:tc>
          <w:tcPr>
            <w:tcW w:w="1740" w:type="dxa"/>
            <w:vAlign w:val="bottom"/>
          </w:tcPr>
          <w:p>
            <w:pPr>
              <w:jc w:val="center"/>
              <w:ind w:right="902"/>
              <w:spacing w:after="0"/>
              <w:rPr>
                <w:sz w:val="20"/>
                <w:szCs w:val="20"/>
                <w:color w:val="auto"/>
              </w:rPr>
            </w:pPr>
            <w:r>
              <w:rPr>
                <w:rFonts w:ascii="Times New Roman" w:cs="Times New Roman" w:eastAsia="Times New Roman" w:hAnsi="Times New Roman"/>
                <w:sz w:val="14"/>
                <w:szCs w:val="14"/>
                <w:b w:val="1"/>
                <w:bCs w:val="1"/>
                <w:color w:val="auto"/>
                <w:w w:val="95"/>
              </w:rPr>
              <w:t>Fee</w:t>
            </w:r>
          </w:p>
        </w:tc>
      </w:tr>
      <w:tr>
        <w:trPr>
          <w:trHeight w:val="95"/>
        </w:trPr>
        <w:tc>
          <w:tcPr>
            <w:tcW w:w="208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920" w:type="dxa"/>
            <w:vAlign w:val="bottom"/>
            <w:tcBorders>
              <w:bottom w:val="single" w:sz="8" w:color="808080"/>
            </w:tcBorders>
          </w:tcPr>
          <w:p>
            <w:pPr>
              <w:spacing w:after="0"/>
              <w:rPr>
                <w:sz w:val="8"/>
                <w:szCs w:val="8"/>
                <w:color w:val="auto"/>
              </w:rPr>
            </w:pPr>
          </w:p>
        </w:tc>
        <w:tc>
          <w:tcPr>
            <w:tcW w:w="202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64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1740" w:type="dxa"/>
            <w:vAlign w:val="bottom"/>
            <w:tcBorders>
              <w:bottom w:val="single" w:sz="8" w:color="808080"/>
            </w:tcBorders>
          </w:tcPr>
          <w:p>
            <w:pPr>
              <w:spacing w:after="0"/>
              <w:rPr>
                <w:sz w:val="8"/>
                <w:szCs w:val="8"/>
                <w:color w:val="auto"/>
              </w:rPr>
            </w:pPr>
          </w:p>
        </w:tc>
      </w:tr>
      <w:tr>
        <w:trPr>
          <w:trHeight w:val="303"/>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Common Stock, par value $0.002</w:t>
            </w:r>
          </w:p>
        </w:tc>
        <w:tc>
          <w:tcPr>
            <w:tcW w:w="19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740" w:type="dxa"/>
            <w:vAlign w:val="bottom"/>
          </w:tcPr>
          <w:p>
            <w:pPr>
              <w:spacing w:after="0"/>
              <w:rPr>
                <w:sz w:val="24"/>
                <w:szCs w:val="24"/>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 share: to be issued under the</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Amended and Restated 1995 Stock</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28"/>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Option Plan</w:t>
            </w:r>
          </w:p>
        </w:tc>
        <w:tc>
          <w:tcPr>
            <w:tcW w:w="19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6,062,996 shares</w:t>
            </w:r>
          </w:p>
        </w:tc>
        <w:tc>
          <w:tcPr>
            <w:tcW w:w="2020" w:type="dxa"/>
            <w:vAlign w:val="bottom"/>
          </w:tcPr>
          <w:p>
            <w:pPr>
              <w:jc w:val="right"/>
              <w:ind w:right="862"/>
              <w:spacing w:after="0"/>
              <w:rPr>
                <w:sz w:val="20"/>
                <w:szCs w:val="20"/>
                <w:color w:val="auto"/>
              </w:rPr>
            </w:pPr>
            <w:r>
              <w:rPr>
                <w:rFonts w:ascii="Times New Roman" w:cs="Times New Roman" w:eastAsia="Times New Roman" w:hAnsi="Times New Roman"/>
                <w:sz w:val="18"/>
                <w:szCs w:val="18"/>
                <w:color w:val="auto"/>
              </w:rPr>
              <w:t>$22.76</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40" w:type="dxa"/>
            <w:vAlign w:val="bottom"/>
          </w:tcPr>
          <w:p>
            <w:pPr>
              <w:jc w:val="right"/>
              <w:ind w:right="677"/>
              <w:spacing w:after="0"/>
              <w:rPr>
                <w:sz w:val="20"/>
                <w:szCs w:val="20"/>
                <w:color w:val="auto"/>
              </w:rPr>
            </w:pPr>
            <w:r>
              <w:rPr>
                <w:rFonts w:ascii="Times New Roman" w:cs="Times New Roman" w:eastAsia="Times New Roman" w:hAnsi="Times New Roman"/>
                <w:sz w:val="18"/>
                <w:szCs w:val="18"/>
                <w:color w:val="auto"/>
                <w:w w:val="95"/>
              </w:rPr>
              <w:t>137,993,789</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740" w:type="dxa"/>
            <w:vAlign w:val="bottom"/>
          </w:tcPr>
          <w:p>
            <w:pPr>
              <w:jc w:val="right"/>
              <w:ind w:right="962"/>
              <w:spacing w:after="0"/>
              <w:rPr>
                <w:sz w:val="20"/>
                <w:szCs w:val="20"/>
                <w:color w:val="auto"/>
              </w:rPr>
            </w:pPr>
            <w:r>
              <w:rPr>
                <w:rFonts w:ascii="Times New Roman" w:cs="Times New Roman" w:eastAsia="Times New Roman" w:hAnsi="Times New Roman"/>
                <w:sz w:val="18"/>
                <w:szCs w:val="18"/>
                <w:color w:val="auto"/>
                <w:w w:val="94"/>
              </w:rPr>
              <w:t>11,163.70</w:t>
            </w:r>
          </w:p>
        </w:tc>
      </w:tr>
      <w:tr>
        <w:trPr>
          <w:trHeight w:val="110"/>
        </w:trPr>
        <w:tc>
          <w:tcPr>
            <w:tcW w:w="208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920" w:type="dxa"/>
            <w:vAlign w:val="bottom"/>
            <w:tcBorders>
              <w:bottom w:val="single" w:sz="8" w:color="808080"/>
            </w:tcBorders>
          </w:tcPr>
          <w:p>
            <w:pPr>
              <w:spacing w:after="0"/>
              <w:rPr>
                <w:sz w:val="9"/>
                <w:szCs w:val="9"/>
                <w:color w:val="auto"/>
              </w:rPr>
            </w:pPr>
          </w:p>
        </w:tc>
        <w:tc>
          <w:tcPr>
            <w:tcW w:w="202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740" w:type="dxa"/>
            <w:vAlign w:val="bottom"/>
            <w:tcBorders>
              <w:bottom w:val="single" w:sz="8" w:color="808080"/>
            </w:tcBorders>
          </w:tcPr>
          <w:p>
            <w:pPr>
              <w:spacing w:after="0"/>
              <w:rPr>
                <w:sz w:val="9"/>
                <w:szCs w:val="9"/>
                <w:color w:val="auto"/>
              </w:rPr>
            </w:pPr>
          </w:p>
        </w:tc>
      </w:tr>
      <w:tr>
        <w:trPr>
          <w:trHeight w:val="303"/>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Common Stock, par value $0.002</w:t>
            </w:r>
          </w:p>
        </w:tc>
        <w:tc>
          <w:tcPr>
            <w:tcW w:w="19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740" w:type="dxa"/>
            <w:vAlign w:val="bottom"/>
          </w:tcPr>
          <w:p>
            <w:pPr>
              <w:spacing w:after="0"/>
              <w:rPr>
                <w:sz w:val="24"/>
                <w:szCs w:val="24"/>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 share: to be issued under the</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2000 Employee Stock Purchase</w:t>
            </w:r>
          </w:p>
        </w:tc>
        <w:tc>
          <w:tcPr>
            <w:tcW w:w="192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28"/>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Plan</w:t>
            </w:r>
          </w:p>
        </w:tc>
        <w:tc>
          <w:tcPr>
            <w:tcW w:w="19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500,000 shares</w:t>
            </w:r>
          </w:p>
        </w:tc>
        <w:tc>
          <w:tcPr>
            <w:tcW w:w="2020" w:type="dxa"/>
            <w:vAlign w:val="bottom"/>
          </w:tcPr>
          <w:p>
            <w:pPr>
              <w:jc w:val="right"/>
              <w:ind w:right="862"/>
              <w:spacing w:after="0"/>
              <w:rPr>
                <w:sz w:val="20"/>
                <w:szCs w:val="20"/>
                <w:color w:val="auto"/>
              </w:rPr>
            </w:pPr>
            <w:r>
              <w:rPr>
                <w:rFonts w:ascii="Times New Roman" w:cs="Times New Roman" w:eastAsia="Times New Roman" w:hAnsi="Times New Roman"/>
                <w:sz w:val="18"/>
                <w:szCs w:val="18"/>
                <w:color w:val="auto"/>
              </w:rPr>
              <w:t>$22.76</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40" w:type="dxa"/>
            <w:vAlign w:val="bottom"/>
          </w:tcPr>
          <w:p>
            <w:pPr>
              <w:jc w:val="right"/>
              <w:ind w:right="677"/>
              <w:spacing w:after="0"/>
              <w:rPr>
                <w:sz w:val="20"/>
                <w:szCs w:val="20"/>
                <w:color w:val="auto"/>
              </w:rPr>
            </w:pPr>
            <w:r>
              <w:rPr>
                <w:rFonts w:ascii="Times New Roman" w:cs="Times New Roman" w:eastAsia="Times New Roman" w:hAnsi="Times New Roman"/>
                <w:sz w:val="18"/>
                <w:szCs w:val="18"/>
                <w:color w:val="auto"/>
              </w:rPr>
              <w:t>11,380,000</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740" w:type="dxa"/>
            <w:vAlign w:val="bottom"/>
          </w:tcPr>
          <w:p>
            <w:pPr>
              <w:jc w:val="right"/>
              <w:ind w:right="962"/>
              <w:spacing w:after="0"/>
              <w:rPr>
                <w:sz w:val="20"/>
                <w:szCs w:val="20"/>
                <w:color w:val="auto"/>
              </w:rPr>
            </w:pPr>
            <w:r>
              <w:rPr>
                <w:rFonts w:ascii="Times New Roman" w:cs="Times New Roman" w:eastAsia="Times New Roman" w:hAnsi="Times New Roman"/>
                <w:sz w:val="18"/>
                <w:szCs w:val="18"/>
                <w:color w:val="auto"/>
              </w:rPr>
              <w:t>920.64</w:t>
            </w:r>
          </w:p>
        </w:tc>
      </w:tr>
      <w:tr>
        <w:trPr>
          <w:trHeight w:val="110"/>
        </w:trPr>
        <w:tc>
          <w:tcPr>
            <w:tcW w:w="208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920" w:type="dxa"/>
            <w:vAlign w:val="bottom"/>
            <w:tcBorders>
              <w:bottom w:val="single" w:sz="8" w:color="808080"/>
            </w:tcBorders>
          </w:tcPr>
          <w:p>
            <w:pPr>
              <w:spacing w:after="0"/>
              <w:rPr>
                <w:sz w:val="9"/>
                <w:szCs w:val="9"/>
                <w:color w:val="auto"/>
              </w:rPr>
            </w:pPr>
          </w:p>
        </w:tc>
        <w:tc>
          <w:tcPr>
            <w:tcW w:w="202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740" w:type="dxa"/>
            <w:vAlign w:val="bottom"/>
            <w:tcBorders>
              <w:bottom w:val="single" w:sz="8" w:color="808080"/>
            </w:tcBorders>
          </w:tcPr>
          <w:p>
            <w:pPr>
              <w:spacing w:after="0"/>
              <w:rPr>
                <w:sz w:val="9"/>
                <w:szCs w:val="9"/>
                <w:color w:val="auto"/>
              </w:rPr>
            </w:pPr>
          </w:p>
        </w:tc>
      </w:tr>
      <w:tr>
        <w:trPr>
          <w:trHeight w:val="316"/>
        </w:trPr>
        <w:tc>
          <w:tcPr>
            <w:tcW w:w="28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 Registration Fee</w:t>
            </w:r>
          </w:p>
        </w:tc>
        <w:tc>
          <w:tcPr>
            <w:tcW w:w="1920" w:type="dxa"/>
            <w:vAlign w:val="bottom"/>
          </w:tcPr>
          <w:p>
            <w:pPr>
              <w:ind w:left="760"/>
              <w:spacing w:after="0"/>
              <w:rPr>
                <w:sz w:val="20"/>
                <w:szCs w:val="20"/>
                <w:color w:val="auto"/>
              </w:rPr>
            </w:pPr>
            <w:r>
              <w:rPr>
                <w:rFonts w:ascii="Times New Roman" w:cs="Times New Roman" w:eastAsia="Times New Roman" w:hAnsi="Times New Roman"/>
                <w:sz w:val="18"/>
                <w:szCs w:val="18"/>
                <w:color w:val="auto"/>
              </w:rPr>
              <w:t>N/A</w:t>
            </w:r>
          </w:p>
        </w:tc>
        <w:tc>
          <w:tcPr>
            <w:tcW w:w="2020" w:type="dxa"/>
            <w:vAlign w:val="bottom"/>
          </w:tcPr>
          <w:p>
            <w:pPr>
              <w:jc w:val="right"/>
              <w:ind w:right="862"/>
              <w:spacing w:after="0"/>
              <w:rPr>
                <w:sz w:val="20"/>
                <w:szCs w:val="20"/>
                <w:color w:val="auto"/>
              </w:rPr>
            </w:pPr>
            <w:r>
              <w:rPr>
                <w:rFonts w:ascii="Times New Roman" w:cs="Times New Roman" w:eastAsia="Times New Roman" w:hAnsi="Times New Roman"/>
                <w:sz w:val="18"/>
                <w:szCs w:val="18"/>
                <w:color w:val="auto"/>
              </w:rPr>
              <w:t>N/A</w:t>
            </w:r>
          </w:p>
        </w:tc>
        <w:tc>
          <w:tcPr>
            <w:tcW w:w="620" w:type="dxa"/>
            <w:vAlign w:val="bottom"/>
          </w:tcPr>
          <w:p>
            <w:pPr>
              <w:spacing w:after="0"/>
              <w:rPr>
                <w:sz w:val="24"/>
                <w:szCs w:val="24"/>
                <w:color w:val="auto"/>
              </w:rPr>
            </w:pPr>
          </w:p>
        </w:tc>
        <w:tc>
          <w:tcPr>
            <w:tcW w:w="1640" w:type="dxa"/>
            <w:vAlign w:val="bottom"/>
          </w:tcPr>
          <w:p>
            <w:pPr>
              <w:jc w:val="right"/>
              <w:ind w:right="677"/>
              <w:spacing w:after="0"/>
              <w:rPr>
                <w:sz w:val="20"/>
                <w:szCs w:val="20"/>
                <w:color w:val="auto"/>
              </w:rPr>
            </w:pPr>
            <w:r>
              <w:rPr>
                <w:rFonts w:ascii="Times New Roman" w:cs="Times New Roman" w:eastAsia="Times New Roman" w:hAnsi="Times New Roman"/>
                <w:sz w:val="18"/>
                <w:szCs w:val="18"/>
                <w:color w:val="auto"/>
              </w:rPr>
              <w:t>N/A</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740" w:type="dxa"/>
            <w:vAlign w:val="bottom"/>
          </w:tcPr>
          <w:p>
            <w:pPr>
              <w:jc w:val="right"/>
              <w:ind w:right="962"/>
              <w:spacing w:after="0"/>
              <w:rPr>
                <w:sz w:val="20"/>
                <w:szCs w:val="20"/>
                <w:color w:val="auto"/>
              </w:rPr>
            </w:pPr>
            <w:r>
              <w:rPr>
                <w:rFonts w:ascii="Times New Roman" w:cs="Times New Roman" w:eastAsia="Times New Roman" w:hAnsi="Times New Roman"/>
                <w:sz w:val="18"/>
                <w:szCs w:val="18"/>
                <w:color w:val="auto"/>
                <w:w w:val="94"/>
              </w:rPr>
              <w:t>12,084.34</w:t>
            </w:r>
          </w:p>
        </w:tc>
      </w:tr>
      <w:tr>
        <w:trPr>
          <w:trHeight w:val="110"/>
        </w:trPr>
        <w:tc>
          <w:tcPr>
            <w:tcW w:w="208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920" w:type="dxa"/>
            <w:vAlign w:val="bottom"/>
            <w:tcBorders>
              <w:bottom w:val="single" w:sz="8" w:color="808080"/>
            </w:tcBorders>
          </w:tcPr>
          <w:p>
            <w:pPr>
              <w:spacing w:after="0"/>
              <w:rPr>
                <w:sz w:val="9"/>
                <w:szCs w:val="9"/>
                <w:color w:val="auto"/>
              </w:rPr>
            </w:pPr>
          </w:p>
        </w:tc>
        <w:tc>
          <w:tcPr>
            <w:tcW w:w="202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740" w:type="dxa"/>
            <w:vAlign w:val="bottom"/>
            <w:tcBorders>
              <w:bottom w:val="single" w:sz="8" w:color="808080"/>
            </w:tcBorders>
          </w:tcPr>
          <w:p>
            <w:pPr>
              <w:spacing w:after="0"/>
              <w:rPr>
                <w:sz w:val="9"/>
                <w:szCs w:val="9"/>
                <w:color w:val="auto"/>
              </w:rPr>
            </w:pPr>
          </w:p>
        </w:tc>
      </w:tr>
      <w:tr>
        <w:trPr>
          <w:trHeight w:val="318"/>
        </w:trPr>
        <w:tc>
          <w:tcPr>
            <w:tcW w:w="2080" w:type="dxa"/>
            <w:vAlign w:val="bottom"/>
            <w:tcBorders>
              <w:bottom w:val="single" w:sz="8" w:color="808080"/>
            </w:tcBorders>
          </w:tcPr>
          <w:p>
            <w:pPr>
              <w:spacing w:after="0"/>
              <w:rPr>
                <w:sz w:val="24"/>
                <w:szCs w:val="24"/>
                <w:color w:val="auto"/>
              </w:rPr>
            </w:pPr>
          </w:p>
        </w:tc>
        <w:tc>
          <w:tcPr>
            <w:tcW w:w="7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740" w:type="dxa"/>
            <w:vAlign w:val="bottom"/>
          </w:tcPr>
          <w:p>
            <w:pPr>
              <w:spacing w:after="0"/>
              <w:rPr>
                <w:sz w:val="24"/>
                <w:szCs w:val="24"/>
                <w:color w:val="auto"/>
              </w:rPr>
            </w:pPr>
          </w:p>
        </w:tc>
      </w:tr>
    </w:tbl>
    <w:p>
      <w:pPr>
        <w:sectPr>
          <w:pgSz w:w="11900" w:h="16838" w:orient="portrait"/>
          <w:cols w:equalWidth="0" w:num="1">
            <w:col w:w="11420"/>
          </w:cols>
          <w:pgMar w:left="240" w:top="118" w:right="239" w:bottom="0" w:gutter="0" w:footer="0" w:header="0"/>
        </w:sectPr>
      </w:pPr>
    </w:p>
    <w:bookmarkStart w:id="2" w:name="page3"/>
    <w:bookmarkEnd w:id="2"/>
    <w:p>
      <w:pPr>
        <w:jc w:val="both"/>
        <w:ind w:left="540" w:right="240" w:hanging="532"/>
        <w:spacing w:after="0" w:line="262"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Rule 416(a) of the Securities Act, this Registration Statement also covers shares issued pursuant to antidilution provisions set forth in the Marvell Technology Group Ltd. Amended and Restated 1995 Stock Option Plan and set forth in the Marvell Technology Group Ltd. 2000 Employee Stock Purchase Plan.</w:t>
      </w:r>
    </w:p>
    <w:p>
      <w:pPr>
        <w:spacing w:after="0" w:line="186" w:lineRule="exact"/>
        <w:rPr>
          <w:rFonts w:ascii="Times New Roman" w:cs="Times New Roman" w:eastAsia="Times New Roman" w:hAnsi="Times New Roman"/>
          <w:sz w:val="18"/>
          <w:szCs w:val="18"/>
          <w:color w:val="auto"/>
        </w:rPr>
      </w:pPr>
    </w:p>
    <w:p>
      <w:pPr>
        <w:jc w:val="both"/>
        <w:ind w:left="540" w:hanging="532"/>
        <w:spacing w:after="0" w:line="262"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solely for the purpose of calculating the registration fee pursuant to Rule 457(h)(1) and 457(c) under the Securities Act of 1933 solely for the purpose of calculating the registration fee, based upon the average of the high and low sales prices of Marvell Technology Group Ltd. common stock, as reported on the Nasdaq National Market on April 29,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127635</wp:posOffset>
            </wp:positionV>
            <wp:extent cx="189547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Registration Statement shall become effective upon filing in accordance with Rule 462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125" w:right="419" w:bottom="1440" w:gutter="0" w:footer="0" w:header="0"/>
        </w:sectPr>
      </w:pPr>
    </w:p>
    <w:bookmarkStart w:id="3" w:name="page4"/>
    <w:bookmarkEnd w:id="3"/>
    <w:p>
      <w:pPr>
        <w:ind w:left="3980"/>
        <w:spacing w:after="0"/>
        <w:rPr>
          <w:sz w:val="20"/>
          <w:szCs w:val="20"/>
          <w:color w:val="auto"/>
        </w:rPr>
      </w:pPr>
      <w:r>
        <w:rPr>
          <w:rFonts w:ascii="Times New Roman" w:cs="Times New Roman" w:eastAsia="Times New Roman" w:hAnsi="Times New Roman"/>
          <w:sz w:val="21"/>
          <w:szCs w:val="21"/>
          <w:b w:val="1"/>
          <w:bCs w:val="1"/>
          <w:u w:val="single" w:color="auto"/>
          <w:color w:val="auto"/>
        </w:rPr>
        <w:t>TABLE OF CONTENTS</w:t>
      </w:r>
    </w:p>
    <w:p>
      <w:pPr>
        <w:spacing w:after="0" w:line="222" w:lineRule="exact"/>
        <w:rPr>
          <w:sz w:val="20"/>
          <w:szCs w:val="20"/>
          <w:color w:val="auto"/>
        </w:rPr>
      </w:pPr>
    </w:p>
    <w:p>
      <w:pPr>
        <w:spacing w:after="0"/>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PART II</w:t>
        </w:r>
      </w:hyperlink>
    </w:p>
    <w:p>
      <w:pPr>
        <w:spacing w:after="0" w:line="14" w:lineRule="exact"/>
        <w:rPr>
          <w:sz w:val="20"/>
          <w:szCs w:val="20"/>
          <w:color w:val="auto"/>
        </w:rPr>
      </w:pPr>
    </w:p>
    <w:p>
      <w:pPr>
        <w:ind w:left="320" w:right="3339" w:hanging="310"/>
        <w:spacing w:after="0" w:line="230"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INFORMATION REQUIRED IN THE REGISTRATION STATEMENT</w:t>
        </w:r>
      </w:hyperlink>
      <w:r>
        <w:rPr>
          <w:rFonts w:ascii="Times New Roman" w:cs="Times New Roman" w:eastAsia="Times New Roman" w:hAnsi="Times New Roman"/>
          <w:sz w:val="22"/>
          <w:szCs w:val="22"/>
          <w:u w:val="single" w:color="auto"/>
          <w:color w:val="0000EE"/>
        </w:rPr>
        <w:t xml:space="preserve"> </w:t>
      </w:r>
      <w:hyperlink w:anchor="page5">
        <w:r>
          <w:rPr>
            <w:rFonts w:ascii="Times New Roman" w:cs="Times New Roman" w:eastAsia="Times New Roman" w:hAnsi="Times New Roman"/>
            <w:sz w:val="22"/>
            <w:szCs w:val="22"/>
            <w:u w:val="single" w:color="auto"/>
            <w:color w:val="0000EE"/>
          </w:rPr>
          <w:t>Item 3. Incorporation of Documents by Reference.</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Item 8. Exhibits.</w:t>
        </w:r>
      </w:hyperlink>
    </w:p>
    <w:p>
      <w:pPr>
        <w:spacing w:after="0" w:line="231" w:lineRule="auto"/>
        <w:rPr>
          <w:rFonts w:ascii="Times New Roman" w:cs="Times New Roman" w:eastAsia="Times New Roman" w:hAnsi="Times New Roman"/>
          <w:sz w:val="22"/>
          <w:szCs w:val="22"/>
          <w:u w:val="single" w:color="auto"/>
          <w:color w:val="0000EE"/>
        </w:rPr>
      </w:pPr>
      <w:hyperlink w:anchor="page6">
        <w:r>
          <w:rPr>
            <w:rFonts w:ascii="Times New Roman" w:cs="Times New Roman" w:eastAsia="Times New Roman" w:hAnsi="Times New Roman"/>
            <w:sz w:val="22"/>
            <w:szCs w:val="22"/>
            <w:u w:val="single" w:color="auto"/>
            <w:color w:val="0000EE"/>
          </w:rPr>
          <w:t>SIGNATURES</w:t>
        </w:r>
      </w:hyperlink>
    </w:p>
    <w:p>
      <w:pPr>
        <w:spacing w:after="0" w:line="231" w:lineRule="auto"/>
        <w:rPr>
          <w:rFonts w:ascii="Times New Roman" w:cs="Times New Roman" w:eastAsia="Times New Roman" w:hAnsi="Times New Roman"/>
          <w:sz w:val="22"/>
          <w:szCs w:val="22"/>
          <w:u w:val="single" w:color="auto"/>
          <w:color w:val="0000EE"/>
        </w:rPr>
      </w:pPr>
      <w:hyperlink w:anchor="page8">
        <w:r>
          <w:rPr>
            <w:rFonts w:ascii="Times New Roman" w:cs="Times New Roman" w:eastAsia="Times New Roman" w:hAnsi="Times New Roman"/>
            <w:sz w:val="22"/>
            <w:szCs w:val="22"/>
            <w:u w:val="single" w:color="auto"/>
            <w:color w:val="0000EE"/>
          </w:rPr>
          <w:t>EXHIBIT INDEX</w:t>
        </w:r>
      </w:hyperlink>
    </w:p>
    <w:p>
      <w:pPr>
        <w:spacing w:after="0" w:line="230" w:lineRule="auto"/>
        <w:rPr>
          <w:sz w:val="20"/>
          <w:szCs w:val="20"/>
          <w:color w:val="auto"/>
        </w:rPr>
      </w:pPr>
      <w:r>
        <w:rPr>
          <w:rFonts w:ascii="Times New Roman" w:cs="Times New Roman" w:eastAsia="Times New Roman" w:hAnsi="Times New Roman"/>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08" w:right="1440"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hyperlink w:anchor="page3">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INFORMATION REQUIRED PURSUANT TO GENERAL INSTRUCTION E TO FORM S-8</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GENERAL INSTRUCTION E INFORMATION</w:t>
      </w:r>
    </w:p>
    <w:p>
      <w:pPr>
        <w:spacing w:after="0" w:line="227" w:lineRule="exact"/>
        <w:rPr>
          <w:sz w:val="20"/>
          <w:szCs w:val="20"/>
          <w:color w:val="auto"/>
        </w:rPr>
      </w:pPr>
    </w:p>
    <w:p>
      <w:pPr>
        <w:ind w:right="320" w:firstLine="216"/>
        <w:spacing w:after="0" w:line="301" w:lineRule="auto"/>
        <w:rPr>
          <w:sz w:val="20"/>
          <w:szCs w:val="20"/>
          <w:color w:val="auto"/>
        </w:rPr>
      </w:pPr>
      <w:r>
        <w:rPr>
          <w:rFonts w:ascii="Times New Roman" w:cs="Times New Roman" w:eastAsia="Times New Roman" w:hAnsi="Times New Roman"/>
          <w:sz w:val="16"/>
          <w:szCs w:val="16"/>
          <w:color w:val="auto"/>
        </w:rPr>
        <w:t>This Registration Statement on Form S-8 is filed by Marvell Technology Group Ltd., a Bermuda corporation (the “Company”), to register an additional 6,062,996 shares of the Company’s common stock, par value $0.002 per share (“Common Stock”), issuable to holders of options issued under the Company’s Amended and Restated 1995 Stock Option Plan and an additional 500,000 shares of Common Stock issuable to employees of the Company and certain of its subsidiaries under the Company’s 2000 Employee Stock Purchase Plan, and consists of only those items required by General Instruction E to Form S-8.</w:t>
      </w:r>
    </w:p>
    <w:p>
      <w:pPr>
        <w:spacing w:after="0" w:line="157" w:lineRule="exact"/>
        <w:rPr>
          <w:sz w:val="20"/>
          <w:szCs w:val="20"/>
          <w:color w:val="auto"/>
        </w:rPr>
      </w:pPr>
    </w:p>
    <w:p>
      <w:pPr>
        <w:ind w:right="80" w:firstLine="216"/>
        <w:spacing w:after="0" w:line="253" w:lineRule="auto"/>
        <w:rPr>
          <w:sz w:val="20"/>
          <w:szCs w:val="20"/>
          <w:color w:val="auto"/>
        </w:rPr>
      </w:pPr>
      <w:r>
        <w:rPr>
          <w:rFonts w:ascii="Times New Roman" w:cs="Times New Roman" w:eastAsia="Times New Roman" w:hAnsi="Times New Roman"/>
          <w:sz w:val="18"/>
          <w:szCs w:val="18"/>
          <w:color w:val="auto"/>
        </w:rPr>
        <w:t>The contents of the Company’s Registration Statement on Form S-8 (Registration No. 333-40152) previously filed with the Securities and Exchange Commission on June 26, 2000, the Company’s Registration Statement on Form S-8 (Registration No. 333-55974) previously filed with the Securities and Exchange Commission on February 21, 2001 and the Company’s Registration Statement previously filed with the Securities and Exchange Commission on May 1, 2002 (Registration No. 333-87322), each of which relates to the Company’s Amended and Restated 1995 Stock Option Plan, are incorporated herein by reference and made a part hereof, and the contents of the Company’s Registration Statement on Form S-8 (Registration No. 333-40154) previously filed with the Securities and Exchange Commission on June 26, 2000, the Company’s Registration Statement on Form S-8 (Registration No. 333-56322) previously filed with the Securities and Exchange Commission on February 28, 2001 and the Company’s Registration Stated previously filed with the Securities and Exchange Commission on May 1, 2002 (Registration No. 333-87322) each of which relates to the Company’s 2000 Employee Stock Purchase Plan, are incorporated herein by reference and made a part hereof.</w:t>
      </w:r>
    </w:p>
    <w:p>
      <w:pPr>
        <w:spacing w:after="0" w:line="1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INFORMATION REQUIRED IN THE REGISTRATION STATEMENT</w:t>
      </w:r>
    </w:p>
    <w:p>
      <w:pPr>
        <w:spacing w:after="0" w:line="2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3. Incorporation of Documents by Reference.</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documents filed by Registrant (File No. 0-30877) with the Securities and Exchange Commission are incorporated by reference in this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Registration Statement:</w:t>
      </w:r>
    </w:p>
    <w:p>
      <w:pPr>
        <w:spacing w:after="0" w:line="213" w:lineRule="exact"/>
        <w:rPr>
          <w:sz w:val="20"/>
          <w:szCs w:val="20"/>
          <w:color w:val="auto"/>
        </w:rPr>
      </w:pPr>
    </w:p>
    <w:p>
      <w:pPr>
        <w:ind w:left="880" w:hanging="548"/>
        <w:spacing w:after="0"/>
        <w:tabs>
          <w:tab w:leader="none" w:pos="8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Registrant’s Annual Report on Form 10-K for the fiscal year ended February 1, 2003.</w:t>
      </w:r>
    </w:p>
    <w:p>
      <w:pPr>
        <w:spacing w:after="0" w:line="225" w:lineRule="exact"/>
        <w:rPr>
          <w:rFonts w:ascii="Times New Roman" w:cs="Times New Roman" w:eastAsia="Times New Roman" w:hAnsi="Times New Roman"/>
          <w:sz w:val="18"/>
          <w:szCs w:val="18"/>
          <w:color w:val="auto"/>
        </w:rPr>
      </w:pPr>
    </w:p>
    <w:p>
      <w:pPr>
        <w:jc w:val="both"/>
        <w:ind w:left="880" w:right="700" w:hanging="548"/>
        <w:spacing w:after="0" w:line="339" w:lineRule="auto"/>
        <w:tabs>
          <w:tab w:leader="none" w:pos="880" w:val="left"/>
        </w:tabs>
        <w:numPr>
          <w:ilvl w:val="0"/>
          <w:numId w:val="2"/>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The description of Registrant’s Capital Stock contained in Registrant’s Registration Statement on Form 8-A, filed June 22, 2000 pursuant to Section 12(g) of the Securities Exchange Act of 1934 including any amendment or report filed for the purpose of updating such description.</w:t>
      </w:r>
    </w:p>
    <w:p>
      <w:pPr>
        <w:spacing w:after="0" w:line="128" w:lineRule="exact"/>
        <w:rPr>
          <w:sz w:val="20"/>
          <w:szCs w:val="20"/>
          <w:color w:val="auto"/>
        </w:rPr>
      </w:pPr>
    </w:p>
    <w:p>
      <w:pPr>
        <w:jc w:val="both"/>
        <w:ind w:right="120" w:firstLine="220"/>
        <w:spacing w:after="0" w:line="262" w:lineRule="auto"/>
        <w:rPr>
          <w:sz w:val="20"/>
          <w:szCs w:val="20"/>
          <w:color w:val="auto"/>
        </w:rPr>
      </w:pPr>
      <w:r>
        <w:rPr>
          <w:rFonts w:ascii="Times New Roman" w:cs="Times New Roman" w:eastAsia="Times New Roman" w:hAnsi="Times New Roman"/>
          <w:sz w:val="18"/>
          <w:szCs w:val="18"/>
          <w:color w:val="auto"/>
        </w:rPr>
        <w:t>In addition, all documents subsequently filed by the Registrant pursuant to Section 13(a), 13(c), 14 and 15(d) of the Securities Exchange Act of 1934,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8. Exhibits.</w:t>
      </w:r>
    </w:p>
    <w:p>
      <w:pPr>
        <w:spacing w:after="0" w:line="200" w:lineRule="exact"/>
        <w:rPr>
          <w:sz w:val="20"/>
          <w:szCs w:val="20"/>
          <w:color w:val="auto"/>
        </w:rPr>
      </w:pP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40" w:type="dxa"/>
            <w:vAlign w:val="bottom"/>
          </w:tcPr>
          <w:p>
            <w:pPr>
              <w:ind w:left="320"/>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580" w:type="dxa"/>
            <w:vAlign w:val="bottom"/>
          </w:tcPr>
          <w:p>
            <w:pPr>
              <w:spacing w:after="0"/>
              <w:rPr>
                <w:sz w:val="13"/>
                <w:szCs w:val="13"/>
                <w:color w:val="auto"/>
              </w:rPr>
            </w:pPr>
          </w:p>
        </w:tc>
        <w:tc>
          <w:tcPr>
            <w:tcW w:w="8900" w:type="dxa"/>
            <w:vAlign w:val="bottom"/>
          </w:tcPr>
          <w:p>
            <w:pPr>
              <w:spacing w:after="0"/>
              <w:rPr>
                <w:sz w:val="13"/>
                <w:szCs w:val="13"/>
                <w:color w:val="auto"/>
              </w:rPr>
            </w:pPr>
          </w:p>
        </w:tc>
        <w:tc>
          <w:tcPr>
            <w:tcW w:w="900" w:type="dxa"/>
            <w:vAlign w:val="bottom"/>
          </w:tcPr>
          <w:p>
            <w:pPr>
              <w:spacing w:after="0"/>
              <w:rPr>
                <w:sz w:val="13"/>
                <w:szCs w:val="13"/>
                <w:color w:val="auto"/>
              </w:rPr>
            </w:pPr>
          </w:p>
        </w:tc>
      </w:tr>
      <w:tr>
        <w:trPr>
          <w:trHeight w:val="178"/>
        </w:trPr>
        <w:tc>
          <w:tcPr>
            <w:tcW w:w="1040" w:type="dxa"/>
            <w:vAlign w:val="bottom"/>
          </w:tcPr>
          <w:p>
            <w:pPr>
              <w:ind w:left="280"/>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580" w:type="dxa"/>
            <w:vAlign w:val="bottom"/>
          </w:tcPr>
          <w:p>
            <w:pPr>
              <w:spacing w:after="0"/>
              <w:rPr>
                <w:sz w:val="15"/>
                <w:szCs w:val="15"/>
                <w:color w:val="auto"/>
              </w:rPr>
            </w:pPr>
          </w:p>
        </w:tc>
        <w:tc>
          <w:tcPr>
            <w:tcW w:w="8900" w:type="dxa"/>
            <w:vAlign w:val="bottom"/>
          </w:tcPr>
          <w:p>
            <w:pPr>
              <w:jc w:val="right"/>
              <w:ind w:right="4032"/>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900" w:type="dxa"/>
            <w:vAlign w:val="bottom"/>
          </w:tcPr>
          <w:p>
            <w:pPr>
              <w:spacing w:after="0"/>
              <w:rPr>
                <w:sz w:val="15"/>
                <w:szCs w:val="15"/>
                <w:color w:val="auto"/>
              </w:rPr>
            </w:pPr>
          </w:p>
        </w:tc>
      </w:tr>
      <w:tr>
        <w:trPr>
          <w:trHeight w:val="95"/>
        </w:trPr>
        <w:tc>
          <w:tcPr>
            <w:tcW w:w="104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8900" w:type="dxa"/>
            <w:vAlign w:val="bottom"/>
            <w:tcBorders>
              <w:bottom w:val="single" w:sz="8" w:color="808080"/>
            </w:tcBorders>
          </w:tcPr>
          <w:p>
            <w:pPr>
              <w:spacing w:after="0"/>
              <w:rPr>
                <w:sz w:val="8"/>
                <w:szCs w:val="8"/>
                <w:color w:val="auto"/>
              </w:rPr>
            </w:pPr>
          </w:p>
        </w:tc>
        <w:tc>
          <w:tcPr>
            <w:tcW w:w="900" w:type="dxa"/>
            <w:vAlign w:val="bottom"/>
          </w:tcPr>
          <w:p>
            <w:pPr>
              <w:spacing w:after="0"/>
              <w:rPr>
                <w:sz w:val="8"/>
                <w:szCs w:val="8"/>
                <w:color w:val="auto"/>
              </w:rPr>
            </w:pPr>
          </w:p>
        </w:tc>
      </w:tr>
      <w:tr>
        <w:trPr>
          <w:trHeight w:val="316"/>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5.1</w:t>
            </w:r>
          </w:p>
        </w:tc>
        <w:tc>
          <w:tcPr>
            <w:tcW w:w="948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Opinion of Appleby Spurling &amp; Kempe.</w:t>
            </w:r>
          </w:p>
        </w:tc>
        <w:tc>
          <w:tcPr>
            <w:tcW w:w="900" w:type="dxa"/>
            <w:vAlign w:val="bottom"/>
          </w:tcPr>
          <w:p>
            <w:pPr>
              <w:spacing w:after="0"/>
              <w:rPr>
                <w:sz w:val="24"/>
                <w:szCs w:val="24"/>
                <w:color w:val="auto"/>
              </w:rPr>
            </w:pP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948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Consent of PricewaterhouseCoopers LLP, Independent Accountants.</w:t>
            </w:r>
          </w:p>
        </w:tc>
        <w:tc>
          <w:tcPr>
            <w:tcW w:w="900" w:type="dxa"/>
            <w:vAlign w:val="bottom"/>
          </w:tcPr>
          <w:p>
            <w:pPr>
              <w:spacing w:after="0"/>
              <w:rPr>
                <w:sz w:val="24"/>
                <w:szCs w:val="24"/>
                <w:color w:val="auto"/>
              </w:rPr>
            </w:pP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948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Consent of Appleby Spurling &amp; Kempe (included in Exhibit 5.1 hereto).</w:t>
            </w:r>
          </w:p>
        </w:tc>
        <w:tc>
          <w:tcPr>
            <w:tcW w:w="900" w:type="dxa"/>
            <w:vAlign w:val="bottom"/>
          </w:tcPr>
          <w:p>
            <w:pPr>
              <w:spacing w:after="0"/>
              <w:rPr>
                <w:sz w:val="24"/>
                <w:szCs w:val="24"/>
                <w:color w:val="auto"/>
              </w:rPr>
            </w:pP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948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Power of Attorney (contained on signature page hereto).</w:t>
            </w:r>
          </w:p>
        </w:tc>
        <w:tc>
          <w:tcPr>
            <w:tcW w:w="900" w:type="dxa"/>
            <w:vAlign w:val="bottom"/>
          </w:tcPr>
          <w:p>
            <w:pPr>
              <w:spacing w:after="0"/>
              <w:rPr>
                <w:sz w:val="24"/>
                <w:szCs w:val="24"/>
                <w:color w:val="auto"/>
              </w:rPr>
            </w:pPr>
          </w:p>
        </w:tc>
      </w:tr>
      <w:tr>
        <w:trPr>
          <w:trHeight w:val="432"/>
        </w:trPr>
        <w:tc>
          <w:tcPr>
            <w:tcW w:w="1040" w:type="dxa"/>
            <w:vAlign w:val="bottom"/>
          </w:tcPr>
          <w:p>
            <w:pPr>
              <w:spacing w:after="0"/>
              <w:rPr>
                <w:sz w:val="24"/>
                <w:szCs w:val="24"/>
                <w:color w:val="auto"/>
              </w:rPr>
            </w:pPr>
          </w:p>
        </w:tc>
        <w:tc>
          <w:tcPr>
            <w:tcW w:w="9480" w:type="dxa"/>
            <w:vAlign w:val="bottom"/>
            <w:gridSpan w:val="2"/>
          </w:tcPr>
          <w:p>
            <w:pPr>
              <w:jc w:val="right"/>
              <w:ind w:right="4692"/>
              <w:spacing w:after="0"/>
              <w:rPr>
                <w:sz w:val="20"/>
                <w:szCs w:val="20"/>
                <w:color w:val="auto"/>
              </w:rPr>
            </w:pPr>
            <w:r>
              <w:rPr>
                <w:rFonts w:ascii="Times New Roman" w:cs="Times New Roman" w:eastAsia="Times New Roman" w:hAnsi="Times New Roman"/>
                <w:sz w:val="18"/>
                <w:szCs w:val="18"/>
                <w:color w:val="auto"/>
              </w:rPr>
              <w:t>1</w:t>
            </w:r>
          </w:p>
        </w:tc>
        <w:tc>
          <w:tcPr>
            <w:tcW w:w="900" w:type="dxa"/>
            <w:vAlign w:val="bottom"/>
          </w:tcPr>
          <w:p>
            <w:pPr>
              <w:spacing w:after="0"/>
              <w:rPr>
                <w:sz w:val="24"/>
                <w:szCs w:val="24"/>
                <w:color w:val="auto"/>
              </w:rPr>
            </w:pPr>
          </w:p>
        </w:tc>
      </w:tr>
      <w:tr>
        <w:trPr>
          <w:trHeight w:val="228"/>
        </w:trPr>
        <w:tc>
          <w:tcPr>
            <w:tcW w:w="104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890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hyperlink w:anchor="page3">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7" w:lineRule="exact"/>
        <w:rPr>
          <w:sz w:val="20"/>
          <w:szCs w:val="20"/>
          <w:color w:val="auto"/>
        </w:rPr>
      </w:pPr>
    </w:p>
    <w:p>
      <w:pPr>
        <w:ind w:right="40" w:firstLine="220"/>
        <w:spacing w:after="0" w:line="26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1st day of May, 2003.</w:t>
      </w:r>
    </w:p>
    <w:p>
      <w:pPr>
        <w:spacing w:after="0" w:line="200" w:lineRule="exact"/>
        <w:rPr>
          <w:sz w:val="20"/>
          <w:szCs w:val="20"/>
          <w:color w:val="auto"/>
        </w:rPr>
      </w:pPr>
    </w:p>
    <w:p>
      <w:pPr>
        <w:spacing w:after="0" w:line="230" w:lineRule="exact"/>
        <w:rPr>
          <w:sz w:val="20"/>
          <w:szCs w:val="20"/>
          <w:color w:val="auto"/>
        </w:rPr>
      </w:pPr>
    </w:p>
    <w:p>
      <w:pPr>
        <w:ind w:left="374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3740"/>
        <w:spacing w:after="0"/>
        <w:tabs>
          <w:tab w:leader="none" w:pos="594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2740660</wp:posOffset>
            </wp:positionH>
            <wp:positionV relativeFrom="paragraph">
              <wp:posOffset>74930</wp:posOffset>
            </wp:positionV>
            <wp:extent cx="288163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881630" cy="8890"/>
                    </a:xfrm>
                    <a:prstGeom prst="rect">
                      <a:avLst/>
                    </a:prstGeom>
                    <a:noFill/>
                  </pic:spPr>
                </pic:pic>
              </a:graphicData>
            </a:graphic>
          </wp:anchor>
        </w:drawing>
      </w:r>
    </w:p>
    <w:p>
      <w:pPr>
        <w:spacing w:after="0" w:line="178" w:lineRule="exact"/>
        <w:rPr>
          <w:sz w:val="20"/>
          <w:szCs w:val="20"/>
          <w:color w:val="auto"/>
        </w:rPr>
      </w:pPr>
    </w:p>
    <w:p>
      <w:pPr>
        <w:jc w:val="center"/>
        <w:ind w:left="1740"/>
        <w:spacing w:after="0"/>
        <w:rPr>
          <w:sz w:val="20"/>
          <w:szCs w:val="20"/>
          <w:color w:val="auto"/>
        </w:rPr>
      </w:pPr>
      <w:r>
        <w:rPr>
          <w:rFonts w:ascii="Times New Roman" w:cs="Times New Roman" w:eastAsia="Times New Roman" w:hAnsi="Times New Roman"/>
          <w:sz w:val="18"/>
          <w:szCs w:val="18"/>
          <w:color w:val="auto"/>
        </w:rPr>
        <w:t>Dr. Sehat Sutardja</w:t>
      </w:r>
    </w:p>
    <w:p>
      <w:pPr>
        <w:spacing w:after="0" w:line="21" w:lineRule="exact"/>
        <w:rPr>
          <w:sz w:val="20"/>
          <w:szCs w:val="20"/>
          <w:color w:val="auto"/>
        </w:rPr>
      </w:pPr>
    </w:p>
    <w:p>
      <w:pPr>
        <w:jc w:val="center"/>
        <w:ind w:left="1740"/>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 OF AUTHORIZED REPRESENTATIVE OF MARVELL TECHNOLOGY GROUP LTD.</w:t>
      </w:r>
    </w:p>
    <w:p>
      <w:pPr>
        <w:spacing w:after="0" w:line="227" w:lineRule="exact"/>
        <w:rPr>
          <w:sz w:val="20"/>
          <w:szCs w:val="20"/>
          <w:color w:val="auto"/>
        </w:rPr>
      </w:pPr>
    </w:p>
    <w:p>
      <w:pPr>
        <w:ind w:right="360"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undersigned, the duly authorized representative in the United States of Marvell Technology Group Ltd., has signed this Registration Statement in the City of Sunnyvale, State of California, on the 1st day of May, 2003.</w:t>
      </w:r>
    </w:p>
    <w:p>
      <w:pPr>
        <w:spacing w:after="0" w:line="200" w:lineRule="exact"/>
        <w:rPr>
          <w:sz w:val="20"/>
          <w:szCs w:val="20"/>
          <w:color w:val="auto"/>
        </w:rPr>
      </w:pPr>
    </w:p>
    <w:p>
      <w:pPr>
        <w:spacing w:after="0" w:line="217" w:lineRule="exact"/>
        <w:rPr>
          <w:sz w:val="20"/>
          <w:szCs w:val="20"/>
          <w:color w:val="auto"/>
        </w:rPr>
      </w:pPr>
    </w:p>
    <w:p>
      <w:pPr>
        <w:ind w:left="2580"/>
        <w:spacing w:after="0"/>
        <w:tabs>
          <w:tab w:leader="none" w:pos="550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2165985</wp:posOffset>
            </wp:positionH>
            <wp:positionV relativeFrom="paragraph">
              <wp:posOffset>74930</wp:posOffset>
            </wp:positionV>
            <wp:extent cx="345630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456305" cy="8890"/>
                    </a:xfrm>
                    <a:prstGeom prst="rect">
                      <a:avLst/>
                    </a:prstGeom>
                    <a:noFill/>
                  </pic:spPr>
                </pic:pic>
              </a:graphicData>
            </a:graphic>
          </wp:anchor>
        </w:drawing>
      </w:r>
    </w:p>
    <w:p>
      <w:pPr>
        <w:spacing w:after="0" w:line="178" w:lineRule="exact"/>
        <w:rPr>
          <w:sz w:val="20"/>
          <w:szCs w:val="20"/>
          <w:color w:val="auto"/>
        </w:rPr>
      </w:pPr>
    </w:p>
    <w:p>
      <w:pPr>
        <w:jc w:val="center"/>
        <w:ind w:left="840"/>
        <w:spacing w:after="0"/>
        <w:rPr>
          <w:sz w:val="20"/>
          <w:szCs w:val="20"/>
          <w:color w:val="auto"/>
        </w:rPr>
      </w:pPr>
      <w:r>
        <w:rPr>
          <w:rFonts w:ascii="Times New Roman" w:cs="Times New Roman" w:eastAsia="Times New Roman" w:hAnsi="Times New Roman"/>
          <w:sz w:val="18"/>
          <w:szCs w:val="18"/>
          <w:color w:val="auto"/>
        </w:rPr>
        <w:t>Dr. Sehat Sutardja</w:t>
      </w:r>
    </w:p>
    <w:p>
      <w:pPr>
        <w:spacing w:after="0" w:line="21" w:lineRule="exact"/>
        <w:rPr>
          <w:sz w:val="20"/>
          <w:szCs w:val="20"/>
          <w:color w:val="auto"/>
        </w:rPr>
      </w:pPr>
    </w:p>
    <w:p>
      <w:pPr>
        <w:jc w:val="center"/>
        <w:ind w:left="840"/>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POWER OF ATTORNEY</w:t>
      </w:r>
    </w:p>
    <w:p>
      <w:pPr>
        <w:spacing w:after="0" w:line="227" w:lineRule="exact"/>
        <w:rPr>
          <w:sz w:val="20"/>
          <w:szCs w:val="20"/>
          <w:color w:val="auto"/>
        </w:rPr>
      </w:pPr>
    </w:p>
    <w:p>
      <w:pPr>
        <w:ind w:firstLine="220"/>
        <w:spacing w:after="0" w:line="254" w:lineRule="auto"/>
        <w:rPr>
          <w:sz w:val="20"/>
          <w:szCs w:val="20"/>
          <w:color w:val="auto"/>
        </w:rPr>
      </w:pPr>
      <w:r>
        <w:rPr>
          <w:rFonts w:ascii="Times New Roman" w:cs="Times New Roman" w:eastAsia="Times New Roman" w:hAnsi="Times New Roman"/>
          <w:sz w:val="18"/>
          <w:szCs w:val="18"/>
          <w:color w:val="auto"/>
        </w:rPr>
        <w:t>KNOW ALL MEN BY THESE PRESENTS, that each person whose signature appears below constitutes and appoints Dr. SEHAT SUTARDJA and GEORGE HERVEY, and each of them, his or her true and lawful attorneys-in-fact and agents, each with full power of substitution and resubstitution, for him or her and in his or her name, place and stead, in any and all capacities, to sign any and all amendments, including post-effective amendments, to this Registration Statement on Form S-8,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or she might or could do in person, hereby ratifying and confirming all that said attorneys-in-fact and agents, or his substitute or substitutes, may lawfully do or cause to be done by virtue hereof.</w:t>
      </w:r>
    </w:p>
    <w:p>
      <w:pPr>
        <w:spacing w:after="0" w:line="195" w:lineRule="exact"/>
        <w:rPr>
          <w:sz w:val="20"/>
          <w:szCs w:val="20"/>
          <w:color w:val="auto"/>
        </w:rPr>
      </w:pPr>
    </w:p>
    <w:p>
      <w:pPr>
        <w:ind w:right="240"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this Registration Statement has been signed by the following persons in the capacities and on the dates indicated.</w:t>
      </w: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Signature</w:t>
            </w:r>
          </w:p>
        </w:tc>
        <w:tc>
          <w:tcPr>
            <w:tcW w:w="580" w:type="dxa"/>
            <w:vAlign w:val="bottom"/>
          </w:tcPr>
          <w:p>
            <w:pPr>
              <w:spacing w:after="0"/>
              <w:rPr>
                <w:sz w:val="19"/>
                <w:szCs w:val="19"/>
                <w:color w:val="auto"/>
              </w:rPr>
            </w:pPr>
          </w:p>
        </w:tc>
        <w:tc>
          <w:tcPr>
            <w:tcW w:w="5580" w:type="dxa"/>
            <w:vAlign w:val="bottom"/>
          </w:tcPr>
          <w:p>
            <w:pPr>
              <w:ind w:left="2620"/>
              <w:spacing w:after="0"/>
              <w:rPr>
                <w:sz w:val="20"/>
                <w:szCs w:val="20"/>
                <w:color w:val="auto"/>
              </w:rPr>
            </w:pPr>
            <w:r>
              <w:rPr>
                <w:rFonts w:ascii="Times New Roman" w:cs="Times New Roman" w:eastAsia="Times New Roman" w:hAnsi="Times New Roman"/>
                <w:sz w:val="18"/>
                <w:szCs w:val="18"/>
                <w:color w:val="auto"/>
              </w:rPr>
              <w:t>Title</w:t>
            </w:r>
          </w:p>
        </w:tc>
        <w:tc>
          <w:tcPr>
            <w:tcW w:w="580" w:type="dxa"/>
            <w:vAlign w:val="bottom"/>
          </w:tcPr>
          <w:p>
            <w:pPr>
              <w:spacing w:after="0"/>
              <w:rPr>
                <w:sz w:val="19"/>
                <w:szCs w:val="19"/>
                <w:color w:val="auto"/>
              </w:rPr>
            </w:pPr>
          </w:p>
        </w:tc>
        <w:tc>
          <w:tcPr>
            <w:tcW w:w="10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Date</w:t>
            </w:r>
          </w:p>
        </w:tc>
        <w:tc>
          <w:tcPr>
            <w:tcW w:w="0" w:type="dxa"/>
            <w:vAlign w:val="bottom"/>
          </w:tcPr>
          <w:p>
            <w:pPr>
              <w:spacing w:after="0"/>
              <w:rPr>
                <w:sz w:val="1"/>
                <w:szCs w:val="1"/>
                <w:color w:val="auto"/>
              </w:rPr>
            </w:pPr>
          </w:p>
        </w:tc>
      </w:tr>
      <w:tr>
        <w:trPr>
          <w:trHeight w:val="104"/>
        </w:trPr>
        <w:tc>
          <w:tcPr>
            <w:tcW w:w="366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558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526"/>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 Sehat Sutardja</w:t>
            </w:r>
          </w:p>
        </w:tc>
        <w:tc>
          <w:tcPr>
            <w:tcW w:w="58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Co-Chairman of the Board, President,</w:t>
            </w:r>
          </w:p>
        </w:tc>
        <w:tc>
          <w:tcPr>
            <w:tcW w:w="58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May 1, 2003</w:t>
            </w:r>
          </w:p>
        </w:tc>
        <w:tc>
          <w:tcPr>
            <w:tcW w:w="0" w:type="dxa"/>
            <w:vAlign w:val="bottom"/>
          </w:tcPr>
          <w:p>
            <w:pPr>
              <w:spacing w:after="0"/>
              <w:rPr>
                <w:sz w:val="1"/>
                <w:szCs w:val="1"/>
                <w:color w:val="auto"/>
              </w:rPr>
            </w:pPr>
          </w:p>
        </w:tc>
      </w:tr>
      <w:tr>
        <w:trPr>
          <w:trHeight w:val="109"/>
        </w:trPr>
        <w:tc>
          <w:tcPr>
            <w:tcW w:w="366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558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and Chief Executive Officer (Principal Executive Officer)</w:t>
            </w:r>
          </w:p>
        </w:tc>
        <w:tc>
          <w:tcPr>
            <w:tcW w:w="5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0"/>
        </w:trPr>
        <w:tc>
          <w:tcPr>
            <w:tcW w:w="3660" w:type="dxa"/>
            <w:vAlign w:val="bottom"/>
            <w:vMerge w:val="restart"/>
          </w:tcPr>
          <w:p>
            <w:pPr>
              <w:jc w:val="center"/>
              <w:spacing w:after="0"/>
              <w:rPr>
                <w:sz w:val="20"/>
                <w:szCs w:val="20"/>
                <w:color w:val="auto"/>
              </w:rPr>
            </w:pPr>
            <w:r>
              <w:rPr>
                <w:rFonts w:ascii="Times New Roman" w:cs="Times New Roman" w:eastAsia="Times New Roman" w:hAnsi="Times New Roman"/>
                <w:sz w:val="18"/>
                <w:szCs w:val="18"/>
                <w:color w:val="auto"/>
                <w:w w:val="96"/>
              </w:rPr>
              <w:t>Dr. Sehat Sutardja</w:t>
            </w:r>
          </w:p>
        </w:tc>
        <w:tc>
          <w:tcPr>
            <w:tcW w:w="580" w:type="dxa"/>
            <w:vAlign w:val="bottom"/>
          </w:tcPr>
          <w:p>
            <w:pPr>
              <w:spacing w:after="0"/>
              <w:rPr>
                <w:sz w:val="8"/>
                <w:szCs w:val="8"/>
                <w:color w:val="auto"/>
              </w:rPr>
            </w:pPr>
          </w:p>
        </w:tc>
        <w:tc>
          <w:tcPr>
            <w:tcW w:w="5580" w:type="dxa"/>
            <w:vAlign w:val="bottom"/>
            <w:vMerge w:val="continue"/>
          </w:tcPr>
          <w:p>
            <w:pPr>
              <w:spacing w:after="0"/>
              <w:rPr>
                <w:sz w:val="8"/>
                <w:szCs w:val="8"/>
                <w:color w:val="auto"/>
              </w:rPr>
            </w:pPr>
          </w:p>
        </w:tc>
        <w:tc>
          <w:tcPr>
            <w:tcW w:w="5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660" w:type="dxa"/>
            <w:vAlign w:val="bottom"/>
            <w:vMerge w:val="continue"/>
          </w:tcPr>
          <w:p>
            <w:pPr>
              <w:spacing w:after="0"/>
              <w:rPr>
                <w:sz w:val="16"/>
                <w:szCs w:val="16"/>
                <w:color w:val="auto"/>
              </w:rPr>
            </w:pPr>
          </w:p>
        </w:tc>
        <w:tc>
          <w:tcPr>
            <w:tcW w:w="580" w:type="dxa"/>
            <w:vAlign w:val="bottom"/>
          </w:tcPr>
          <w:p>
            <w:pPr>
              <w:spacing w:after="0"/>
              <w:rPr>
                <w:sz w:val="16"/>
                <w:szCs w:val="16"/>
                <w:color w:val="auto"/>
              </w:rPr>
            </w:pPr>
          </w:p>
        </w:tc>
        <w:tc>
          <w:tcPr>
            <w:tcW w:w="55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0"/>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/s/ George Hervey</w:t>
            </w:r>
          </w:p>
        </w:tc>
        <w:tc>
          <w:tcPr>
            <w:tcW w:w="58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Vice President of Finance and Chief Financial Officer</w:t>
            </w:r>
          </w:p>
        </w:tc>
        <w:tc>
          <w:tcPr>
            <w:tcW w:w="58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May 1, 2003</w:t>
            </w:r>
          </w:p>
        </w:tc>
        <w:tc>
          <w:tcPr>
            <w:tcW w:w="0" w:type="dxa"/>
            <w:vAlign w:val="bottom"/>
          </w:tcPr>
          <w:p>
            <w:pPr>
              <w:spacing w:after="0"/>
              <w:rPr>
                <w:sz w:val="1"/>
                <w:szCs w:val="1"/>
                <w:color w:val="auto"/>
              </w:rPr>
            </w:pPr>
          </w:p>
        </w:tc>
      </w:tr>
      <w:tr>
        <w:trPr>
          <w:trHeight w:val="109"/>
        </w:trPr>
        <w:tc>
          <w:tcPr>
            <w:tcW w:w="366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558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(Principal Financial and Accounting Officer)</w:t>
            </w:r>
          </w:p>
        </w:tc>
        <w:tc>
          <w:tcPr>
            <w:tcW w:w="5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0"/>
        </w:trPr>
        <w:tc>
          <w:tcPr>
            <w:tcW w:w="3660" w:type="dxa"/>
            <w:vAlign w:val="bottom"/>
            <w:vMerge w:val="restart"/>
          </w:tcPr>
          <w:p>
            <w:pPr>
              <w:jc w:val="center"/>
              <w:spacing w:after="0"/>
              <w:rPr>
                <w:sz w:val="20"/>
                <w:szCs w:val="20"/>
                <w:color w:val="auto"/>
              </w:rPr>
            </w:pPr>
            <w:r>
              <w:rPr>
                <w:rFonts w:ascii="Times New Roman" w:cs="Times New Roman" w:eastAsia="Times New Roman" w:hAnsi="Times New Roman"/>
                <w:sz w:val="18"/>
                <w:szCs w:val="18"/>
                <w:color w:val="auto"/>
                <w:w w:val="97"/>
              </w:rPr>
              <w:t>George Hervey</w:t>
            </w:r>
          </w:p>
        </w:tc>
        <w:tc>
          <w:tcPr>
            <w:tcW w:w="580" w:type="dxa"/>
            <w:vAlign w:val="bottom"/>
          </w:tcPr>
          <w:p>
            <w:pPr>
              <w:spacing w:after="0"/>
              <w:rPr>
                <w:sz w:val="8"/>
                <w:szCs w:val="8"/>
                <w:color w:val="auto"/>
              </w:rPr>
            </w:pPr>
          </w:p>
        </w:tc>
        <w:tc>
          <w:tcPr>
            <w:tcW w:w="5580" w:type="dxa"/>
            <w:vAlign w:val="bottom"/>
            <w:vMerge w:val="continue"/>
          </w:tcPr>
          <w:p>
            <w:pPr>
              <w:spacing w:after="0"/>
              <w:rPr>
                <w:sz w:val="8"/>
                <w:szCs w:val="8"/>
                <w:color w:val="auto"/>
              </w:rPr>
            </w:pPr>
          </w:p>
        </w:tc>
        <w:tc>
          <w:tcPr>
            <w:tcW w:w="5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660" w:type="dxa"/>
            <w:vAlign w:val="bottom"/>
            <w:vMerge w:val="continue"/>
          </w:tcPr>
          <w:p>
            <w:pPr>
              <w:spacing w:after="0"/>
              <w:rPr>
                <w:sz w:val="16"/>
                <w:szCs w:val="16"/>
                <w:color w:val="auto"/>
              </w:rPr>
            </w:pPr>
          </w:p>
        </w:tc>
        <w:tc>
          <w:tcPr>
            <w:tcW w:w="580" w:type="dxa"/>
            <w:vAlign w:val="bottom"/>
          </w:tcPr>
          <w:p>
            <w:pPr>
              <w:spacing w:after="0"/>
              <w:rPr>
                <w:sz w:val="16"/>
                <w:szCs w:val="16"/>
                <w:color w:val="auto"/>
              </w:rPr>
            </w:pPr>
          </w:p>
        </w:tc>
        <w:tc>
          <w:tcPr>
            <w:tcW w:w="55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/s/ Weili Dai</w:t>
            </w:r>
          </w:p>
        </w:tc>
        <w:tc>
          <w:tcPr>
            <w:tcW w:w="58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Secretary and Director</w:t>
            </w:r>
          </w:p>
        </w:tc>
        <w:tc>
          <w:tcPr>
            <w:tcW w:w="58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May 1, 2003</w:t>
            </w:r>
          </w:p>
        </w:tc>
        <w:tc>
          <w:tcPr>
            <w:tcW w:w="0" w:type="dxa"/>
            <w:vAlign w:val="bottom"/>
          </w:tcPr>
          <w:p>
            <w:pPr>
              <w:spacing w:after="0"/>
              <w:rPr>
                <w:sz w:val="1"/>
                <w:szCs w:val="1"/>
                <w:color w:val="auto"/>
              </w:rPr>
            </w:pPr>
          </w:p>
        </w:tc>
      </w:tr>
      <w:tr>
        <w:trPr>
          <w:trHeight w:val="97"/>
        </w:trPr>
        <w:tc>
          <w:tcPr>
            <w:tcW w:w="366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Weili Dai</w:t>
            </w:r>
          </w:p>
        </w:tc>
        <w:tc>
          <w:tcPr>
            <w:tcW w:w="580" w:type="dxa"/>
            <w:vAlign w:val="bottom"/>
          </w:tcPr>
          <w:p>
            <w:pPr>
              <w:spacing w:after="0"/>
              <w:rPr>
                <w:sz w:val="24"/>
                <w:szCs w:val="24"/>
                <w:color w:val="auto"/>
              </w:rPr>
            </w:pPr>
          </w:p>
        </w:tc>
        <w:tc>
          <w:tcPr>
            <w:tcW w:w="5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/s/ Pantas Sutardja</w:t>
            </w:r>
          </w:p>
        </w:tc>
        <w:tc>
          <w:tcPr>
            <w:tcW w:w="58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Vice President and Director</w:t>
            </w:r>
          </w:p>
        </w:tc>
        <w:tc>
          <w:tcPr>
            <w:tcW w:w="580" w:type="dxa"/>
            <w:vAlign w:val="bottom"/>
          </w:tcPr>
          <w:p>
            <w:pPr>
              <w:spacing w:after="0"/>
              <w:rPr>
                <w:sz w:val="24"/>
                <w:szCs w:val="24"/>
                <w:color w:val="auto"/>
              </w:rPr>
            </w:pPr>
          </w:p>
        </w:tc>
        <w:tc>
          <w:tcPr>
            <w:tcW w:w="10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May 1, 2003</w:t>
            </w:r>
          </w:p>
        </w:tc>
        <w:tc>
          <w:tcPr>
            <w:tcW w:w="0" w:type="dxa"/>
            <w:vAlign w:val="bottom"/>
          </w:tcPr>
          <w:p>
            <w:pPr>
              <w:spacing w:after="0"/>
              <w:rPr>
                <w:sz w:val="1"/>
                <w:szCs w:val="1"/>
                <w:color w:val="auto"/>
              </w:rPr>
            </w:pPr>
          </w:p>
        </w:tc>
      </w:tr>
      <w:tr>
        <w:trPr>
          <w:trHeight w:val="97"/>
        </w:trPr>
        <w:tc>
          <w:tcPr>
            <w:tcW w:w="366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55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Dr. Pantas Sutardja</w:t>
            </w:r>
          </w:p>
        </w:tc>
        <w:tc>
          <w:tcPr>
            <w:tcW w:w="580" w:type="dxa"/>
            <w:vAlign w:val="bottom"/>
          </w:tcPr>
          <w:p>
            <w:pPr>
              <w:spacing w:after="0"/>
              <w:rPr>
                <w:sz w:val="24"/>
                <w:szCs w:val="24"/>
                <w:color w:val="auto"/>
              </w:rPr>
            </w:pPr>
          </w:p>
        </w:tc>
        <w:tc>
          <w:tcPr>
            <w:tcW w:w="5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5" w:right="239" w:bottom="1440" w:gutter="0" w:footer="0" w:header="0"/>
        </w:sectPr>
      </w:pPr>
    </w:p>
    <w:p>
      <w:pPr>
        <w:spacing w:after="0" w:line="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6"/>
          <w:szCs w:val="16"/>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type w:val="continuous"/>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hyperlink w:anchor="page3">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ind w:left="1560"/>
        <w:spacing w:after="0"/>
        <w:tabs>
          <w:tab w:leader="none" w:pos="6880" w:val="left"/>
          <w:tab w:leader="none" w:pos="10760" w:val="left"/>
        </w:tabs>
        <w:rPr>
          <w:sz w:val="20"/>
          <w:szCs w:val="20"/>
          <w:color w:val="auto"/>
        </w:rPr>
      </w:pPr>
      <w:r>
        <w:rPr>
          <w:rFonts w:ascii="Times New Roman" w:cs="Times New Roman" w:eastAsia="Times New Roman" w:hAnsi="Times New Roman"/>
          <w:sz w:val="14"/>
          <w:szCs w:val="14"/>
          <w:b w:val="1"/>
          <w:bCs w:val="1"/>
          <w:color w:val="auto"/>
        </w:rPr>
        <w:t>Signature</w:t>
      </w:r>
      <w:r>
        <w:rPr>
          <w:sz w:val="20"/>
          <w:szCs w:val="20"/>
          <w:color w:val="auto"/>
        </w:rPr>
        <w:tab/>
      </w:r>
      <w:r>
        <w:rPr>
          <w:rFonts w:ascii="Times New Roman" w:cs="Times New Roman" w:eastAsia="Times New Roman" w:hAnsi="Times New Roman"/>
          <w:sz w:val="14"/>
          <w:szCs w:val="14"/>
          <w:b w:val="1"/>
          <w:bCs w:val="1"/>
          <w:color w:val="auto"/>
        </w:rPr>
        <w:t>Title</w:t>
      </w:r>
      <w:r>
        <w:rPr>
          <w:sz w:val="20"/>
          <w:szCs w:val="20"/>
          <w:color w:val="auto"/>
        </w:rPr>
        <w:tab/>
      </w:r>
      <w:r>
        <w:rPr>
          <w:rFonts w:ascii="Times New Roman" w:cs="Times New Roman" w:eastAsia="Times New Roman" w:hAnsi="Times New Roman"/>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/s/ Diosdado P. Banatao</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Co-Chairman of the Board</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Diosdado P. Banatao</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/s/ Herbert Chang</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Director</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Herbert Chang</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/s/ John M. Cioffi</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Director</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Dr. John M. Cioffi</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/s/ Paul R. Gray</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Director</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Dr. Paul R. Gray</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/s/ Ron Verdoorn</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Director</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Ron Verdoorn</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6"/>
              </w:rPr>
              <w:t>/s/ Manuel Alba</w:t>
            </w:r>
          </w:p>
        </w:tc>
        <w:tc>
          <w:tcPr>
            <w:tcW w:w="5560" w:type="dxa"/>
            <w:vAlign w:val="bottom"/>
          </w:tcPr>
          <w:p>
            <w:pPr>
              <w:jc w:val="center"/>
              <w:ind w:left="1092"/>
              <w:spacing w:after="0"/>
              <w:rPr>
                <w:sz w:val="20"/>
                <w:szCs w:val="20"/>
                <w:color w:val="auto"/>
              </w:rPr>
            </w:pPr>
            <w:r>
              <w:rPr>
                <w:rFonts w:ascii="Times New Roman" w:cs="Times New Roman" w:eastAsia="Times New Roman" w:hAnsi="Times New Roman"/>
                <w:sz w:val="18"/>
                <w:szCs w:val="18"/>
                <w:color w:val="auto"/>
                <w:w w:val="96"/>
              </w:rPr>
              <w:t>Director</w:t>
            </w:r>
          </w:p>
        </w:tc>
        <w:tc>
          <w:tcPr>
            <w:tcW w:w="2200" w:type="dxa"/>
            <w:vAlign w:val="bottom"/>
          </w:tcPr>
          <w:p>
            <w:pPr>
              <w:ind w:left="1240"/>
              <w:spacing w:after="0"/>
              <w:rPr>
                <w:sz w:val="20"/>
                <w:szCs w:val="20"/>
                <w:color w:val="auto"/>
              </w:rPr>
            </w:pPr>
            <w:r>
              <w:rPr>
                <w:rFonts w:ascii="Times New Roman" w:cs="Times New Roman" w:eastAsia="Times New Roman" w:hAnsi="Times New Roman"/>
                <w:sz w:val="18"/>
                <w:szCs w:val="18"/>
                <w:color w:val="auto"/>
              </w:rPr>
              <w:t>May 1, 2003</w:t>
            </w:r>
          </w:p>
        </w:tc>
      </w:tr>
      <w:tr>
        <w:trPr>
          <w:trHeight w:val="97"/>
        </w:trPr>
        <w:tc>
          <w:tcPr>
            <w:tcW w:w="3660" w:type="dxa"/>
            <w:vAlign w:val="bottom"/>
            <w:tcBorders>
              <w:bottom w:val="single" w:sz="8" w:color="808080"/>
            </w:tcBorders>
          </w:tcPr>
          <w:p>
            <w:pPr>
              <w:spacing w:after="0"/>
              <w:rPr>
                <w:sz w:val="8"/>
                <w:szCs w:val="8"/>
                <w:color w:val="auto"/>
              </w:rPr>
            </w:pPr>
          </w:p>
        </w:tc>
        <w:tc>
          <w:tcPr>
            <w:tcW w:w="5560" w:type="dxa"/>
            <w:vAlign w:val="bottom"/>
          </w:tcPr>
          <w:p>
            <w:pPr>
              <w:spacing w:after="0"/>
              <w:rPr>
                <w:sz w:val="8"/>
                <w:szCs w:val="8"/>
                <w:color w:val="auto"/>
              </w:rPr>
            </w:pPr>
          </w:p>
        </w:tc>
        <w:tc>
          <w:tcPr>
            <w:tcW w:w="2200" w:type="dxa"/>
            <w:vAlign w:val="bottom"/>
          </w:tcPr>
          <w:p>
            <w:pPr>
              <w:spacing w:after="0"/>
              <w:rPr>
                <w:sz w:val="8"/>
                <w:szCs w:val="8"/>
                <w:color w:val="auto"/>
              </w:rPr>
            </w:pPr>
          </w:p>
        </w:tc>
      </w:tr>
      <w:tr>
        <w:trPr>
          <w:trHeight w:val="289"/>
        </w:trPr>
        <w:tc>
          <w:tcPr>
            <w:tcW w:w="3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Manuel Alba</w:t>
            </w:r>
          </w:p>
        </w:tc>
        <w:tc>
          <w:tcPr>
            <w:tcW w:w="556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432"/>
        </w:trPr>
        <w:tc>
          <w:tcPr>
            <w:tcW w:w="3660" w:type="dxa"/>
            <w:vAlign w:val="bottom"/>
          </w:tcPr>
          <w:p>
            <w:pPr>
              <w:spacing w:after="0"/>
              <w:rPr>
                <w:sz w:val="24"/>
                <w:szCs w:val="24"/>
                <w:color w:val="auto"/>
              </w:rPr>
            </w:pPr>
          </w:p>
        </w:tc>
        <w:tc>
          <w:tcPr>
            <w:tcW w:w="5560" w:type="dxa"/>
            <w:vAlign w:val="bottom"/>
          </w:tcPr>
          <w:p>
            <w:pPr>
              <w:jc w:val="right"/>
              <w:ind w:right="3372"/>
              <w:spacing w:after="0"/>
              <w:rPr>
                <w:sz w:val="20"/>
                <w:szCs w:val="20"/>
                <w:color w:val="auto"/>
              </w:rPr>
            </w:pPr>
            <w:r>
              <w:rPr>
                <w:rFonts w:ascii="Times New Roman" w:cs="Times New Roman" w:eastAsia="Times New Roman" w:hAnsi="Times New Roman"/>
                <w:sz w:val="18"/>
                <w:szCs w:val="18"/>
                <w:color w:val="auto"/>
              </w:rPr>
              <w:t>3</w:t>
            </w:r>
          </w:p>
        </w:tc>
        <w:tc>
          <w:tcPr>
            <w:tcW w:w="2200" w:type="dxa"/>
            <w:vAlign w:val="bottom"/>
          </w:tcPr>
          <w:p>
            <w:pPr>
              <w:spacing w:after="0"/>
              <w:rPr>
                <w:sz w:val="24"/>
                <w:szCs w:val="24"/>
                <w:color w:val="auto"/>
              </w:rPr>
            </w:pPr>
          </w:p>
        </w:tc>
      </w:tr>
      <w:tr>
        <w:trPr>
          <w:trHeight w:val="228"/>
        </w:trPr>
        <w:tc>
          <w:tcPr>
            <w:tcW w:w="3660" w:type="dxa"/>
            <w:vAlign w:val="bottom"/>
            <w:tcBorders>
              <w:bottom w:val="single" w:sz="8" w:color="808080"/>
            </w:tcBorders>
          </w:tcPr>
          <w:p>
            <w:pPr>
              <w:spacing w:after="0"/>
              <w:rPr>
                <w:sz w:val="19"/>
                <w:szCs w:val="19"/>
                <w:color w:val="auto"/>
              </w:rPr>
            </w:pPr>
          </w:p>
        </w:tc>
        <w:tc>
          <w:tcPr>
            <w:tcW w:w="5560" w:type="dxa"/>
            <w:vAlign w:val="bottom"/>
            <w:tcBorders>
              <w:bottom w:val="single" w:sz="8" w:color="808080"/>
            </w:tcBorders>
          </w:tcPr>
          <w:p>
            <w:pPr>
              <w:spacing w:after="0"/>
              <w:rPr>
                <w:sz w:val="19"/>
                <w:szCs w:val="19"/>
                <w:color w:val="auto"/>
              </w:rPr>
            </w:pPr>
          </w:p>
        </w:tc>
        <w:tc>
          <w:tcPr>
            <w:tcW w:w="22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hyperlink w:anchor="page3">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0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800" w:type="dxa"/>
            <w:vAlign w:val="bottom"/>
          </w:tcPr>
          <w:p>
            <w:pPr>
              <w:jc w:val="center"/>
              <w:ind w:right="1516"/>
              <w:spacing w:after="0"/>
              <w:rPr>
                <w:sz w:val="20"/>
                <w:szCs w:val="20"/>
                <w:color w:val="auto"/>
              </w:rPr>
            </w:pPr>
            <w:r>
              <w:rPr>
                <w:rFonts w:ascii="Times New Roman" w:cs="Times New Roman" w:eastAsia="Times New Roman" w:hAnsi="Times New Roman"/>
                <w:sz w:val="18"/>
                <w:szCs w:val="18"/>
                <w:b w:val="1"/>
                <w:bCs w:val="1"/>
                <w:color w:val="auto"/>
                <w:w w:val="97"/>
              </w:rPr>
              <w:t>EXHIBIT INDEX</w:t>
            </w:r>
          </w:p>
        </w:tc>
      </w:tr>
      <w:tr>
        <w:trPr>
          <w:trHeight w:val="593"/>
        </w:trPr>
        <w:tc>
          <w:tcPr>
            <w:tcW w:w="1040" w:type="dxa"/>
            <w:vAlign w:val="bottom"/>
          </w:tcPr>
          <w:p>
            <w:pPr>
              <w:ind w:left="320"/>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580" w:type="dxa"/>
            <w:vAlign w:val="bottom"/>
          </w:tcPr>
          <w:p>
            <w:pPr>
              <w:spacing w:after="0"/>
              <w:rPr>
                <w:sz w:val="24"/>
                <w:szCs w:val="24"/>
                <w:color w:val="auto"/>
              </w:rPr>
            </w:pPr>
          </w:p>
        </w:tc>
        <w:tc>
          <w:tcPr>
            <w:tcW w:w="9800" w:type="dxa"/>
            <w:vAlign w:val="bottom"/>
          </w:tcPr>
          <w:p>
            <w:pPr>
              <w:spacing w:after="0"/>
              <w:rPr>
                <w:sz w:val="24"/>
                <w:szCs w:val="24"/>
                <w:color w:val="auto"/>
              </w:rPr>
            </w:pPr>
          </w:p>
        </w:tc>
      </w:tr>
      <w:tr>
        <w:trPr>
          <w:trHeight w:val="178"/>
        </w:trPr>
        <w:tc>
          <w:tcPr>
            <w:tcW w:w="1040" w:type="dxa"/>
            <w:vAlign w:val="bottom"/>
          </w:tcPr>
          <w:p>
            <w:pPr>
              <w:ind w:left="280"/>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580" w:type="dxa"/>
            <w:vAlign w:val="bottom"/>
          </w:tcPr>
          <w:p>
            <w:pPr>
              <w:spacing w:after="0"/>
              <w:rPr>
                <w:sz w:val="15"/>
                <w:szCs w:val="15"/>
                <w:color w:val="auto"/>
              </w:rPr>
            </w:pPr>
          </w:p>
        </w:tc>
        <w:tc>
          <w:tcPr>
            <w:tcW w:w="9800" w:type="dxa"/>
            <w:vAlign w:val="bottom"/>
          </w:tcPr>
          <w:p>
            <w:pPr>
              <w:ind w:left="4560"/>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95"/>
        </w:trPr>
        <w:tc>
          <w:tcPr>
            <w:tcW w:w="104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800" w:type="dxa"/>
            <w:vAlign w:val="bottom"/>
            <w:tcBorders>
              <w:bottom w:val="single" w:sz="8" w:color="808080"/>
            </w:tcBorders>
          </w:tcPr>
          <w:p>
            <w:pPr>
              <w:spacing w:after="0"/>
              <w:rPr>
                <w:sz w:val="8"/>
                <w:szCs w:val="8"/>
                <w:color w:val="auto"/>
              </w:rPr>
            </w:pPr>
          </w:p>
        </w:tc>
      </w:tr>
      <w:tr>
        <w:trPr>
          <w:trHeight w:val="316"/>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5.1</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Times New Roman" w:cs="Times New Roman" w:eastAsia="Times New Roman" w:hAnsi="Times New Roman"/>
                <w:sz w:val="18"/>
                <w:szCs w:val="18"/>
                <w:color w:val="auto"/>
              </w:rPr>
              <w:t>Opinion of Appleby Spurling &amp; Kempe.</w:t>
            </w: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Times New Roman" w:cs="Times New Roman" w:eastAsia="Times New Roman" w:hAnsi="Times New Roman"/>
                <w:sz w:val="18"/>
                <w:szCs w:val="18"/>
                <w:color w:val="auto"/>
              </w:rPr>
              <w:t>Consent of PricewaterhouseCoopers LLP, Independent Accountants.</w:t>
            </w: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Times New Roman" w:cs="Times New Roman" w:eastAsia="Times New Roman" w:hAnsi="Times New Roman"/>
                <w:sz w:val="18"/>
                <w:szCs w:val="18"/>
                <w:color w:val="auto"/>
              </w:rPr>
              <w:t>Consent of Appleby Spurling &amp; Kempe (included in Exhibit 5.1 hereto).</w:t>
            </w:r>
          </w:p>
        </w:tc>
      </w:tr>
      <w:tr>
        <w:trPr>
          <w:trHeight w:val="432"/>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Times New Roman" w:cs="Times New Roman" w:eastAsia="Times New Roman" w:hAnsi="Times New Roman"/>
                <w:sz w:val="18"/>
                <w:szCs w:val="18"/>
                <w:color w:val="auto"/>
              </w:rPr>
              <w:t>Power of Attorney (included on signature page hereto).</w:t>
            </w:r>
          </w:p>
        </w:tc>
      </w:tr>
      <w:tr>
        <w:trPr>
          <w:trHeight w:val="432"/>
        </w:trPr>
        <w:tc>
          <w:tcPr>
            <w:tcW w:w="1040" w:type="dxa"/>
            <w:vAlign w:val="bottom"/>
          </w:tcPr>
          <w:p>
            <w:pPr>
              <w:spacing w:after="0"/>
              <w:rPr>
                <w:sz w:val="24"/>
                <w:szCs w:val="24"/>
                <w:color w:val="auto"/>
              </w:rPr>
            </w:pPr>
          </w:p>
        </w:tc>
        <w:tc>
          <w:tcPr>
            <w:tcW w:w="10380" w:type="dxa"/>
            <w:vAlign w:val="bottom"/>
            <w:gridSpan w:val="2"/>
          </w:tcPr>
          <w:p>
            <w:pPr>
              <w:jc w:val="right"/>
              <w:ind w:right="5576"/>
              <w:spacing w:after="0"/>
              <w:rPr>
                <w:sz w:val="20"/>
                <w:szCs w:val="20"/>
                <w:color w:val="auto"/>
              </w:rPr>
            </w:pPr>
            <w:r>
              <w:rPr>
                <w:rFonts w:ascii="Times New Roman" w:cs="Times New Roman" w:eastAsia="Times New Roman" w:hAnsi="Times New Roman"/>
                <w:sz w:val="18"/>
                <w:szCs w:val="18"/>
                <w:color w:val="auto"/>
              </w:rPr>
              <w:t>4</w:t>
            </w:r>
          </w:p>
        </w:tc>
      </w:tr>
    </w:tbl>
    <w:p>
      <w:pPr>
        <w:sectPr>
          <w:pgSz w:w="11900" w:h="16838" w:orient="portrait"/>
          <w:cols w:equalWidth="0" w:num="1">
            <w:col w:w="11420"/>
          </w:cols>
          <w:pgMar w:left="240" w:top="415" w:right="239" w:bottom="1440" w:gutter="0" w:footer="0" w:header="0"/>
        </w:sectPr>
      </w:pPr>
    </w:p>
    <w:bookmarkStart w:id="8" w:name="page9"/>
    <w:bookmarkEnd w:id="8"/>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Consent of Appleby Spurling &amp; Kempe</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[APPLEBY SPURLING &amp; KEMPE LETTERHEAD]</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OPINION OF APPLEBY SPURLING &amp; KEMPE</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May 2,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4th Floor, Windsor Place</w:t>
      </w:r>
    </w:p>
    <w:p>
      <w:pPr>
        <w:spacing w:after="0" w:line="238" w:lineRule="auto"/>
        <w:rPr>
          <w:sz w:val="20"/>
          <w:szCs w:val="20"/>
          <w:color w:val="auto"/>
        </w:rPr>
      </w:pPr>
      <w:r>
        <w:rPr>
          <w:rFonts w:ascii="Courier New" w:cs="Courier New" w:eastAsia="Courier New" w:hAnsi="Courier New"/>
          <w:sz w:val="18"/>
          <w:szCs w:val="18"/>
          <w:color w:val="auto"/>
        </w:rPr>
        <w:t>22 Queen Street</w:t>
      </w:r>
    </w:p>
    <w:p>
      <w:pPr>
        <w:spacing w:after="0"/>
        <w:rPr>
          <w:sz w:val="20"/>
          <w:szCs w:val="20"/>
          <w:color w:val="auto"/>
        </w:rPr>
      </w:pPr>
      <w:r>
        <w:rPr>
          <w:rFonts w:ascii="Courier New" w:cs="Courier New" w:eastAsia="Courier New" w:hAnsi="Courier New"/>
          <w:sz w:val="18"/>
          <w:szCs w:val="18"/>
          <w:color w:val="auto"/>
        </w:rPr>
        <w:t>P.O. Box HM 1179</w:t>
      </w:r>
    </w:p>
    <w:p>
      <w:pPr>
        <w:spacing w:after="0"/>
        <w:rPr>
          <w:sz w:val="20"/>
          <w:szCs w:val="20"/>
          <w:color w:val="auto"/>
        </w:rPr>
      </w:pPr>
      <w:r>
        <w:rPr>
          <w:rFonts w:ascii="Courier New" w:cs="Courier New" w:eastAsia="Courier New" w:hAnsi="Courier New"/>
          <w:sz w:val="18"/>
          <w:szCs w:val="18"/>
          <w:color w:val="auto"/>
        </w:rPr>
        <w:t>Hamilton HM Ex Bermuda</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ind w:right="2099"/>
        <w:spacing w:after="0" w:line="287" w:lineRule="auto"/>
        <w:rPr>
          <w:sz w:val="20"/>
          <w:szCs w:val="20"/>
          <w:color w:val="auto"/>
        </w:rPr>
      </w:pPr>
      <w:r>
        <w:rPr>
          <w:rFonts w:ascii="Courier New" w:cs="Courier New" w:eastAsia="Courier New" w:hAnsi="Courier New"/>
          <w:sz w:val="16"/>
          <w:szCs w:val="16"/>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6,062,996 of the Company's common shares of par value US $0.002 per share to be issued pursuant to the terms of the Marvell Technology Group Ltd. Amended and Restated 1995 Stock Option Plan and 500,000 of the Company's common shares of par value US $0.002 per share to be issued pursuant to the terms of the Marvell Technology Group Ltd. 2000 Employee Stock Purchase Plan (together, the "Common Shares").</w:t>
      </w:r>
    </w:p>
    <w:p>
      <w:pPr>
        <w:spacing w:after="0" w:line="75"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82"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1" w:lineRule="exact"/>
        <w:rPr>
          <w:sz w:val="20"/>
          <w:szCs w:val="20"/>
          <w:color w:val="auto"/>
        </w:rPr>
      </w:pPr>
    </w:p>
    <w:p>
      <w:pPr>
        <w:ind w:left="860" w:right="1779" w:hanging="852"/>
        <w:spacing w:after="0" w:line="274"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submitted to us as originals and the conformity to authentic original documents of all documents submitted to us as certified, conformed, notarised or photostatic copies;</w:t>
      </w:r>
    </w:p>
    <w:p>
      <w:pPr>
        <w:spacing w:after="0" w:line="81" w:lineRule="exact"/>
        <w:rPr>
          <w:rFonts w:ascii="Courier New" w:cs="Courier New" w:eastAsia="Courier New" w:hAnsi="Courier New"/>
          <w:sz w:val="18"/>
          <w:szCs w:val="18"/>
          <w:color w:val="auto"/>
        </w:rPr>
      </w:pPr>
    </w:p>
    <w:p>
      <w:pPr>
        <w:ind w:left="860" w:hanging="852"/>
        <w:spacing w:after="0"/>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1" w:lineRule="exact"/>
        <w:rPr>
          <w:rFonts w:ascii="Courier New" w:cs="Courier New" w:eastAsia="Courier New" w:hAnsi="Courier New"/>
          <w:sz w:val="18"/>
          <w:szCs w:val="18"/>
          <w:color w:val="auto"/>
        </w:rPr>
      </w:pPr>
    </w:p>
    <w:p>
      <w:pPr>
        <w:ind w:left="860" w:right="1879" w:hanging="852"/>
        <w:spacing w:after="0" w:line="292"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pacing w:after="0" w:line="66" w:lineRule="exact"/>
        <w:rPr>
          <w:rFonts w:ascii="Courier New" w:cs="Courier New" w:eastAsia="Courier New" w:hAnsi="Courier New"/>
          <w:sz w:val="18"/>
          <w:szCs w:val="18"/>
          <w:color w:val="auto"/>
        </w:rPr>
      </w:pPr>
    </w:p>
    <w:p>
      <w:pPr>
        <w:ind w:left="860" w:right="2099" w:hanging="852"/>
        <w:spacing w:after="0" w:line="292"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pacing w:after="0" w:line="66" w:lineRule="exact"/>
        <w:rPr>
          <w:rFonts w:ascii="Courier New" w:cs="Courier New" w:eastAsia="Courier New" w:hAnsi="Courier New"/>
          <w:sz w:val="18"/>
          <w:szCs w:val="18"/>
          <w:color w:val="auto"/>
        </w:rPr>
      </w:pPr>
    </w:p>
    <w:p>
      <w:pPr>
        <w:ind w:left="860" w:right="1779" w:hanging="852"/>
        <w:spacing w:after="0" w:line="292"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Plans and the Resolutions are true, accurate and complete in all material respects;</w:t>
      </w:r>
    </w:p>
    <w:p>
      <w:pPr>
        <w:spacing w:after="0" w:line="66" w:lineRule="exact"/>
        <w:rPr>
          <w:rFonts w:ascii="Courier New" w:cs="Courier New" w:eastAsia="Courier New" w:hAnsi="Courier New"/>
          <w:sz w:val="18"/>
          <w:szCs w:val="18"/>
          <w:color w:val="auto"/>
        </w:rPr>
      </w:pPr>
    </w:p>
    <w:p>
      <w:pPr>
        <w:ind w:left="860" w:right="1779" w:hanging="852"/>
        <w:spacing w:after="0" w:line="250"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bring about the issue of the</w:t>
      </w:r>
    </w:p>
    <w:p>
      <w:pPr>
        <w:spacing w:after="0" w:line="1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312" w:right="1440" w:bottom="1440" w:gutter="0" w:footer="0" w:header="0"/>
        </w:sectPr>
      </w:pPr>
    </w:p>
    <w:bookmarkStart w:id="9" w:name="page10"/>
    <w:bookmarkEnd w:id="9"/>
    <w:p>
      <w:pPr>
        <w:jc w:val="both"/>
        <w:ind w:left="860" w:right="1779"/>
        <w:spacing w:after="0" w:line="344" w:lineRule="auto"/>
        <w:rPr>
          <w:sz w:val="20"/>
          <w:szCs w:val="20"/>
          <w:color w:val="auto"/>
        </w:rPr>
      </w:pPr>
      <w:r>
        <w:rPr>
          <w:rFonts w:ascii="Courier New" w:cs="Courier New" w:eastAsia="Courier New" w:hAnsi="Courier New"/>
          <w:sz w:val="16"/>
          <w:szCs w:val="16"/>
          <w:color w:val="auto"/>
        </w:rPr>
        <w:t>Common Shares by the Company under the terms of the Plans, not disclosed by the Constitutional Documents or the Resolutions, which would have any adverse implication in relation to the opinions expressed herein;</w:t>
      </w:r>
    </w:p>
    <w:p>
      <w:pPr>
        <w:spacing w:after="0" w:line="31" w:lineRule="exact"/>
        <w:rPr>
          <w:sz w:val="20"/>
          <w:szCs w:val="20"/>
          <w:color w:val="auto"/>
        </w:rPr>
      </w:pPr>
    </w:p>
    <w:p>
      <w:pPr>
        <w:ind w:left="860" w:right="2099" w:hanging="852"/>
        <w:spacing w:after="0" w:line="292"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awards granted under the Plans relevant to this opinion (collectively, "Awards") will constitute the legal, valid and binding obligations of the parties thereto, other than the Company;</w:t>
      </w:r>
    </w:p>
    <w:p>
      <w:pPr>
        <w:spacing w:after="0" w:line="66" w:lineRule="exact"/>
        <w:rPr>
          <w:rFonts w:ascii="Courier New" w:cs="Courier New" w:eastAsia="Courier New" w:hAnsi="Courier New"/>
          <w:sz w:val="18"/>
          <w:szCs w:val="18"/>
          <w:color w:val="auto"/>
        </w:rPr>
      </w:pPr>
    </w:p>
    <w:p>
      <w:pPr>
        <w:ind w:left="860" w:right="1779" w:hanging="852"/>
        <w:spacing w:after="0" w:line="274"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Resolutions (being directors resolutions), discharged his fiduciary duty owed to the Company and acted honestly and in good faith with a view to the best interests of the Company;</w:t>
      </w:r>
    </w:p>
    <w:p>
      <w:pPr>
        <w:spacing w:after="0" w:line="81" w:lineRule="exact"/>
        <w:rPr>
          <w:rFonts w:ascii="Courier New" w:cs="Courier New" w:eastAsia="Courier New" w:hAnsi="Courier New"/>
          <w:sz w:val="18"/>
          <w:szCs w:val="18"/>
          <w:color w:val="auto"/>
        </w:rPr>
      </w:pPr>
    </w:p>
    <w:p>
      <w:pPr>
        <w:ind w:left="860" w:right="1879" w:hanging="852"/>
        <w:spacing w:after="0" w:line="265"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89" w:lineRule="exact"/>
        <w:rPr>
          <w:rFonts w:ascii="Courier New" w:cs="Courier New" w:eastAsia="Courier New" w:hAnsi="Courier New"/>
          <w:sz w:val="18"/>
          <w:szCs w:val="18"/>
          <w:color w:val="auto"/>
        </w:rPr>
      </w:pPr>
    </w:p>
    <w:p>
      <w:pPr>
        <w:ind w:left="860" w:right="1779" w:hanging="852"/>
        <w:spacing w:after="0" w:line="260"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92" w:lineRule="exact"/>
        <w:rPr>
          <w:rFonts w:ascii="Courier New" w:cs="Courier New" w:eastAsia="Courier New" w:hAnsi="Courier New"/>
          <w:sz w:val="18"/>
          <w:szCs w:val="18"/>
          <w:color w:val="auto"/>
        </w:rPr>
      </w:pPr>
    </w:p>
    <w:p>
      <w:pPr>
        <w:ind w:left="860" w:right="1879" w:hanging="852"/>
        <w:spacing w:after="0" w:line="256"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98" w:lineRule="exact"/>
        <w:rPr>
          <w:rFonts w:ascii="Courier New" w:cs="Courier New" w:eastAsia="Courier New" w:hAnsi="Courier New"/>
          <w:sz w:val="18"/>
          <w:szCs w:val="18"/>
          <w:color w:val="auto"/>
        </w:rPr>
      </w:pPr>
    </w:p>
    <w:p>
      <w:pPr>
        <w:ind w:left="860" w:right="1779" w:hanging="852"/>
        <w:spacing w:after="0" w:line="265"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89" w:lineRule="exact"/>
        <w:rPr>
          <w:rFonts w:ascii="Courier New" w:cs="Courier New" w:eastAsia="Courier New" w:hAnsi="Courier New"/>
          <w:sz w:val="18"/>
          <w:szCs w:val="18"/>
          <w:color w:val="auto"/>
        </w:rPr>
      </w:pPr>
    </w:p>
    <w:p>
      <w:pPr>
        <w:ind w:left="860" w:right="1779" w:hanging="852"/>
        <w:spacing w:after="0" w:line="256"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98" w:lineRule="exact"/>
        <w:rPr>
          <w:rFonts w:ascii="Courier New" w:cs="Courier New" w:eastAsia="Courier New" w:hAnsi="Courier New"/>
          <w:sz w:val="18"/>
          <w:szCs w:val="18"/>
          <w:color w:val="auto"/>
        </w:rPr>
      </w:pPr>
    </w:p>
    <w:p>
      <w:pPr>
        <w:ind w:left="860" w:right="1879" w:hanging="852"/>
        <w:spacing w:after="0" w:line="292"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66" w:lineRule="exact"/>
        <w:rPr>
          <w:rFonts w:ascii="Courier New" w:cs="Courier New" w:eastAsia="Courier New" w:hAnsi="Courier New"/>
          <w:sz w:val="18"/>
          <w:szCs w:val="18"/>
          <w:color w:val="auto"/>
        </w:rPr>
      </w:pPr>
    </w:p>
    <w:p>
      <w:pPr>
        <w:ind w:left="860" w:right="1779" w:hanging="852"/>
        <w:spacing w:after="0" w:line="265"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89" w:lineRule="exact"/>
        <w:rPr>
          <w:rFonts w:ascii="Courier New" w:cs="Courier New" w:eastAsia="Courier New" w:hAnsi="Courier New"/>
          <w:sz w:val="18"/>
          <w:szCs w:val="18"/>
          <w:color w:val="auto"/>
        </w:rPr>
      </w:pPr>
    </w:p>
    <w:p>
      <w:pPr>
        <w:ind w:left="860" w:right="1879" w:hanging="852"/>
        <w:spacing w:after="0" w:line="265" w:lineRule="auto"/>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90"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Opinion</w:t>
      </w:r>
    </w:p>
    <w:p>
      <w:pPr>
        <w:spacing w:after="0" w:line="201" w:lineRule="exact"/>
        <w:rPr>
          <w:sz w:val="20"/>
          <w:szCs w:val="20"/>
          <w:color w:val="auto"/>
        </w:rPr>
      </w:pPr>
    </w:p>
    <w:p>
      <w:pPr>
        <w:ind w:right="1779"/>
        <w:spacing w:after="0" w:line="256"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9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488" w:right="1440" w:bottom="591" w:gutter="0" w:footer="0" w:header="0"/>
        </w:sectPr>
      </w:pPr>
    </w:p>
    <w:bookmarkStart w:id="10" w:name="page11"/>
    <w:bookmarkEnd w:id="10"/>
    <w:p>
      <w:pPr>
        <w:ind w:left="3580"/>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1" w:lineRule="exact"/>
        <w:rPr>
          <w:sz w:val="20"/>
          <w:szCs w:val="20"/>
          <w:color w:val="auto"/>
        </w:rPr>
      </w:pPr>
    </w:p>
    <w:p>
      <w:pPr>
        <w:ind w:left="860" w:right="1779" w:hanging="852"/>
        <w:spacing w:after="0" w:line="265" w:lineRule="auto"/>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89" w:lineRule="exact"/>
        <w:rPr>
          <w:rFonts w:ascii="Courier New" w:cs="Courier New" w:eastAsia="Courier New" w:hAnsi="Courier New"/>
          <w:sz w:val="18"/>
          <w:szCs w:val="18"/>
          <w:color w:val="auto"/>
        </w:rPr>
      </w:pPr>
    </w:p>
    <w:p>
      <w:pPr>
        <w:ind w:left="860" w:right="1879" w:hanging="852"/>
        <w:spacing w:after="0" w:line="287" w:lineRule="auto"/>
        <w:tabs>
          <w:tab w:leader="none" w:pos="86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75" w:lineRule="exact"/>
        <w:rPr>
          <w:rFonts w:ascii="Courier New" w:cs="Courier New" w:eastAsia="Courier New" w:hAnsi="Courier New"/>
          <w:sz w:val="16"/>
          <w:szCs w:val="16"/>
          <w:color w:val="auto"/>
        </w:rPr>
      </w:pPr>
    </w:p>
    <w:p>
      <w:pPr>
        <w:ind w:left="860" w:right="1779" w:hanging="852"/>
        <w:spacing w:after="0" w:line="292" w:lineRule="auto"/>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66" w:lineRule="exact"/>
        <w:rPr>
          <w:rFonts w:ascii="Courier New" w:cs="Courier New" w:eastAsia="Courier New" w:hAnsi="Courier New"/>
          <w:sz w:val="18"/>
          <w:szCs w:val="18"/>
          <w:color w:val="auto"/>
        </w:rPr>
      </w:pPr>
    </w:p>
    <w:p>
      <w:pPr>
        <w:ind w:left="1580" w:right="1779" w:hanging="729"/>
        <w:spacing w:after="0" w:line="256" w:lineRule="auto"/>
        <w:tabs>
          <w:tab w:leader="none" w:pos="158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98" w:lineRule="exact"/>
        <w:rPr>
          <w:rFonts w:ascii="Courier New" w:cs="Courier New" w:eastAsia="Courier New" w:hAnsi="Courier New"/>
          <w:sz w:val="18"/>
          <w:szCs w:val="18"/>
          <w:color w:val="auto"/>
        </w:rPr>
      </w:pPr>
    </w:p>
    <w:p>
      <w:pPr>
        <w:ind w:left="1580" w:right="1779" w:hanging="729"/>
        <w:spacing w:after="0" w:line="292" w:lineRule="auto"/>
        <w:tabs>
          <w:tab w:leader="none" w:pos="158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66" w:lineRule="exact"/>
        <w:rPr>
          <w:rFonts w:ascii="Courier New" w:cs="Courier New" w:eastAsia="Courier New" w:hAnsi="Courier New"/>
          <w:sz w:val="18"/>
          <w:szCs w:val="18"/>
          <w:color w:val="auto"/>
        </w:rPr>
      </w:pPr>
    </w:p>
    <w:p>
      <w:pPr>
        <w:ind w:left="860" w:right="1879" w:hanging="852"/>
        <w:spacing w:after="0" w:line="344" w:lineRule="auto"/>
        <w:tabs>
          <w:tab w:leader="none" w:pos="86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order to issue this opinion we have carried out the Searches as referred to in paragraphs 4 and 5 of the Schedule and have not enquired as to whether there has been any change since the date of the Searches.</w:t>
      </w:r>
    </w:p>
    <w:p>
      <w:pPr>
        <w:spacing w:after="0" w:line="30" w:lineRule="exact"/>
        <w:rPr>
          <w:rFonts w:ascii="Courier New" w:cs="Courier New" w:eastAsia="Courier New" w:hAnsi="Courier New"/>
          <w:sz w:val="16"/>
          <w:szCs w:val="16"/>
          <w:color w:val="auto"/>
        </w:rPr>
      </w:pPr>
    </w:p>
    <w:p>
      <w:pPr>
        <w:ind w:left="860" w:right="1879" w:hanging="852"/>
        <w:spacing w:after="0" w:line="265" w:lineRule="auto"/>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relied upon the statements made in the Officers Certificate referred to in paragraph 9 of the Schedule. We have made no independent verification of the matters referred to in the certificate and we qualify this opinion to the extent that the statements made in the certificate are not accurate in any respect.</w:t>
      </w:r>
    </w:p>
    <w:p>
      <w:pPr>
        <w:spacing w:after="0" w:line="90"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Disclosure</w:t>
      </w:r>
    </w:p>
    <w:p>
      <w:pPr>
        <w:spacing w:after="0" w:line="201" w:lineRule="exact"/>
        <w:rPr>
          <w:sz w:val="20"/>
          <w:szCs w:val="20"/>
          <w:color w:val="auto"/>
        </w:rPr>
      </w:pPr>
    </w:p>
    <w:p>
      <w:pPr>
        <w:ind w:right="1779"/>
        <w:spacing w:after="0" w:line="298"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68" w:lineRule="exact"/>
        <w:rPr>
          <w:sz w:val="20"/>
          <w:szCs w:val="20"/>
          <w:color w:val="auto"/>
        </w:rPr>
      </w:pPr>
    </w:p>
    <w:p>
      <w:pPr>
        <w:ind w:right="2099"/>
        <w:spacing w:after="0" w:line="344"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APPLEBY SPURLING &amp; KEMPE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488" w:right="1440" w:bottom="1440" w:gutter="0" w:footer="0" w:header="0"/>
        </w:sectPr>
      </w:pPr>
    </w:p>
    <w:bookmarkStart w:id="11" w:name="page12"/>
    <w:bookmarkEnd w:id="11"/>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1" w:lineRule="exact"/>
        <w:rPr>
          <w:sz w:val="20"/>
          <w:szCs w:val="20"/>
          <w:color w:val="auto"/>
        </w:rPr>
      </w:pPr>
    </w:p>
    <w:p>
      <w:pPr>
        <w:ind w:left="532" w:right="1999" w:hanging="532"/>
        <w:spacing w:after="0" w:line="292"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dated 1 May 2003 and received on 30 April 2003 (excluding the exhibits and excluding the documents incorporated by reference).</w:t>
      </w:r>
    </w:p>
    <w:p>
      <w:pPr>
        <w:spacing w:after="0" w:line="66" w:lineRule="exact"/>
        <w:rPr>
          <w:rFonts w:ascii="Courier New" w:cs="Courier New" w:eastAsia="Courier New" w:hAnsi="Courier New"/>
          <w:sz w:val="18"/>
          <w:szCs w:val="18"/>
          <w:color w:val="auto"/>
        </w:rPr>
      </w:pPr>
    </w:p>
    <w:p>
      <w:pPr>
        <w:ind w:left="532" w:right="1779" w:hanging="532"/>
        <w:spacing w:after="0" w:line="274"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each of the Marvell Technology Group Ltd. Amended and Restated 1995 Stock Option Plan (as amended through 6 May 2001) and the Marvell Technology Group Ltd. 2000 Employee Stock Purchase Plan (together, the "Plans").</w:t>
      </w:r>
    </w:p>
    <w:p>
      <w:pPr>
        <w:spacing w:after="0" w:line="81" w:lineRule="exact"/>
        <w:rPr>
          <w:rFonts w:ascii="Courier New" w:cs="Courier New" w:eastAsia="Courier New" w:hAnsi="Courier New"/>
          <w:sz w:val="18"/>
          <w:szCs w:val="18"/>
          <w:color w:val="auto"/>
        </w:rPr>
      </w:pPr>
    </w:p>
    <w:p>
      <w:pPr>
        <w:ind w:left="532" w:right="1779" w:hanging="532"/>
        <w:spacing w:after="0" w:line="248"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Written Resolution of the Board of Directors of the Company effective on 18 April 1995,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(the "Board Resolutions"), the Written Resolution of the Members of the Company effective 11 April 1995, the Minutes of the meeting of the Members of the Company held on 17 June 2000 and the Minutes of the meeting of the Members of the Company held on 21 June 2001 (the "Members Resolutions" and together with the Board Resolutions are herein referred to as the "Resolutions")</w:t>
      </w:r>
    </w:p>
    <w:p>
      <w:pPr>
        <w:spacing w:after="0" w:line="105" w:lineRule="exact"/>
        <w:rPr>
          <w:rFonts w:ascii="Courier New" w:cs="Courier New" w:eastAsia="Courier New" w:hAnsi="Courier New"/>
          <w:sz w:val="18"/>
          <w:szCs w:val="18"/>
          <w:color w:val="auto"/>
        </w:rPr>
      </w:pPr>
    </w:p>
    <w:p>
      <w:pPr>
        <w:ind w:left="532" w:right="1879" w:hanging="532"/>
        <w:spacing w:after="0" w:line="274"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1 May 2003 (the "Company Search");</w:t>
      </w:r>
    </w:p>
    <w:p>
      <w:pPr>
        <w:spacing w:after="0" w:line="81" w:lineRule="exact"/>
        <w:rPr>
          <w:rFonts w:ascii="Courier New" w:cs="Courier New" w:eastAsia="Courier New" w:hAnsi="Courier New"/>
          <w:sz w:val="18"/>
          <w:szCs w:val="18"/>
          <w:color w:val="auto"/>
        </w:rPr>
      </w:pPr>
    </w:p>
    <w:p>
      <w:pPr>
        <w:ind w:left="532" w:right="2319" w:hanging="532"/>
        <w:spacing w:after="0" w:line="274"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1 May 2003 (the "Litigation Search");</w:t>
      </w:r>
    </w:p>
    <w:p>
      <w:pPr>
        <w:spacing w:after="0" w:line="81" w:lineRule="exact"/>
        <w:rPr>
          <w:rFonts w:ascii="Courier New" w:cs="Courier New" w:eastAsia="Courier New" w:hAnsi="Courier New"/>
          <w:sz w:val="18"/>
          <w:szCs w:val="18"/>
          <w:color w:val="auto"/>
        </w:rPr>
      </w:pPr>
    </w:p>
    <w:p>
      <w:pPr>
        <w:ind w:left="532" w:right="1879"/>
        <w:spacing w:after="0" w:line="34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18" w:lineRule="exact"/>
        <w:rPr>
          <w:rFonts w:ascii="Courier New" w:cs="Courier New" w:eastAsia="Courier New" w:hAnsi="Courier New"/>
          <w:sz w:val="18"/>
          <w:szCs w:val="18"/>
          <w:color w:val="auto"/>
        </w:rPr>
      </w:pPr>
    </w:p>
    <w:p>
      <w:pPr>
        <w:ind w:left="532" w:right="1999" w:hanging="532"/>
        <w:spacing w:after="0" w:line="292" w:lineRule="auto"/>
        <w:tabs>
          <w:tab w:leader="none" w:pos="532"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200" w:lineRule="exact"/>
        <w:rPr>
          <w:sz w:val="20"/>
          <w:szCs w:val="20"/>
          <w:color w:val="auto"/>
        </w:rPr>
      </w:pPr>
    </w:p>
    <w:p>
      <w:pPr>
        <w:spacing w:after="0" w:line="271"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1"/>
          </w:cols>
          <w:pgMar w:left="248" w:top="488" w:right="1440" w:bottom="1440" w:gutter="0" w:footer="0" w:header="0"/>
        </w:sectPr>
      </w:pPr>
    </w:p>
    <w:bookmarkStart w:id="12" w:name="page13"/>
    <w:bookmarkEnd w:id="12"/>
    <w:p>
      <w:pPr>
        <w:ind w:left="532" w:right="1779" w:hanging="532"/>
        <w:spacing w:after="0" w:line="292" w:lineRule="auto"/>
        <w:tabs>
          <w:tab w:leader="none" w:pos="532"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permissions dated 31 May 2000 given by the Bermuda Monetary Authority under the Exchange Control Act (1972) and related regulations for the issue of shares in the capital of the Company;</w:t>
      </w:r>
    </w:p>
    <w:p>
      <w:pPr>
        <w:spacing w:after="0" w:line="66" w:lineRule="exact"/>
        <w:rPr>
          <w:rFonts w:ascii="Courier New" w:cs="Courier New" w:eastAsia="Courier New" w:hAnsi="Courier New"/>
          <w:sz w:val="18"/>
          <w:szCs w:val="18"/>
          <w:color w:val="auto"/>
        </w:rPr>
      </w:pPr>
    </w:p>
    <w:p>
      <w:pPr>
        <w:ind w:left="532" w:right="1879" w:hanging="532"/>
        <w:spacing w:after="0" w:line="274" w:lineRule="auto"/>
        <w:tabs>
          <w:tab w:leader="none" w:pos="532"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fax copy of an Officer's Certificate dated 29 April 2003 and signed by Dr. Sehat Sutardja as President and Chief Executive Officer of the Company confirming the authorised and issued share capital of the Company as at that date.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1"/>
          </w:cols>
          <w:pgMar w:left="248" w:top="488" w:right="1440" w:bottom="1440" w:gutter="0" w:footer="0" w:header="0"/>
        </w:sectPr>
      </w:pPr>
    </w:p>
    <w:bookmarkStart w:id="13" w:name="page14"/>
    <w:bookmarkEnd w:id="13"/>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1"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February 26, 2003 relating to the financial statements of Marvell Technology Group Ltd., which appears in Marvell Technology Group Ltd.'s Annual Report on Form 10-K for the year ended February 1, 2003.</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May 1, 2003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1"/>
    </w:lvl>
  </w:abstractNum>
  <w:abstractNum w:abstractNumId="1">
    <w:nsid w:val="238E1F29"/>
    <w:multiLevelType w:val="hybridMultilevel"/>
    <w:lvl w:ilvl="0">
      <w:lvlJc w:val="left"/>
      <w:lvlText w:val="(%1)"/>
      <w:numFmt w:val="lowerLetter"/>
      <w:start w:val="1"/>
    </w:lvl>
  </w:abstractNum>
  <w:abstractNum w:abstractNumId="2">
    <w:nsid w:val="46E87CCD"/>
    <w:multiLevelType w:val="hybridMultilevel"/>
    <w:lvl w:ilvl="0">
      <w:lvlJc w:val="left"/>
      <w:lvlText w:val="(%1)"/>
      <w:numFmt w:val="lowerLetter"/>
      <w:start w:val="1"/>
    </w:lvl>
  </w:abstractNum>
  <w:abstractNum w:abstractNumId="3">
    <w:nsid w:val="3D1B58BA"/>
    <w:multiLevelType w:val="hybridMultilevel"/>
    <w:lvl w:ilvl="0">
      <w:lvlJc w:val="left"/>
      <w:lvlText w:val="(%1)"/>
      <w:numFmt w:val="lowerLetter"/>
      <w:start w:val="7"/>
    </w:lvl>
  </w:abstractNum>
  <w:abstractNum w:abstractNumId="4">
    <w:nsid w:val="507ED7AB"/>
    <w:multiLevelType w:val="hybridMultilevel"/>
    <w:lvl w:ilvl="0">
      <w:lvlJc w:val="left"/>
      <w:lvlText w:val="(%1)"/>
      <w:numFmt w:val="lowerLetter"/>
      <w:start w:val="1"/>
    </w:lvl>
    <w:lvl w:ilvl="1">
      <w:lvlJc w:val="left"/>
      <w:lvlText w:val="(%2)"/>
      <w:numFmt w:val="lowerRoman"/>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2019-12-14T20:12:12Z</dcterms:created>
  <dcterms:modified xsi:type="dcterms:W3CDTF">2019-12-14T20:12:12Z</dcterms:modified>
</cp:coreProperties>
</file>