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692023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69202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06/26/2003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2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1180" w:type="dxa"/>
            <w:vAlign w:val="bottom"/>
            <w:gridSpan w:val="2"/>
          </w:tcPr>
          <w:p>
            <w:pPr>
              <w:ind w:left="12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24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00"/>
              <w:spacing w:after="0" w:line="133"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8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08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20" w:type="dxa"/>
            <w:vAlign w:val="bottom"/>
            <w:gridSpan w:val="2"/>
          </w:tcPr>
          <w:p>
            <w:pPr>
              <w:ind w:left="60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w w:val="95"/>
              </w:rPr>
              <w:t>if any</w:t>
            </w:r>
          </w:p>
        </w:tc>
        <w:tc>
          <w:tcPr>
            <w:tcW w:w="740" w:type="dxa"/>
            <w:vAlign w:val="bottom"/>
          </w:tcPr>
          <w:p>
            <w:pPr>
              <w:spacing w:after="0"/>
              <w:rPr>
                <w:sz w:val="11"/>
                <w:szCs w:val="11"/>
                <w:color w:val="auto"/>
              </w:rPr>
            </w:pP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8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520" w:type="dxa"/>
            <w:vAlign w:val="bottom"/>
          </w:tcPr>
          <w:p>
            <w:pPr>
              <w:spacing w:after="0"/>
              <w:rPr>
                <w:sz w:val="3"/>
                <w:szCs w:val="3"/>
                <w:color w:val="auto"/>
              </w:rPr>
            </w:pPr>
          </w:p>
        </w:tc>
        <w:tc>
          <w:tcPr>
            <w:tcW w:w="58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80"/>
              <w:spacing w:after="0" w:line="135" w:lineRule="exact"/>
              <w:rPr>
                <w:sz w:val="20"/>
                <w:szCs w:val="20"/>
                <w:color w:val="auto"/>
              </w:rPr>
            </w:pPr>
            <w:r>
              <w:rPr>
                <w:rFonts w:ascii="Arial" w:cs="Arial" w:eastAsia="Arial" w:hAnsi="Arial"/>
                <w:sz w:val="12"/>
                <w:szCs w:val="12"/>
                <w:b w:val="1"/>
                <w:bCs w:val="1"/>
                <w:color w:val="auto"/>
                <w:w w:val="99"/>
              </w:rPr>
              <w:t>(A) or</w:t>
            </w:r>
          </w:p>
        </w:tc>
        <w:tc>
          <w:tcPr>
            <w:tcW w:w="58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2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52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580" w:type="dxa"/>
            <w:vAlign w:val="bottom"/>
            <w:vMerge w:val="continue"/>
          </w:tcPr>
          <w:p>
            <w:pPr>
              <w:spacing w:after="0"/>
              <w:rPr>
                <w:sz w:val="8"/>
                <w:szCs w:val="8"/>
                <w:color w:val="auto"/>
              </w:rPr>
            </w:pPr>
          </w:p>
        </w:tc>
        <w:tc>
          <w:tcPr>
            <w:tcW w:w="24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440" w:type="dxa"/>
            <w:vAlign w:val="bottom"/>
          </w:tcPr>
          <w:p>
            <w:pPr>
              <w:spacing w:after="0"/>
              <w:rPr>
                <w:sz w:val="5"/>
                <w:szCs w:val="5"/>
                <w:color w:val="auto"/>
              </w:rPr>
            </w:pPr>
          </w:p>
        </w:tc>
        <w:tc>
          <w:tcPr>
            <w:tcW w:w="7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ind w:left="700"/>
              <w:spacing w:after="0"/>
              <w:rPr>
                <w:sz w:val="20"/>
                <w:szCs w:val="20"/>
                <w:color w:val="auto"/>
              </w:rPr>
            </w:pPr>
            <w:r>
              <w:rPr>
                <w:rFonts w:ascii="Arial" w:cs="Arial" w:eastAsia="Arial" w:hAnsi="Arial"/>
                <w:sz w:val="18"/>
                <w:szCs w:val="18"/>
                <w:color w:val="0000FF"/>
                <w:w w:val="99"/>
              </w:rPr>
              <w:t>06/26/2003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ind w:left="180"/>
              <w:spacing w:after="0"/>
              <w:rPr>
                <w:sz w:val="20"/>
                <w:szCs w:val="20"/>
                <w:color w:val="auto"/>
              </w:rPr>
            </w:pPr>
            <w:r>
              <w:rPr>
                <w:rFonts w:ascii="Arial" w:cs="Arial" w:eastAsia="Arial" w:hAnsi="Arial"/>
                <w:sz w:val="18"/>
                <w:szCs w:val="18"/>
                <w:color w:val="0000FF"/>
                <w:w w:val="98"/>
              </w:rPr>
              <w:t>15,000</w:t>
            </w:r>
          </w:p>
        </w:tc>
        <w:tc>
          <w:tcPr>
            <w:tcW w:w="520" w:type="dxa"/>
            <w:vAlign w:val="bottom"/>
            <w:vMerge w:val="restart"/>
          </w:tcPr>
          <w:p>
            <w:pPr>
              <w:ind w:left="300"/>
              <w:spacing w:after="0"/>
              <w:rPr>
                <w:sz w:val="20"/>
                <w:szCs w:val="20"/>
                <w:color w:val="auto"/>
              </w:rPr>
            </w:pPr>
            <w:r>
              <w:rPr>
                <w:rFonts w:ascii="Arial" w:cs="Arial" w:eastAsia="Arial" w:hAnsi="Arial"/>
                <w:sz w:val="18"/>
                <w:szCs w:val="18"/>
                <w:color w:val="0000FF"/>
              </w:rPr>
              <w:t>D</w:t>
            </w:r>
          </w:p>
        </w:tc>
        <w:tc>
          <w:tcPr>
            <w:tcW w:w="820" w:type="dxa"/>
            <w:vAlign w:val="bottom"/>
            <w:gridSpan w:val="2"/>
            <w:vMerge w:val="restart"/>
          </w:tcPr>
          <w:p>
            <w:pPr>
              <w:ind w:left="180"/>
              <w:spacing w:after="0"/>
              <w:rPr>
                <w:sz w:val="20"/>
                <w:szCs w:val="20"/>
                <w:color w:val="auto"/>
              </w:rPr>
            </w:pPr>
            <w:r>
              <w:rPr>
                <w:rFonts w:ascii="Arial" w:cs="Arial" w:eastAsia="Arial" w:hAnsi="Arial"/>
                <w:sz w:val="18"/>
                <w:szCs w:val="18"/>
                <w:color w:val="0000FF"/>
                <w:w w:val="95"/>
              </w:rPr>
              <w:t>33.3186</w:t>
            </w:r>
          </w:p>
        </w:tc>
        <w:tc>
          <w:tcPr>
            <w:tcW w:w="500" w:type="dxa"/>
            <w:vAlign w:val="bottom"/>
          </w:tcPr>
          <w:p>
            <w:pPr>
              <w:spacing w:after="0"/>
              <w:rPr>
                <w:sz w:val="18"/>
                <w:szCs w:val="18"/>
                <w:color w:val="auto"/>
              </w:rPr>
            </w:pPr>
          </w:p>
        </w:tc>
        <w:tc>
          <w:tcPr>
            <w:tcW w:w="740" w:type="dxa"/>
            <w:vAlign w:val="bottom"/>
            <w:vMerge w:val="restart"/>
          </w:tcPr>
          <w:p>
            <w:pPr>
              <w:jc w:val="right"/>
              <w:ind w:right="557"/>
              <w:spacing w:after="0"/>
              <w:rPr>
                <w:sz w:val="20"/>
                <w:szCs w:val="20"/>
                <w:color w:val="auto"/>
              </w:rPr>
            </w:pPr>
            <w:r>
              <w:rPr>
                <w:rFonts w:ascii="Arial" w:cs="Arial" w:eastAsia="Arial" w:hAnsi="Arial"/>
                <w:sz w:val="18"/>
                <w:szCs w:val="18"/>
                <w:color w:val="0000FF"/>
                <w:w w:val="99"/>
              </w:rPr>
              <w:t>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w w:val="98"/>
              </w:rPr>
              <w:t>Dayspring</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20" w:type="dxa"/>
            <w:vAlign w:val="bottom"/>
            <w:gridSpan w:val="2"/>
            <w:vMerge w:val="continue"/>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8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5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4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Forefront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tcPr>
          <w:p>
            <w:pPr>
              <w:ind w:left="700"/>
              <w:spacing w:after="0"/>
              <w:rPr>
                <w:sz w:val="20"/>
                <w:szCs w:val="20"/>
                <w:color w:val="auto"/>
              </w:rPr>
            </w:pPr>
            <w:r>
              <w:rPr>
                <w:rFonts w:ascii="Arial" w:cs="Arial" w:eastAsia="Arial" w:hAnsi="Arial"/>
                <w:sz w:val="18"/>
                <w:szCs w:val="18"/>
                <w:color w:val="0000FF"/>
                <w:w w:val="99"/>
              </w:rPr>
              <w:t>06/26/2003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ind w:left="200"/>
              <w:spacing w:after="0"/>
              <w:rPr>
                <w:sz w:val="20"/>
                <w:szCs w:val="20"/>
                <w:color w:val="auto"/>
              </w:rPr>
            </w:pPr>
            <w:r>
              <w:rPr>
                <w:rFonts w:ascii="Arial" w:cs="Arial" w:eastAsia="Arial" w:hAnsi="Arial"/>
                <w:sz w:val="14"/>
                <w:szCs w:val="14"/>
                <w:color w:val="0000FF"/>
              </w:rPr>
              <w:t>S</w:t>
            </w:r>
          </w:p>
        </w:tc>
        <w:tc>
          <w:tcPr>
            <w:tcW w:w="740" w:type="dxa"/>
            <w:vAlign w:val="bottom"/>
          </w:tcPr>
          <w:p>
            <w:pPr>
              <w:ind w:left="180"/>
              <w:spacing w:after="0"/>
              <w:rPr>
                <w:sz w:val="20"/>
                <w:szCs w:val="20"/>
                <w:color w:val="auto"/>
              </w:rPr>
            </w:pPr>
            <w:r>
              <w:rPr>
                <w:rFonts w:ascii="Arial" w:cs="Arial" w:eastAsia="Arial" w:hAnsi="Arial"/>
                <w:sz w:val="18"/>
                <w:szCs w:val="18"/>
                <w:color w:val="0000FF"/>
                <w:w w:val="98"/>
              </w:rPr>
              <w:t>40,000</w:t>
            </w:r>
          </w:p>
        </w:tc>
        <w:tc>
          <w:tcPr>
            <w:tcW w:w="520" w:type="dxa"/>
            <w:vAlign w:val="bottom"/>
          </w:tcPr>
          <w:p>
            <w:pPr>
              <w:ind w:left="300"/>
              <w:spacing w:after="0"/>
              <w:rPr>
                <w:sz w:val="20"/>
                <w:szCs w:val="20"/>
                <w:color w:val="auto"/>
              </w:rPr>
            </w:pPr>
            <w:r>
              <w:rPr>
                <w:rFonts w:ascii="Arial" w:cs="Arial" w:eastAsia="Arial" w:hAnsi="Arial"/>
                <w:sz w:val="18"/>
                <w:szCs w:val="18"/>
                <w:color w:val="0000FF"/>
              </w:rPr>
              <w:t>D</w:t>
            </w:r>
          </w:p>
        </w:tc>
        <w:tc>
          <w:tcPr>
            <w:tcW w:w="820" w:type="dxa"/>
            <w:vAlign w:val="bottom"/>
            <w:gridSpan w:val="2"/>
          </w:tcPr>
          <w:p>
            <w:pPr>
              <w:ind w:left="180"/>
              <w:spacing w:after="0"/>
              <w:rPr>
                <w:sz w:val="20"/>
                <w:szCs w:val="20"/>
                <w:color w:val="auto"/>
              </w:rPr>
            </w:pPr>
            <w:r>
              <w:rPr>
                <w:rFonts w:ascii="Arial" w:cs="Arial" w:eastAsia="Arial" w:hAnsi="Arial"/>
                <w:sz w:val="18"/>
                <w:szCs w:val="18"/>
                <w:color w:val="0000FF"/>
                <w:w w:val="95"/>
              </w:rPr>
              <w:t>33.5186</w:t>
            </w:r>
          </w:p>
        </w:tc>
        <w:tc>
          <w:tcPr>
            <w:tcW w:w="1240" w:type="dxa"/>
            <w:vAlign w:val="bottom"/>
            <w:gridSpan w:val="2"/>
          </w:tcPr>
          <w:p>
            <w:pPr>
              <w:jc w:val="center"/>
              <w:ind w:right="277"/>
              <w:spacing w:after="0" w:line="217" w:lineRule="exact"/>
              <w:rPr>
                <w:sz w:val="20"/>
                <w:szCs w:val="20"/>
                <w:color w:val="auto"/>
              </w:rPr>
            </w:pPr>
            <w:r>
              <w:rPr>
                <w:rFonts w:ascii="Arial" w:cs="Arial" w:eastAsia="Arial" w:hAnsi="Arial"/>
                <w:sz w:val="18"/>
                <w:szCs w:val="18"/>
                <w:color w:val="0000FF"/>
              </w:rPr>
              <w:t>69,601</w:t>
            </w:r>
            <w:r>
              <w:rPr>
                <w:rFonts w:ascii="Arial" w:cs="Arial" w:eastAsia="Arial" w:hAnsi="Arial"/>
                <w:sz w:val="22"/>
                <w:szCs w:val="22"/>
                <w:color w:val="008000"/>
                <w:vertAlign w:val="superscript"/>
              </w:rPr>
              <w:t>(1)</w:t>
            </w:r>
          </w:p>
        </w:tc>
        <w:tc>
          <w:tcPr>
            <w:tcW w:w="940" w:type="dxa"/>
            <w:vAlign w:val="bottom"/>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Partners,</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24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gridSpan w:val="2"/>
          </w:tcPr>
          <w:p>
            <w:pPr>
              <w:ind w:left="20"/>
              <w:spacing w:after="0"/>
              <w:rPr>
                <w:sz w:val="20"/>
                <w:szCs w:val="20"/>
                <w:color w:val="auto"/>
              </w:rPr>
            </w:pPr>
            <w:r>
              <w:rPr>
                <w:rFonts w:ascii="Arial" w:cs="Arial" w:eastAsia="Arial" w:hAnsi="Arial"/>
                <w:sz w:val="18"/>
                <w:szCs w:val="18"/>
                <w:color w:val="0000FF"/>
              </w:rPr>
              <w:t>L.P.</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20" w:type="dxa"/>
            <w:vAlign w:val="bottom"/>
            <w:tcBorders>
              <w:top w:val="single" w:sz="8" w:color="2C2C2C"/>
            </w:tcBorders>
            <w:gridSpan w:val="11"/>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4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8"/>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24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40" w:type="dxa"/>
            <w:vAlign w:val="bottom"/>
          </w:tcPr>
          <w:p>
            <w:pPr>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10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w:t>
            </w: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Amount of</w:t>
            </w: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Underlying</w:t>
            </w: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 (Instr. 3</w:t>
            </w: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and 4)</w:t>
            </w:r>
          </w:p>
        </w:tc>
        <w:tc>
          <w:tcPr>
            <w:tcW w:w="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6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40" w:type="dxa"/>
            <w:vAlign w:val="bottom"/>
          </w:tcPr>
          <w:p>
            <w:pPr>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40" w:type="dxa"/>
            <w:vAlign w:val="bottom"/>
          </w:tcPr>
          <w:p>
            <w:pPr>
              <w:spacing w:after="0"/>
              <w:rPr>
                <w:sz w:val="4"/>
                <w:szCs w:val="4"/>
                <w:color w:val="auto"/>
              </w:rPr>
            </w:pPr>
          </w:p>
        </w:tc>
        <w:tc>
          <w:tcPr>
            <w:tcW w:w="500" w:type="dxa"/>
            <w:vAlign w:val="bottom"/>
          </w:tcPr>
          <w:p>
            <w:pPr>
              <w:spacing w:after="0"/>
              <w:rPr>
                <w:sz w:val="4"/>
                <w:szCs w:val="4"/>
                <w:color w:val="auto"/>
              </w:rPr>
            </w:pPr>
          </w:p>
        </w:tc>
        <w:tc>
          <w:tcPr>
            <w:tcW w:w="74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58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52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40" w:type="dxa"/>
            <w:vAlign w:val="bottom"/>
          </w:tcPr>
          <w:p>
            <w:pPr>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52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8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3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Reporting person also has indirect benefical ownership in the following: 195,900 held by Investar Burgeon Venture Capital, Inc.; and 23,850 held by Investar Avantgarde Holding, Inc., 384,140 held by Investar Capital, Inc. In addition, Reporting Person also has direct beneficial ownership of 181,000 shares.</w:t>
      </w:r>
    </w:p>
    <w:p>
      <w:pPr>
        <w:spacing w:after="0" w:line="30" w:lineRule="exact"/>
        <w:rPr>
          <w:rFonts w:ascii="Arial" w:cs="Arial" w:eastAsia="Arial" w:hAnsi="Arial"/>
          <w:sz w:val="14"/>
          <w:szCs w:val="14"/>
          <w:color w:val="008000"/>
        </w:rPr>
      </w:pPr>
    </w:p>
    <w:p>
      <w:pPr>
        <w:ind w:left="40" w:right="100" w:firstLine="9"/>
        <w:spacing w:after="0" w:line="228"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06/30/2003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9217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2019-12-17T17:43:32Z</dcterms:created>
  <dcterms:modified xsi:type="dcterms:W3CDTF">2019-12-17T17:43:32Z</dcterms:modified>
</cp:coreProperties>
</file>