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4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27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6580" w:type="dxa"/>
            <w:vAlign w:val="bottom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10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Expires: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December 31,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2014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or Section 30(h) of the Investment Company Act of 1940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response:</w:t>
            </w: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-946785</wp:posOffset>
            </wp:positionV>
            <wp:extent cx="7272020" cy="5462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462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0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ALBA MANUEL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7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83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1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06/04/2003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17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40" w:type="dxa"/>
            <w:vAlign w:val="bottom"/>
            <w:gridSpan w:val="5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60" w:type="dxa"/>
            <w:vAlign w:val="bottom"/>
            <w:gridSpan w:val="9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   Securities</w:t>
            </w:r>
          </w:p>
        </w:tc>
        <w:tc>
          <w:tcPr>
            <w:tcW w:w="9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0" w:type="dxa"/>
            <w:vAlign w:val="bottom"/>
            <w:gridSpan w:val="3"/>
            <w:vMerge w:val="restart"/>
          </w:tcPr>
          <w:p>
            <w:pPr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4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06/04/2003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24,866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79"/>
              </w:rPr>
              <w:t>32</w:t>
            </w: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409,304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34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00" w:type="dxa"/>
            <w:vAlign w:val="bottom"/>
            <w:gridSpan w:val="11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8"/>
              </w:rPr>
              <w:t>(e.g., puts, calls, warrants, options, convertible securities)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4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4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ind w:left="4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8000"/>
        </w:rPr>
        <w:t>1. Reporting Person also has indirect beneficial ownership in 21,960 shares held by his wife. Reporting person disclaims beneficial ownership of the shares held by his wife.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Manuel Alba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06/05/2003</w:t>
            </w:r>
          </w:p>
        </w:tc>
      </w:tr>
      <w:tr>
        <w:trPr>
          <w:trHeight w:val="20"/>
        </w:trPr>
        <w:tc>
          <w:tcPr>
            <w:tcW w:w="9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hyperlink" Target="http://www.sec.gov/cgi-bin/browse-edgar?action=getcompany&amp;CIK=0001134727" TargetMode="External"/><Relationship Id="rId11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2019-12-17T02:20:06Z</dcterms:created>
  <dcterms:modified xsi:type="dcterms:W3CDTF">2019-12-17T02:20:06Z</dcterms:modified>
</cp:coreProperties>
</file>