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4"/>
          <w:szCs w:val="24"/>
          <w:color w:val="auto"/>
        </w:rPr>
      </w:pPr>
    </w:p>
    <w:p>
      <w:pPr>
        <w:sectPr>
          <w:pgSz w:w="11900" w:h="16838" w:orient="portrait"/>
          <w:cols w:equalWidth="1" w:num="1" w:space="0"/>
          <w:pgMar w:left="1440" w:top="1440" w:right="1440" w:bottom="875" w:gutter="0" w:footer="0" w:header="0"/>
        </w:sectPr>
      </w:pPr>
    </w:p>
    <w:bookmarkStart w:id="1" w:name="page2"/>
    <w:bookmarkEnd w:id="1"/>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160655</wp:posOffset>
            </wp:positionV>
            <wp:extent cx="7250430" cy="387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50430" cy="38735"/>
                    </a:xfrm>
                    <a:prstGeom prst="rect">
                      <a:avLst/>
                    </a:prstGeom>
                    <a:noFill/>
                  </pic:spPr>
                </pic:pic>
              </a:graphicData>
            </a:graphic>
          </wp:anchor>
        </w:drawing>
      </w:r>
    </w:p>
    <w:p>
      <w:pPr>
        <w:spacing w:after="0" w:line="200" w:lineRule="exact"/>
        <w:rPr>
          <w:sz w:val="20"/>
          <w:szCs w:val="20"/>
          <w:color w:val="auto"/>
        </w:rPr>
      </w:pPr>
    </w:p>
    <w:p>
      <w:pPr>
        <w:spacing w:after="0" w:line="265" w:lineRule="exact"/>
        <w:rPr>
          <w:sz w:val="20"/>
          <w:szCs w:val="20"/>
          <w:color w:val="auto"/>
        </w:rPr>
      </w:pPr>
    </w:p>
    <w:p>
      <w:pPr>
        <w:jc w:val="center"/>
        <w:spacing w:after="0"/>
        <w:rPr>
          <w:sz w:val="20"/>
          <w:szCs w:val="20"/>
          <w:color w:val="auto"/>
        </w:rPr>
      </w:pPr>
      <w:r>
        <w:rPr>
          <w:rFonts w:ascii="Arial" w:cs="Arial" w:eastAsia="Arial" w:hAnsi="Arial"/>
          <w:sz w:val="24"/>
          <w:szCs w:val="24"/>
          <w:b w:val="1"/>
          <w:bCs w:val="1"/>
          <w:color w:val="auto"/>
        </w:rPr>
        <w:t>SECURITIES AND EXCHANGE COMMISSION</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Washington, D.C. 20549</w:t>
      </w:r>
    </w:p>
    <w:p>
      <w:pPr>
        <w:spacing w:after="0" w:line="192" w:lineRule="exact"/>
        <w:rPr>
          <w:sz w:val="20"/>
          <w:szCs w:val="20"/>
          <w:color w:val="auto"/>
        </w:rPr>
      </w:pPr>
    </w:p>
    <w:p>
      <w:pPr>
        <w:jc w:val="center"/>
        <w:spacing w:after="0"/>
        <w:rPr>
          <w:sz w:val="20"/>
          <w:szCs w:val="20"/>
          <w:color w:val="auto"/>
        </w:rPr>
      </w:pPr>
      <w:r>
        <w:rPr>
          <w:rFonts w:ascii="Arial" w:cs="Arial" w:eastAsia="Arial" w:hAnsi="Arial"/>
          <w:sz w:val="32"/>
          <w:szCs w:val="32"/>
          <w:b w:val="1"/>
          <w:bCs w:val="1"/>
          <w:color w:val="auto"/>
        </w:rPr>
        <w:t>FORM 8-K</w:t>
      </w:r>
    </w:p>
    <w:p>
      <w:pPr>
        <w:spacing w:after="0" w:line="226" w:lineRule="exact"/>
        <w:rPr>
          <w:sz w:val="20"/>
          <w:szCs w:val="20"/>
          <w:color w:val="auto"/>
        </w:rPr>
      </w:pPr>
    </w:p>
    <w:p>
      <w:pPr>
        <w:ind w:left="4700"/>
        <w:spacing w:after="0"/>
        <w:rPr>
          <w:sz w:val="20"/>
          <w:szCs w:val="20"/>
          <w:color w:val="auto"/>
        </w:rPr>
      </w:pPr>
      <w:r>
        <w:rPr>
          <w:rFonts w:ascii="Arial" w:cs="Arial" w:eastAsia="Arial" w:hAnsi="Arial"/>
          <w:sz w:val="22"/>
          <w:szCs w:val="22"/>
          <w:b w:val="1"/>
          <w:bCs w:val="1"/>
          <w:color w:val="auto"/>
        </w:rPr>
        <w:t>CURRENT REPORT</w:t>
      </w:r>
    </w:p>
    <w:p>
      <w:pPr>
        <w:spacing w:after="0" w:line="206" w:lineRule="exact"/>
        <w:rPr>
          <w:sz w:val="20"/>
          <w:szCs w:val="20"/>
          <w:color w:val="auto"/>
        </w:rPr>
      </w:pPr>
    </w:p>
    <w:p>
      <w:pPr>
        <w:ind w:left="3660"/>
        <w:spacing w:after="0"/>
        <w:rPr>
          <w:sz w:val="20"/>
          <w:szCs w:val="20"/>
          <w:color w:val="auto"/>
        </w:rPr>
      </w:pPr>
      <w:r>
        <w:rPr>
          <w:rFonts w:ascii="Arial" w:cs="Arial" w:eastAsia="Arial" w:hAnsi="Arial"/>
          <w:sz w:val="22"/>
          <w:szCs w:val="22"/>
          <w:b w:val="1"/>
          <w:bCs w:val="1"/>
          <w:color w:val="auto"/>
        </w:rPr>
        <w:t>PURSUANT TO SECTION 13 OR 15(d) OF</w:t>
      </w:r>
    </w:p>
    <w:p>
      <w:pPr>
        <w:spacing w:after="0" w:line="14"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THE SECURITIES EXCHANGE ACT OF 1934</w:t>
      </w:r>
    </w:p>
    <w:p>
      <w:pPr>
        <w:spacing w:after="0" w:line="19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June 27, 2003</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Date of report</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(Date of earliest event reported)</w:t>
      </w:r>
    </w:p>
    <w:p>
      <w:pPr>
        <w:spacing w:after="0" w:line="184" w:lineRule="exact"/>
        <w:rPr>
          <w:sz w:val="20"/>
          <w:szCs w:val="20"/>
          <w:color w:val="auto"/>
        </w:rPr>
      </w:pPr>
    </w:p>
    <w:p>
      <w:pPr>
        <w:jc w:val="center"/>
        <w:spacing w:after="0"/>
        <w:rPr>
          <w:sz w:val="20"/>
          <w:szCs w:val="20"/>
          <w:color w:val="auto"/>
        </w:rPr>
      </w:pPr>
      <w:r>
        <w:rPr>
          <w:rFonts w:ascii="Arial" w:cs="Arial" w:eastAsia="Arial" w:hAnsi="Arial"/>
          <w:sz w:val="43"/>
          <w:szCs w:val="43"/>
          <w:b w:val="1"/>
          <w:bCs w:val="1"/>
          <w:color w:val="auto"/>
        </w:rPr>
        <w:t>MARVELL TECHNOLOGY GROUP LTD.</w:t>
      </w:r>
    </w:p>
    <w:p>
      <w:pPr>
        <w:spacing w:after="0" w:line="250"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3140" w:type="dxa"/>
            <w:vAlign w:val="bottom"/>
          </w:tcPr>
          <w:p>
            <w:pPr>
              <w:spacing w:after="0"/>
              <w:rPr>
                <w:sz w:val="19"/>
                <w:szCs w:val="19"/>
                <w:color w:val="auto"/>
              </w:rPr>
            </w:pPr>
          </w:p>
        </w:tc>
        <w:tc>
          <w:tcPr>
            <w:tcW w:w="5540" w:type="dxa"/>
            <w:vAlign w:val="bottom"/>
          </w:tcPr>
          <w:p>
            <w:pPr>
              <w:jc w:val="center"/>
              <w:ind w:right="292"/>
              <w:spacing w:after="0"/>
              <w:rPr>
                <w:sz w:val="20"/>
                <w:szCs w:val="20"/>
                <w:color w:val="auto"/>
              </w:rPr>
            </w:pPr>
            <w:r>
              <w:rPr>
                <w:rFonts w:ascii="Arial" w:cs="Arial" w:eastAsia="Arial" w:hAnsi="Arial"/>
                <w:sz w:val="18"/>
                <w:szCs w:val="18"/>
                <w:b w:val="1"/>
                <w:bCs w:val="1"/>
                <w:color w:val="auto"/>
                <w:w w:val="87"/>
              </w:rPr>
              <w:t>(Exact name of registrant as specified in its charter)</w:t>
            </w:r>
          </w:p>
        </w:tc>
        <w:tc>
          <w:tcPr>
            <w:tcW w:w="2740" w:type="dxa"/>
            <w:vAlign w:val="bottom"/>
          </w:tcPr>
          <w:p>
            <w:pPr>
              <w:spacing w:after="0"/>
              <w:rPr>
                <w:sz w:val="19"/>
                <w:szCs w:val="19"/>
                <w:color w:val="auto"/>
              </w:rPr>
            </w:pPr>
          </w:p>
        </w:tc>
      </w:tr>
      <w:tr>
        <w:trPr>
          <w:trHeight w:val="447"/>
        </w:trPr>
        <w:tc>
          <w:tcPr>
            <w:tcW w:w="3140" w:type="dxa"/>
            <w:vAlign w:val="bottom"/>
          </w:tcPr>
          <w:p>
            <w:pPr>
              <w:jc w:val="center"/>
              <w:ind w:left="672"/>
              <w:spacing w:after="0"/>
              <w:rPr>
                <w:sz w:val="20"/>
                <w:szCs w:val="20"/>
                <w:color w:val="auto"/>
              </w:rPr>
            </w:pPr>
            <w:r>
              <w:rPr>
                <w:rFonts w:ascii="Arial" w:cs="Arial" w:eastAsia="Arial" w:hAnsi="Arial"/>
                <w:sz w:val="18"/>
                <w:szCs w:val="18"/>
                <w:b w:val="1"/>
                <w:bCs w:val="1"/>
                <w:color w:val="auto"/>
                <w:w w:val="89"/>
              </w:rPr>
              <w:t>Bermuda</w:t>
            </w:r>
          </w:p>
        </w:tc>
        <w:tc>
          <w:tcPr>
            <w:tcW w:w="5540" w:type="dxa"/>
            <w:vAlign w:val="bottom"/>
          </w:tcPr>
          <w:p>
            <w:pPr>
              <w:jc w:val="center"/>
              <w:ind w:left="232"/>
              <w:spacing w:after="0"/>
              <w:rPr>
                <w:sz w:val="20"/>
                <w:szCs w:val="20"/>
                <w:color w:val="auto"/>
              </w:rPr>
            </w:pPr>
            <w:r>
              <w:rPr>
                <w:rFonts w:ascii="Arial" w:cs="Arial" w:eastAsia="Arial" w:hAnsi="Arial"/>
                <w:sz w:val="18"/>
                <w:szCs w:val="18"/>
                <w:b w:val="1"/>
                <w:bCs w:val="1"/>
                <w:color w:val="auto"/>
                <w:w w:val="87"/>
              </w:rPr>
              <w:t>0-30877</w:t>
            </w:r>
          </w:p>
        </w:tc>
        <w:tc>
          <w:tcPr>
            <w:tcW w:w="2740" w:type="dxa"/>
            <w:vAlign w:val="bottom"/>
          </w:tcPr>
          <w:p>
            <w:pPr>
              <w:jc w:val="center"/>
              <w:ind w:right="352"/>
              <w:spacing w:after="0"/>
              <w:rPr>
                <w:sz w:val="20"/>
                <w:szCs w:val="20"/>
                <w:color w:val="auto"/>
              </w:rPr>
            </w:pPr>
            <w:r>
              <w:rPr>
                <w:rFonts w:ascii="Arial" w:cs="Arial" w:eastAsia="Arial" w:hAnsi="Arial"/>
                <w:sz w:val="18"/>
                <w:szCs w:val="18"/>
                <w:b w:val="1"/>
                <w:bCs w:val="1"/>
                <w:color w:val="auto"/>
                <w:w w:val="89"/>
              </w:rPr>
              <w:t>77-0481679</w:t>
            </w:r>
          </w:p>
        </w:tc>
      </w:tr>
      <w:tr>
        <w:trPr>
          <w:trHeight w:val="216"/>
        </w:trPr>
        <w:tc>
          <w:tcPr>
            <w:tcW w:w="3140" w:type="dxa"/>
            <w:vAlign w:val="bottom"/>
          </w:tcPr>
          <w:p>
            <w:pPr>
              <w:jc w:val="center"/>
              <w:ind w:left="692"/>
              <w:spacing w:after="0"/>
              <w:rPr>
                <w:sz w:val="20"/>
                <w:szCs w:val="20"/>
                <w:color w:val="auto"/>
              </w:rPr>
            </w:pPr>
            <w:r>
              <w:rPr>
                <w:rFonts w:ascii="Arial" w:cs="Arial" w:eastAsia="Arial" w:hAnsi="Arial"/>
                <w:sz w:val="18"/>
                <w:szCs w:val="18"/>
                <w:b w:val="1"/>
                <w:bCs w:val="1"/>
                <w:color w:val="auto"/>
                <w:w w:val="89"/>
              </w:rPr>
              <w:t>(State or other jurisdiction of</w:t>
            </w:r>
          </w:p>
        </w:tc>
        <w:tc>
          <w:tcPr>
            <w:tcW w:w="5540" w:type="dxa"/>
            <w:vAlign w:val="bottom"/>
          </w:tcPr>
          <w:p>
            <w:pPr>
              <w:jc w:val="center"/>
              <w:ind w:left="232"/>
              <w:spacing w:after="0"/>
              <w:rPr>
                <w:sz w:val="20"/>
                <w:szCs w:val="20"/>
                <w:color w:val="auto"/>
              </w:rPr>
            </w:pPr>
            <w:r>
              <w:rPr>
                <w:rFonts w:ascii="Arial" w:cs="Arial" w:eastAsia="Arial" w:hAnsi="Arial"/>
                <w:sz w:val="18"/>
                <w:szCs w:val="18"/>
                <w:b w:val="1"/>
                <w:bCs w:val="1"/>
                <w:color w:val="auto"/>
                <w:w w:val="86"/>
              </w:rPr>
              <w:t>(Commission File</w:t>
            </w:r>
          </w:p>
        </w:tc>
        <w:tc>
          <w:tcPr>
            <w:tcW w:w="2740" w:type="dxa"/>
            <w:vAlign w:val="bottom"/>
          </w:tcPr>
          <w:p>
            <w:pPr>
              <w:jc w:val="center"/>
              <w:ind w:right="352"/>
              <w:spacing w:after="0"/>
              <w:rPr>
                <w:sz w:val="20"/>
                <w:szCs w:val="20"/>
                <w:color w:val="auto"/>
              </w:rPr>
            </w:pPr>
            <w:r>
              <w:rPr>
                <w:rFonts w:ascii="Arial" w:cs="Arial" w:eastAsia="Arial" w:hAnsi="Arial"/>
                <w:sz w:val="18"/>
                <w:szCs w:val="18"/>
                <w:b w:val="1"/>
                <w:bCs w:val="1"/>
                <w:color w:val="auto"/>
                <w:w w:val="91"/>
              </w:rPr>
              <w:t>(I.R.S. Employer</w:t>
            </w:r>
          </w:p>
        </w:tc>
      </w:tr>
      <w:tr>
        <w:trPr>
          <w:trHeight w:val="228"/>
        </w:trPr>
        <w:tc>
          <w:tcPr>
            <w:tcW w:w="3140" w:type="dxa"/>
            <w:vAlign w:val="bottom"/>
          </w:tcPr>
          <w:p>
            <w:pPr>
              <w:jc w:val="center"/>
              <w:ind w:left="672"/>
              <w:spacing w:after="0"/>
              <w:rPr>
                <w:sz w:val="20"/>
                <w:szCs w:val="20"/>
                <w:color w:val="auto"/>
              </w:rPr>
            </w:pPr>
            <w:r>
              <w:rPr>
                <w:rFonts w:ascii="Arial" w:cs="Arial" w:eastAsia="Arial" w:hAnsi="Arial"/>
                <w:sz w:val="18"/>
                <w:szCs w:val="18"/>
                <w:b w:val="1"/>
                <w:bCs w:val="1"/>
                <w:color w:val="auto"/>
                <w:w w:val="89"/>
              </w:rPr>
              <w:t>incorporation or organization)</w:t>
            </w:r>
          </w:p>
        </w:tc>
        <w:tc>
          <w:tcPr>
            <w:tcW w:w="5540" w:type="dxa"/>
            <w:vAlign w:val="bottom"/>
          </w:tcPr>
          <w:p>
            <w:pPr>
              <w:jc w:val="center"/>
              <w:ind w:left="252"/>
              <w:spacing w:after="0"/>
              <w:rPr>
                <w:sz w:val="20"/>
                <w:szCs w:val="20"/>
                <w:color w:val="auto"/>
              </w:rPr>
            </w:pPr>
            <w:r>
              <w:rPr>
                <w:rFonts w:ascii="Arial" w:cs="Arial" w:eastAsia="Arial" w:hAnsi="Arial"/>
                <w:sz w:val="18"/>
                <w:szCs w:val="18"/>
                <w:b w:val="1"/>
                <w:bCs w:val="1"/>
                <w:color w:val="auto"/>
                <w:w w:val="91"/>
              </w:rPr>
              <w:t>Number)</w:t>
            </w:r>
          </w:p>
        </w:tc>
        <w:tc>
          <w:tcPr>
            <w:tcW w:w="2740" w:type="dxa"/>
            <w:vAlign w:val="bottom"/>
          </w:tcPr>
          <w:p>
            <w:pPr>
              <w:jc w:val="center"/>
              <w:ind w:right="352"/>
              <w:spacing w:after="0"/>
              <w:rPr>
                <w:sz w:val="20"/>
                <w:szCs w:val="20"/>
                <w:color w:val="auto"/>
              </w:rPr>
            </w:pPr>
            <w:r>
              <w:rPr>
                <w:rFonts w:ascii="Arial" w:cs="Arial" w:eastAsia="Arial" w:hAnsi="Arial"/>
                <w:sz w:val="18"/>
                <w:szCs w:val="18"/>
                <w:b w:val="1"/>
                <w:bCs w:val="1"/>
                <w:color w:val="auto"/>
                <w:w w:val="90"/>
              </w:rPr>
              <w:t>Identification No.)</w:t>
            </w:r>
          </w:p>
        </w:tc>
      </w:tr>
      <w:tr>
        <w:trPr>
          <w:trHeight w:val="420"/>
        </w:trPr>
        <w:tc>
          <w:tcPr>
            <w:tcW w:w="3140" w:type="dxa"/>
            <w:vAlign w:val="bottom"/>
          </w:tcPr>
          <w:p>
            <w:pPr>
              <w:spacing w:after="0"/>
              <w:rPr>
                <w:sz w:val="24"/>
                <w:szCs w:val="24"/>
                <w:color w:val="auto"/>
              </w:rPr>
            </w:pPr>
          </w:p>
        </w:tc>
        <w:tc>
          <w:tcPr>
            <w:tcW w:w="5540" w:type="dxa"/>
            <w:vAlign w:val="bottom"/>
          </w:tcPr>
          <w:p>
            <w:pPr>
              <w:jc w:val="center"/>
              <w:ind w:right="312"/>
              <w:spacing w:after="0"/>
              <w:rPr>
                <w:sz w:val="20"/>
                <w:szCs w:val="20"/>
                <w:color w:val="auto"/>
              </w:rPr>
            </w:pPr>
            <w:r>
              <w:rPr>
                <w:rFonts w:ascii="Arial" w:cs="Arial" w:eastAsia="Arial" w:hAnsi="Arial"/>
                <w:sz w:val="18"/>
                <w:szCs w:val="18"/>
                <w:b w:val="1"/>
                <w:bCs w:val="1"/>
                <w:color w:val="auto"/>
                <w:w w:val="90"/>
              </w:rPr>
              <w:t>4th Floor</w:t>
            </w:r>
          </w:p>
        </w:tc>
        <w:tc>
          <w:tcPr>
            <w:tcW w:w="2740" w:type="dxa"/>
            <w:vAlign w:val="bottom"/>
          </w:tcPr>
          <w:p>
            <w:pPr>
              <w:spacing w:after="0"/>
              <w:rPr>
                <w:sz w:val="24"/>
                <w:szCs w:val="24"/>
                <w:color w:val="auto"/>
              </w:rPr>
            </w:pPr>
          </w:p>
        </w:tc>
      </w:tr>
      <w:tr>
        <w:trPr>
          <w:trHeight w:val="216"/>
        </w:trPr>
        <w:tc>
          <w:tcPr>
            <w:tcW w:w="3140" w:type="dxa"/>
            <w:vAlign w:val="bottom"/>
          </w:tcPr>
          <w:p>
            <w:pPr>
              <w:spacing w:after="0"/>
              <w:rPr>
                <w:sz w:val="18"/>
                <w:szCs w:val="18"/>
                <w:color w:val="auto"/>
              </w:rPr>
            </w:pPr>
          </w:p>
        </w:tc>
        <w:tc>
          <w:tcPr>
            <w:tcW w:w="5540" w:type="dxa"/>
            <w:vAlign w:val="bottom"/>
          </w:tcPr>
          <w:p>
            <w:pPr>
              <w:jc w:val="center"/>
              <w:ind w:right="312"/>
              <w:spacing w:after="0"/>
              <w:rPr>
                <w:sz w:val="20"/>
                <w:szCs w:val="20"/>
                <w:color w:val="auto"/>
              </w:rPr>
            </w:pPr>
            <w:r>
              <w:rPr>
                <w:rFonts w:ascii="Arial" w:cs="Arial" w:eastAsia="Arial" w:hAnsi="Arial"/>
                <w:sz w:val="18"/>
                <w:szCs w:val="18"/>
                <w:b w:val="1"/>
                <w:bCs w:val="1"/>
                <w:color w:val="auto"/>
                <w:w w:val="88"/>
              </w:rPr>
              <w:t>Windsor Place</w:t>
            </w:r>
          </w:p>
        </w:tc>
        <w:tc>
          <w:tcPr>
            <w:tcW w:w="2740" w:type="dxa"/>
            <w:vAlign w:val="bottom"/>
          </w:tcPr>
          <w:p>
            <w:pPr>
              <w:spacing w:after="0"/>
              <w:rPr>
                <w:sz w:val="18"/>
                <w:szCs w:val="18"/>
                <w:color w:val="auto"/>
              </w:rPr>
            </w:pPr>
          </w:p>
        </w:tc>
      </w:tr>
      <w:tr>
        <w:trPr>
          <w:trHeight w:val="216"/>
        </w:trPr>
        <w:tc>
          <w:tcPr>
            <w:tcW w:w="3140" w:type="dxa"/>
            <w:vAlign w:val="bottom"/>
          </w:tcPr>
          <w:p>
            <w:pPr>
              <w:spacing w:after="0"/>
              <w:rPr>
                <w:sz w:val="18"/>
                <w:szCs w:val="18"/>
                <w:color w:val="auto"/>
              </w:rPr>
            </w:pPr>
          </w:p>
        </w:tc>
        <w:tc>
          <w:tcPr>
            <w:tcW w:w="5540" w:type="dxa"/>
            <w:vAlign w:val="bottom"/>
          </w:tcPr>
          <w:p>
            <w:pPr>
              <w:jc w:val="center"/>
              <w:ind w:right="292"/>
              <w:spacing w:after="0"/>
              <w:rPr>
                <w:sz w:val="20"/>
                <w:szCs w:val="20"/>
                <w:color w:val="auto"/>
              </w:rPr>
            </w:pPr>
            <w:r>
              <w:rPr>
                <w:rFonts w:ascii="Arial" w:cs="Arial" w:eastAsia="Arial" w:hAnsi="Arial"/>
                <w:sz w:val="18"/>
                <w:szCs w:val="18"/>
                <w:b w:val="1"/>
                <w:bCs w:val="1"/>
                <w:color w:val="auto"/>
                <w:w w:val="87"/>
              </w:rPr>
              <w:t>22 Queen Street</w:t>
            </w:r>
          </w:p>
        </w:tc>
        <w:tc>
          <w:tcPr>
            <w:tcW w:w="2740" w:type="dxa"/>
            <w:vAlign w:val="bottom"/>
          </w:tcPr>
          <w:p>
            <w:pPr>
              <w:spacing w:after="0"/>
              <w:rPr>
                <w:sz w:val="18"/>
                <w:szCs w:val="18"/>
                <w:color w:val="auto"/>
              </w:rPr>
            </w:pPr>
          </w:p>
        </w:tc>
      </w:tr>
      <w:tr>
        <w:trPr>
          <w:trHeight w:val="216"/>
        </w:trPr>
        <w:tc>
          <w:tcPr>
            <w:tcW w:w="3140" w:type="dxa"/>
            <w:vAlign w:val="bottom"/>
          </w:tcPr>
          <w:p>
            <w:pPr>
              <w:spacing w:after="0"/>
              <w:rPr>
                <w:sz w:val="18"/>
                <w:szCs w:val="18"/>
                <w:color w:val="auto"/>
              </w:rPr>
            </w:pPr>
          </w:p>
        </w:tc>
        <w:tc>
          <w:tcPr>
            <w:tcW w:w="5540" w:type="dxa"/>
            <w:vAlign w:val="bottom"/>
          </w:tcPr>
          <w:p>
            <w:pPr>
              <w:jc w:val="center"/>
              <w:ind w:right="312"/>
              <w:spacing w:after="0"/>
              <w:rPr>
                <w:sz w:val="20"/>
                <w:szCs w:val="20"/>
                <w:color w:val="auto"/>
              </w:rPr>
            </w:pPr>
            <w:r>
              <w:rPr>
                <w:rFonts w:ascii="Arial" w:cs="Arial" w:eastAsia="Arial" w:hAnsi="Arial"/>
                <w:sz w:val="18"/>
                <w:szCs w:val="18"/>
                <w:b w:val="1"/>
                <w:bCs w:val="1"/>
                <w:color w:val="auto"/>
                <w:w w:val="90"/>
              </w:rPr>
              <w:t>P.O. Box HM 1179</w:t>
            </w:r>
          </w:p>
        </w:tc>
        <w:tc>
          <w:tcPr>
            <w:tcW w:w="2740" w:type="dxa"/>
            <w:vAlign w:val="bottom"/>
          </w:tcPr>
          <w:p>
            <w:pPr>
              <w:spacing w:after="0"/>
              <w:rPr>
                <w:sz w:val="18"/>
                <w:szCs w:val="18"/>
                <w:color w:val="auto"/>
              </w:rPr>
            </w:pPr>
          </w:p>
        </w:tc>
      </w:tr>
      <w:tr>
        <w:trPr>
          <w:trHeight w:val="216"/>
        </w:trPr>
        <w:tc>
          <w:tcPr>
            <w:tcW w:w="3140" w:type="dxa"/>
            <w:vAlign w:val="bottom"/>
          </w:tcPr>
          <w:p>
            <w:pPr>
              <w:spacing w:after="0"/>
              <w:rPr>
                <w:sz w:val="18"/>
                <w:szCs w:val="18"/>
                <w:color w:val="auto"/>
              </w:rPr>
            </w:pPr>
          </w:p>
        </w:tc>
        <w:tc>
          <w:tcPr>
            <w:tcW w:w="5540" w:type="dxa"/>
            <w:vAlign w:val="bottom"/>
          </w:tcPr>
          <w:p>
            <w:pPr>
              <w:jc w:val="center"/>
              <w:ind w:right="312"/>
              <w:spacing w:after="0"/>
              <w:rPr>
                <w:sz w:val="20"/>
                <w:szCs w:val="20"/>
                <w:color w:val="auto"/>
              </w:rPr>
            </w:pPr>
            <w:r>
              <w:rPr>
                <w:rFonts w:ascii="Arial" w:cs="Arial" w:eastAsia="Arial" w:hAnsi="Arial"/>
                <w:sz w:val="18"/>
                <w:szCs w:val="18"/>
                <w:b w:val="1"/>
                <w:bCs w:val="1"/>
                <w:color w:val="auto"/>
                <w:w w:val="96"/>
              </w:rPr>
              <w:t>Hamilton HM EX</w:t>
            </w:r>
          </w:p>
        </w:tc>
        <w:tc>
          <w:tcPr>
            <w:tcW w:w="2740" w:type="dxa"/>
            <w:vAlign w:val="bottom"/>
          </w:tcPr>
          <w:p>
            <w:pPr>
              <w:spacing w:after="0"/>
              <w:rPr>
                <w:sz w:val="18"/>
                <w:szCs w:val="18"/>
                <w:color w:val="auto"/>
              </w:rPr>
            </w:pPr>
          </w:p>
        </w:tc>
      </w:tr>
      <w:tr>
        <w:trPr>
          <w:trHeight w:val="228"/>
        </w:trPr>
        <w:tc>
          <w:tcPr>
            <w:tcW w:w="3140" w:type="dxa"/>
            <w:vAlign w:val="bottom"/>
          </w:tcPr>
          <w:p>
            <w:pPr>
              <w:spacing w:after="0"/>
              <w:rPr>
                <w:sz w:val="19"/>
                <w:szCs w:val="19"/>
                <w:color w:val="auto"/>
              </w:rPr>
            </w:pPr>
          </w:p>
        </w:tc>
        <w:tc>
          <w:tcPr>
            <w:tcW w:w="5540" w:type="dxa"/>
            <w:vAlign w:val="bottom"/>
          </w:tcPr>
          <w:p>
            <w:pPr>
              <w:jc w:val="center"/>
              <w:ind w:right="312"/>
              <w:spacing w:after="0"/>
              <w:rPr>
                <w:sz w:val="20"/>
                <w:szCs w:val="20"/>
                <w:color w:val="auto"/>
              </w:rPr>
            </w:pPr>
            <w:r>
              <w:rPr>
                <w:rFonts w:ascii="Arial" w:cs="Arial" w:eastAsia="Arial" w:hAnsi="Arial"/>
                <w:sz w:val="18"/>
                <w:szCs w:val="18"/>
                <w:b w:val="1"/>
                <w:bCs w:val="1"/>
                <w:color w:val="auto"/>
                <w:w w:val="89"/>
              </w:rPr>
              <w:t>Bermuda</w:t>
            </w:r>
          </w:p>
        </w:tc>
        <w:tc>
          <w:tcPr>
            <w:tcW w:w="2740" w:type="dxa"/>
            <w:vAlign w:val="bottom"/>
          </w:tcPr>
          <w:p>
            <w:pPr>
              <w:spacing w:after="0"/>
              <w:rPr>
                <w:sz w:val="19"/>
                <w:szCs w:val="19"/>
                <w:color w:val="auto"/>
              </w:rPr>
            </w:pPr>
          </w:p>
        </w:tc>
      </w:tr>
      <w:tr>
        <w:trPr>
          <w:trHeight w:val="675"/>
        </w:trPr>
        <w:tc>
          <w:tcPr>
            <w:tcW w:w="3140" w:type="dxa"/>
            <w:vAlign w:val="bottom"/>
          </w:tcPr>
          <w:p>
            <w:pPr>
              <w:spacing w:after="0"/>
              <w:rPr>
                <w:sz w:val="20"/>
                <w:szCs w:val="20"/>
                <w:color w:val="auto"/>
              </w:rPr>
            </w:pPr>
            <w:r>
              <w:rPr>
                <w:rFonts w:ascii="Arial" w:cs="Arial" w:eastAsia="Arial" w:hAnsi="Arial"/>
                <w:sz w:val="18"/>
                <w:szCs w:val="18"/>
                <w:b w:val="1"/>
                <w:bCs w:val="1"/>
                <w:color w:val="auto"/>
                <w:w w:val="92"/>
              </w:rPr>
              <w:t>(Address of principal executive offices)</w:t>
            </w:r>
          </w:p>
        </w:tc>
        <w:tc>
          <w:tcPr>
            <w:tcW w:w="5540" w:type="dxa"/>
            <w:vAlign w:val="bottom"/>
          </w:tcPr>
          <w:p>
            <w:pPr>
              <w:spacing w:after="0"/>
              <w:rPr>
                <w:sz w:val="24"/>
                <w:szCs w:val="24"/>
                <w:color w:val="auto"/>
              </w:rPr>
            </w:pPr>
          </w:p>
        </w:tc>
        <w:tc>
          <w:tcPr>
            <w:tcW w:w="2740" w:type="dxa"/>
            <w:vAlign w:val="bottom"/>
          </w:tcPr>
          <w:p>
            <w:pPr>
              <w:ind w:left="1040"/>
              <w:spacing w:after="0"/>
              <w:rPr>
                <w:sz w:val="20"/>
                <w:szCs w:val="20"/>
                <w:color w:val="auto"/>
              </w:rPr>
            </w:pPr>
            <w:r>
              <w:rPr>
                <w:rFonts w:ascii="Arial" w:cs="Arial" w:eastAsia="Arial" w:hAnsi="Arial"/>
                <w:sz w:val="18"/>
                <w:szCs w:val="18"/>
                <w:b w:val="1"/>
                <w:bCs w:val="1"/>
                <w:color w:val="auto"/>
              </w:rPr>
              <w:t>(Zip Code)</w:t>
            </w:r>
          </w:p>
        </w:tc>
      </w:tr>
      <w:tr>
        <w:trPr>
          <w:trHeight w:val="432"/>
        </w:trPr>
        <w:tc>
          <w:tcPr>
            <w:tcW w:w="3140" w:type="dxa"/>
            <w:vAlign w:val="bottom"/>
          </w:tcPr>
          <w:p>
            <w:pPr>
              <w:spacing w:after="0"/>
              <w:rPr>
                <w:sz w:val="24"/>
                <w:szCs w:val="24"/>
                <w:color w:val="auto"/>
              </w:rPr>
            </w:pPr>
          </w:p>
        </w:tc>
        <w:tc>
          <w:tcPr>
            <w:tcW w:w="5540" w:type="dxa"/>
            <w:vAlign w:val="bottom"/>
          </w:tcPr>
          <w:p>
            <w:pPr>
              <w:jc w:val="center"/>
              <w:ind w:right="292"/>
              <w:spacing w:after="0"/>
              <w:rPr>
                <w:sz w:val="20"/>
                <w:szCs w:val="20"/>
                <w:color w:val="auto"/>
              </w:rPr>
            </w:pPr>
            <w:r>
              <w:rPr>
                <w:rFonts w:ascii="Arial" w:cs="Arial" w:eastAsia="Arial" w:hAnsi="Arial"/>
                <w:sz w:val="18"/>
                <w:szCs w:val="18"/>
                <w:b w:val="1"/>
                <w:bCs w:val="1"/>
                <w:color w:val="auto"/>
                <w:w w:val="87"/>
              </w:rPr>
              <w:t>Registrant’s telephone number, including area code: (441) 296-6395</w:t>
            </w:r>
          </w:p>
        </w:tc>
        <w:tc>
          <w:tcPr>
            <w:tcW w:w="2740" w:type="dxa"/>
            <w:vAlign w:val="bottom"/>
          </w:tcPr>
          <w:p>
            <w:pPr>
              <w:spacing w:after="0"/>
              <w:rPr>
                <w:sz w:val="24"/>
                <w:szCs w:val="24"/>
                <w:color w:val="auto"/>
              </w:rPr>
            </w:pPr>
          </w:p>
        </w:tc>
      </w:tr>
      <w:tr>
        <w:trPr>
          <w:trHeight w:val="420"/>
        </w:trPr>
        <w:tc>
          <w:tcPr>
            <w:tcW w:w="3140" w:type="dxa"/>
            <w:vAlign w:val="bottom"/>
          </w:tcPr>
          <w:p>
            <w:pPr>
              <w:spacing w:after="0"/>
              <w:rPr>
                <w:sz w:val="24"/>
                <w:szCs w:val="24"/>
                <w:color w:val="auto"/>
              </w:rPr>
            </w:pPr>
          </w:p>
        </w:tc>
        <w:tc>
          <w:tcPr>
            <w:tcW w:w="5540" w:type="dxa"/>
            <w:vAlign w:val="bottom"/>
          </w:tcPr>
          <w:p>
            <w:pPr>
              <w:jc w:val="center"/>
              <w:ind w:right="312"/>
              <w:spacing w:after="0"/>
              <w:rPr>
                <w:sz w:val="20"/>
                <w:szCs w:val="20"/>
                <w:color w:val="auto"/>
              </w:rPr>
            </w:pPr>
            <w:r>
              <w:rPr>
                <w:rFonts w:ascii="Arial" w:cs="Arial" w:eastAsia="Arial" w:hAnsi="Arial"/>
                <w:sz w:val="18"/>
                <w:szCs w:val="18"/>
                <w:b w:val="1"/>
                <w:bCs w:val="1"/>
                <w:color w:val="auto"/>
                <w:w w:val="96"/>
              </w:rPr>
              <w:t>N/A</w:t>
            </w:r>
          </w:p>
        </w:tc>
        <w:tc>
          <w:tcPr>
            <w:tcW w:w="2740" w:type="dxa"/>
            <w:vAlign w:val="bottom"/>
          </w:tcPr>
          <w:p>
            <w:pPr>
              <w:spacing w:after="0"/>
              <w:rPr>
                <w:sz w:val="24"/>
                <w:szCs w:val="24"/>
                <w:color w:val="auto"/>
              </w:rPr>
            </w:pPr>
          </w:p>
        </w:tc>
      </w:tr>
      <w:tr>
        <w:trPr>
          <w:trHeight w:val="228"/>
        </w:trPr>
        <w:tc>
          <w:tcPr>
            <w:tcW w:w="3140" w:type="dxa"/>
            <w:vAlign w:val="bottom"/>
          </w:tcPr>
          <w:p>
            <w:pPr>
              <w:spacing w:after="0"/>
              <w:rPr>
                <w:sz w:val="19"/>
                <w:szCs w:val="19"/>
                <w:color w:val="auto"/>
              </w:rPr>
            </w:pPr>
          </w:p>
        </w:tc>
        <w:tc>
          <w:tcPr>
            <w:tcW w:w="5540" w:type="dxa"/>
            <w:vAlign w:val="bottom"/>
          </w:tcPr>
          <w:p>
            <w:pPr>
              <w:jc w:val="center"/>
              <w:ind w:right="292"/>
              <w:spacing w:after="0"/>
              <w:rPr>
                <w:sz w:val="20"/>
                <w:szCs w:val="20"/>
                <w:color w:val="auto"/>
              </w:rPr>
            </w:pPr>
            <w:r>
              <w:rPr>
                <w:rFonts w:ascii="Arial" w:cs="Arial" w:eastAsia="Arial" w:hAnsi="Arial"/>
                <w:sz w:val="18"/>
                <w:szCs w:val="18"/>
                <w:b w:val="1"/>
                <w:bCs w:val="1"/>
                <w:color w:val="auto"/>
                <w:w w:val="87"/>
              </w:rPr>
              <w:t>(Former name and former address, if changed since last report)</w:t>
            </w:r>
          </w:p>
        </w:tc>
        <w:tc>
          <w:tcPr>
            <w:tcW w:w="2740" w:type="dxa"/>
            <w:vAlign w:val="bottom"/>
          </w:tcPr>
          <w:p>
            <w:pPr>
              <w:spacing w:after="0"/>
              <w:rPr>
                <w:sz w:val="19"/>
                <w:szCs w:val="19"/>
                <w:color w:val="auto"/>
              </w:rPr>
            </w:pPr>
          </w:p>
        </w:tc>
      </w:tr>
      <w:tr>
        <w:trPr>
          <w:trHeight w:val="174"/>
        </w:trPr>
        <w:tc>
          <w:tcPr>
            <w:tcW w:w="3140" w:type="dxa"/>
            <w:vAlign w:val="bottom"/>
          </w:tcPr>
          <w:p>
            <w:pPr>
              <w:spacing w:after="0"/>
              <w:rPr>
                <w:sz w:val="15"/>
                <w:szCs w:val="15"/>
                <w:color w:val="auto"/>
              </w:rPr>
            </w:pPr>
          </w:p>
        </w:tc>
        <w:tc>
          <w:tcPr>
            <w:tcW w:w="5540" w:type="dxa"/>
            <w:vAlign w:val="bottom"/>
          </w:tcPr>
          <w:p>
            <w:pPr>
              <w:spacing w:after="0"/>
              <w:rPr>
                <w:sz w:val="15"/>
                <w:szCs w:val="15"/>
                <w:color w:val="auto"/>
              </w:rPr>
            </w:pPr>
          </w:p>
        </w:tc>
        <w:tc>
          <w:tcPr>
            <w:tcW w:w="2740" w:type="dxa"/>
            <w:vAlign w:val="bottom"/>
          </w:tcPr>
          <w:p>
            <w:pPr>
              <w:spacing w:after="0"/>
              <w:rPr>
                <w:sz w:val="15"/>
                <w:szCs w:val="15"/>
                <w:color w:val="auto"/>
              </w:rPr>
            </w:pPr>
          </w:p>
        </w:tc>
      </w:tr>
      <w:tr>
        <w:trPr>
          <w:trHeight w:val="61"/>
        </w:trPr>
        <w:tc>
          <w:tcPr>
            <w:tcW w:w="3140" w:type="dxa"/>
            <w:vAlign w:val="bottom"/>
            <w:shd w:val="clear" w:color="auto" w:fill="000000"/>
          </w:tcPr>
          <w:p>
            <w:pPr>
              <w:spacing w:after="0"/>
              <w:rPr>
                <w:sz w:val="5"/>
                <w:szCs w:val="5"/>
                <w:color w:val="auto"/>
              </w:rPr>
            </w:pPr>
          </w:p>
        </w:tc>
        <w:tc>
          <w:tcPr>
            <w:tcW w:w="5540" w:type="dxa"/>
            <w:vAlign w:val="bottom"/>
            <w:shd w:val="clear" w:color="auto" w:fill="000000"/>
          </w:tcPr>
          <w:p>
            <w:pPr>
              <w:spacing w:after="0"/>
              <w:rPr>
                <w:sz w:val="5"/>
                <w:szCs w:val="5"/>
                <w:color w:val="auto"/>
              </w:rPr>
            </w:pPr>
          </w:p>
        </w:tc>
        <w:tc>
          <w:tcPr>
            <w:tcW w:w="2740" w:type="dxa"/>
            <w:vAlign w:val="bottom"/>
            <w:shd w:val="clear" w:color="auto" w:fill="000000"/>
          </w:tcPr>
          <w:p>
            <w:pPr>
              <w:spacing w:after="0"/>
              <w:rPr>
                <w:sz w:val="5"/>
                <w:szCs w:val="5"/>
                <w:color w:val="auto"/>
              </w:rPr>
            </w:pPr>
          </w:p>
        </w:tc>
      </w:tr>
      <w:tr>
        <w:trPr>
          <w:trHeight w:val="655"/>
        </w:trPr>
        <w:tc>
          <w:tcPr>
            <w:tcW w:w="3140" w:type="dxa"/>
            <w:vAlign w:val="bottom"/>
            <w:tcBorders>
              <w:bottom w:val="single" w:sz="8" w:color="808080"/>
            </w:tcBorders>
          </w:tcPr>
          <w:p>
            <w:pPr>
              <w:spacing w:after="0"/>
              <w:rPr>
                <w:sz w:val="24"/>
                <w:szCs w:val="24"/>
                <w:color w:val="auto"/>
              </w:rPr>
            </w:pPr>
          </w:p>
        </w:tc>
        <w:tc>
          <w:tcPr>
            <w:tcW w:w="5540" w:type="dxa"/>
            <w:vAlign w:val="bottom"/>
            <w:tcBorders>
              <w:bottom w:val="single" w:sz="8" w:color="808080"/>
            </w:tcBorders>
          </w:tcPr>
          <w:p>
            <w:pPr>
              <w:spacing w:after="0"/>
              <w:rPr>
                <w:sz w:val="24"/>
                <w:szCs w:val="24"/>
                <w:color w:val="auto"/>
              </w:rPr>
            </w:pPr>
          </w:p>
        </w:tc>
        <w:tc>
          <w:tcPr>
            <w:tcW w:w="2740" w:type="dxa"/>
            <w:vAlign w:val="bottom"/>
            <w:tcBorders>
              <w:bottom w:val="single" w:sz="8" w:color="808080"/>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122" w:right="239" w:bottom="1440" w:gutter="0" w:footer="0" w:header="0"/>
        </w:sectPr>
      </w:pPr>
    </w:p>
    <w:bookmarkStart w:id="2" w:name="page3"/>
    <w:bookmarkEnd w:id="2"/>
    <w:p>
      <w:pPr>
        <w:jc w:val="right"/>
        <w:ind w:right="3339"/>
        <w:spacing w:after="0"/>
        <w:rPr>
          <w:sz w:val="20"/>
          <w:szCs w:val="20"/>
          <w:color w:val="auto"/>
        </w:rPr>
      </w:pPr>
      <w:r>
        <w:rPr>
          <w:rFonts w:ascii="Arial" w:cs="Arial" w:eastAsia="Arial" w:hAnsi="Arial"/>
          <w:sz w:val="22"/>
          <w:szCs w:val="22"/>
          <w:b w:val="1"/>
          <w:bCs w:val="1"/>
          <w:u w:val="single" w:color="auto"/>
          <w:color w:val="auto"/>
        </w:rPr>
        <w:t>TABLE OF CONTENTS</w:t>
      </w:r>
    </w:p>
    <w:p>
      <w:pPr>
        <w:spacing w:after="0" w:line="213" w:lineRule="exact"/>
        <w:rPr>
          <w:sz w:val="20"/>
          <w:szCs w:val="20"/>
          <w:color w:val="auto"/>
        </w:rPr>
      </w:pPr>
    </w:p>
    <w:p>
      <w:pPr>
        <w:ind w:left="320"/>
        <w:spacing w:after="0"/>
        <w:rPr>
          <w:rFonts w:ascii="Arial" w:cs="Arial" w:eastAsia="Arial" w:hAnsi="Arial"/>
          <w:sz w:val="22"/>
          <w:szCs w:val="22"/>
          <w:u w:val="single" w:color="auto"/>
          <w:color w:val="0000EE"/>
        </w:rPr>
      </w:pPr>
      <w:hyperlink w:anchor="page4">
        <w:r>
          <w:rPr>
            <w:rFonts w:ascii="Arial" w:cs="Arial" w:eastAsia="Arial" w:hAnsi="Arial"/>
            <w:sz w:val="22"/>
            <w:szCs w:val="22"/>
            <w:u w:val="single" w:color="auto"/>
            <w:color w:val="0000EE"/>
          </w:rPr>
          <w:t>Item 5. Other Events.</w:t>
        </w:r>
      </w:hyperlink>
    </w:p>
    <w:p>
      <w:pPr>
        <w:ind w:left="320"/>
        <w:spacing w:after="0" w:line="238" w:lineRule="auto"/>
        <w:rPr>
          <w:rFonts w:ascii="Arial" w:cs="Arial" w:eastAsia="Arial" w:hAnsi="Arial"/>
          <w:sz w:val="22"/>
          <w:szCs w:val="22"/>
          <w:u w:val="single" w:color="auto"/>
          <w:color w:val="0000EE"/>
        </w:rPr>
      </w:pPr>
      <w:hyperlink w:anchor="page4">
        <w:r>
          <w:rPr>
            <w:rFonts w:ascii="Arial" w:cs="Arial" w:eastAsia="Arial" w:hAnsi="Arial"/>
            <w:sz w:val="22"/>
            <w:szCs w:val="22"/>
            <w:u w:val="single" w:color="auto"/>
            <w:color w:val="0000EE"/>
          </w:rPr>
          <w:t>Item 7. Financial Statements and Exhibits.</w:t>
        </w:r>
      </w:hyperlink>
    </w:p>
    <w:p>
      <w:pPr>
        <w:spacing w:after="0" w:line="230" w:lineRule="auto"/>
        <w:rPr>
          <w:rFonts w:ascii="Arial" w:cs="Arial" w:eastAsia="Arial" w:hAnsi="Arial"/>
          <w:sz w:val="22"/>
          <w:szCs w:val="22"/>
          <w:u w:val="single" w:color="auto"/>
          <w:color w:val="0000EE"/>
        </w:rPr>
      </w:pPr>
      <w:hyperlink w:anchor="page5">
        <w:r>
          <w:rPr>
            <w:rFonts w:ascii="Arial" w:cs="Arial" w:eastAsia="Arial" w:hAnsi="Arial"/>
            <w:sz w:val="22"/>
            <w:szCs w:val="22"/>
            <w:u w:val="single" w:color="auto"/>
            <w:color w:val="0000EE"/>
          </w:rPr>
          <w:t>SIGNATURE</w:t>
        </w:r>
      </w:hyperlink>
    </w:p>
    <w:p>
      <w:pPr>
        <w:spacing w:after="0" w:line="231" w:lineRule="auto"/>
        <w:rPr>
          <w:rFonts w:ascii="Arial" w:cs="Arial" w:eastAsia="Arial" w:hAnsi="Arial"/>
          <w:sz w:val="22"/>
          <w:szCs w:val="22"/>
          <w:u w:val="single" w:color="auto"/>
          <w:color w:val="0000EE"/>
        </w:rPr>
      </w:pPr>
      <w:hyperlink w:anchor="page6">
        <w:r>
          <w:rPr>
            <w:rFonts w:ascii="Arial" w:cs="Arial" w:eastAsia="Arial" w:hAnsi="Arial"/>
            <w:sz w:val="22"/>
            <w:szCs w:val="22"/>
            <w:u w:val="single" w:color="auto"/>
            <w:color w:val="0000EE"/>
          </w:rPr>
          <w:t>EXHIBIT INDEX</w:t>
        </w:r>
      </w:hyperlink>
    </w:p>
    <w:p>
      <w:pPr>
        <w:spacing w:after="0" w:line="1" w:lineRule="exact"/>
        <w:rPr>
          <w:sz w:val="20"/>
          <w:szCs w:val="20"/>
          <w:color w:val="auto"/>
        </w:rPr>
      </w:pPr>
    </w:p>
    <w:p>
      <w:pPr>
        <w:spacing w:after="0"/>
        <w:rPr>
          <w:sz w:val="20"/>
          <w:szCs w:val="20"/>
          <w:color w:val="auto"/>
        </w:rPr>
      </w:pPr>
      <w:r>
        <w:rPr>
          <w:rFonts w:ascii="Arial" w:cs="Arial" w:eastAsia="Arial" w:hAnsi="Arial"/>
          <w:sz w:val="22"/>
          <w:szCs w:val="22"/>
          <w:u w:val="single" w:color="auto"/>
          <w:color w:val="0000EE"/>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-364490</wp:posOffset>
            </wp:positionH>
            <wp:positionV relativeFrom="paragraph">
              <wp:posOffset>130810</wp:posOffset>
            </wp:positionV>
            <wp:extent cx="7250430" cy="215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9639"/>
          </w:cols>
          <w:pgMar w:left="820" w:top="111" w:right="1440" w:bottom="1440" w:gutter="0" w:footer="0" w:header="0"/>
        </w:sectPr>
      </w:pPr>
    </w:p>
    <w:bookmarkStart w:id="3" w:name="page4"/>
    <w:bookmarkEnd w:id="3"/>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5. Other Events.</w:t>
      </w:r>
    </w:p>
    <w:p>
      <w:pPr>
        <w:spacing w:after="0" w:line="231" w:lineRule="exact"/>
        <w:rPr>
          <w:sz w:val="20"/>
          <w:szCs w:val="20"/>
          <w:color w:val="auto"/>
        </w:rPr>
      </w:pPr>
    </w:p>
    <w:p>
      <w:pPr>
        <w:ind w:firstLine="220"/>
        <w:spacing w:after="0" w:line="268" w:lineRule="auto"/>
        <w:rPr>
          <w:sz w:val="20"/>
          <w:szCs w:val="20"/>
          <w:color w:val="auto"/>
        </w:rPr>
      </w:pPr>
      <w:r>
        <w:rPr>
          <w:rFonts w:ascii="Arial" w:cs="Arial" w:eastAsia="Arial" w:hAnsi="Arial"/>
          <w:sz w:val="18"/>
          <w:szCs w:val="18"/>
          <w:color w:val="auto"/>
        </w:rPr>
        <w:t>On June 27, 2003, the Registrant issued the press release attached hereto and incorporated by reference herein announcing the closing of its acquisition of RADLAN Computer Communications Ltd.</w:t>
      </w:r>
    </w:p>
    <w:p>
      <w:pPr>
        <w:spacing w:after="0" w:line="18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7. Financial Statements and Exhibits.</w:t>
      </w:r>
    </w:p>
    <w:p>
      <w:pPr>
        <w:spacing w:after="0" w:line="231" w:lineRule="exact"/>
        <w:rPr>
          <w:sz w:val="20"/>
          <w:szCs w:val="20"/>
          <w:color w:val="auto"/>
        </w:rPr>
      </w:pPr>
    </w:p>
    <w:p>
      <w:pPr>
        <w:ind w:left="220"/>
        <w:spacing w:after="0"/>
        <w:rPr>
          <w:sz w:val="20"/>
          <w:szCs w:val="20"/>
          <w:color w:val="auto"/>
        </w:rPr>
      </w:pPr>
      <w:r>
        <w:rPr>
          <w:rFonts w:ascii="Arial" w:cs="Arial" w:eastAsia="Arial" w:hAnsi="Arial"/>
          <w:sz w:val="18"/>
          <w:szCs w:val="18"/>
          <w:color w:val="auto"/>
        </w:rPr>
        <w:t>(c) Exhibits.</w:t>
      </w:r>
    </w:p>
    <w:p>
      <w:pPr>
        <w:spacing w:after="0" w:line="200" w:lineRule="exact"/>
        <w:rPr>
          <w:sz w:val="20"/>
          <w:szCs w:val="20"/>
          <w:color w:val="auto"/>
        </w:rPr>
      </w:pPr>
    </w:p>
    <w:p>
      <w:pPr>
        <w:spacing w:after="0" w:line="264" w:lineRule="exact"/>
        <w:rPr>
          <w:sz w:val="20"/>
          <w:szCs w:val="20"/>
          <w:color w:val="auto"/>
        </w:rPr>
      </w:pPr>
    </w:p>
    <w:p>
      <w:pPr>
        <w:spacing w:after="0"/>
        <w:tabs>
          <w:tab w:leader="none" w:pos="1820" w:val="left"/>
        </w:tabs>
        <w:rPr>
          <w:sz w:val="20"/>
          <w:szCs w:val="20"/>
          <w:color w:val="auto"/>
        </w:rPr>
      </w:pPr>
      <w:r>
        <w:rPr>
          <w:rFonts w:ascii="Arial" w:cs="Arial" w:eastAsia="Arial" w:hAnsi="Arial"/>
          <w:sz w:val="14"/>
          <w:szCs w:val="14"/>
          <w:b w:val="1"/>
          <w:bCs w:val="1"/>
          <w:color w:val="auto"/>
        </w:rPr>
        <w:t>Exhibit</w:t>
      </w:r>
      <w:r>
        <w:rPr>
          <w:sz w:val="20"/>
          <w:szCs w:val="20"/>
          <w:color w:val="auto"/>
        </w:rPr>
        <w:tab/>
      </w:r>
      <w:r>
        <w:rPr>
          <w:rFonts w:ascii="Arial" w:cs="Arial" w:eastAsia="Arial" w:hAnsi="Arial"/>
          <w:sz w:val="14"/>
          <w:szCs w:val="14"/>
          <w:b w:val="1"/>
          <w:bCs w:val="1"/>
          <w:color w:val="auto"/>
        </w:rPr>
        <w:t>Description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99695</wp:posOffset>
            </wp:positionH>
            <wp:positionV relativeFrom="paragraph">
              <wp:posOffset>68580</wp:posOffset>
            </wp:positionV>
            <wp:extent cx="608965"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608965" cy="8890"/>
                    </a:xfrm>
                    <a:prstGeom prst="rect">
                      <a:avLst/>
                    </a:prstGeom>
                    <a:noFill/>
                  </pic:spPr>
                </pic:pic>
              </a:graphicData>
            </a:graphic>
          </wp:anchor>
        </w:drawing>
        <w:drawing>
          <wp:anchor simplePos="0" relativeHeight="251657728" behindDoc="1" locked="0" layoutInCell="0" allowOverlap="1">
            <wp:simplePos x="0" y="0"/>
            <wp:positionH relativeFrom="column">
              <wp:posOffset>3589655</wp:posOffset>
            </wp:positionH>
            <wp:positionV relativeFrom="paragraph">
              <wp:posOffset>68580</wp:posOffset>
            </wp:positionV>
            <wp:extent cx="677545"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677545" cy="8890"/>
                    </a:xfrm>
                    <a:prstGeom prst="rect">
                      <a:avLst/>
                    </a:prstGeom>
                    <a:noFill/>
                  </pic:spPr>
                </pic:pic>
              </a:graphicData>
            </a:graphic>
          </wp:anchor>
        </w:drawing>
      </w:r>
    </w:p>
    <w:p>
      <w:pPr>
        <w:spacing w:after="0" w:line="202" w:lineRule="exact"/>
        <w:rPr>
          <w:sz w:val="20"/>
          <w:szCs w:val="20"/>
          <w:color w:val="auto"/>
        </w:rPr>
      </w:pPr>
    </w:p>
    <w:p>
      <w:pPr>
        <w:spacing w:after="0"/>
        <w:tabs>
          <w:tab w:leader="none" w:pos="182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5"/>
          <w:szCs w:val="15"/>
          <w:color w:val="auto"/>
        </w:rPr>
        <w:t>Press release dated June 27, 2003.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420370</wp:posOffset>
            </wp:positionV>
            <wp:extent cx="7250430" cy="215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020"/>
          </w:cols>
          <w:pgMar w:left="240" w:top="419" w:right="639" w:bottom="1440" w:gutter="0" w:footer="0" w:header="0"/>
        </w:sectPr>
      </w:pPr>
    </w:p>
    <w:bookmarkStart w:id="4" w:name="page5"/>
    <w:bookmarkEnd w:id="4"/>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9"/>
        <w:spacing w:after="0"/>
        <w:rPr>
          <w:sz w:val="20"/>
          <w:szCs w:val="20"/>
          <w:color w:val="auto"/>
        </w:rPr>
      </w:pPr>
      <w:r>
        <w:rPr>
          <w:rFonts w:ascii="Arial" w:cs="Arial" w:eastAsia="Arial" w:hAnsi="Arial"/>
          <w:sz w:val="18"/>
          <w:szCs w:val="18"/>
          <w:b w:val="1"/>
          <w:bCs w:val="1"/>
          <w:color w:val="auto"/>
        </w:rPr>
        <w:t>SIGNATURE</w:t>
      </w:r>
    </w:p>
    <w:p>
      <w:pPr>
        <w:spacing w:after="0" w:line="231" w:lineRule="exact"/>
        <w:rPr>
          <w:sz w:val="20"/>
          <w:szCs w:val="20"/>
          <w:color w:val="auto"/>
        </w:rPr>
      </w:pPr>
    </w:p>
    <w:p>
      <w:pPr>
        <w:ind w:firstLine="220"/>
        <w:spacing w:after="0" w:line="268"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200" w:lineRule="exact"/>
        <w:rPr>
          <w:sz w:val="20"/>
          <w:szCs w:val="20"/>
          <w:color w:val="auto"/>
        </w:rPr>
      </w:pPr>
    </w:p>
    <w:p>
      <w:pPr>
        <w:spacing w:after="0" w:line="223" w:lineRule="exact"/>
        <w:rPr>
          <w:sz w:val="20"/>
          <w:szCs w:val="20"/>
          <w:color w:val="auto"/>
        </w:rPr>
      </w:pPr>
    </w:p>
    <w:p>
      <w:pPr>
        <w:spacing w:after="0"/>
        <w:tabs>
          <w:tab w:leader="none" w:pos="6260" w:val="left"/>
        </w:tabs>
        <w:rPr>
          <w:sz w:val="20"/>
          <w:szCs w:val="20"/>
          <w:color w:val="auto"/>
        </w:rPr>
      </w:pPr>
      <w:r>
        <w:rPr>
          <w:rFonts w:ascii="Arial" w:cs="Arial" w:eastAsia="Arial" w:hAnsi="Arial"/>
          <w:sz w:val="18"/>
          <w:szCs w:val="18"/>
          <w:color w:val="auto"/>
        </w:rPr>
        <w:t>Date: June 27, 2003</w:t>
      </w:r>
      <w:r>
        <w:rPr>
          <w:sz w:val="20"/>
          <w:szCs w:val="20"/>
          <w:color w:val="auto"/>
        </w:rPr>
        <w:tab/>
      </w:r>
      <w:r>
        <w:rPr>
          <w:rFonts w:ascii="Arial" w:cs="Arial" w:eastAsia="Arial" w:hAnsi="Arial"/>
          <w:sz w:val="16"/>
          <w:szCs w:val="16"/>
          <w:b w:val="1"/>
          <w:bCs w:val="1"/>
          <w:color w:val="auto"/>
        </w:rPr>
        <w:t>MARVELL TECHNOLOGY GROUP LTD.</w:t>
      </w:r>
    </w:p>
    <w:p>
      <w:pPr>
        <w:spacing w:after="0" w:line="218" w:lineRule="exact"/>
        <w:rPr>
          <w:sz w:val="20"/>
          <w:szCs w:val="20"/>
          <w:color w:val="auto"/>
        </w:rPr>
      </w:pPr>
    </w:p>
    <w:p>
      <w:pPr>
        <w:ind w:left="6280"/>
        <w:spacing w:after="0"/>
        <w:rPr>
          <w:sz w:val="20"/>
          <w:szCs w:val="20"/>
          <w:color w:val="auto"/>
        </w:rPr>
      </w:pPr>
      <w:r>
        <w:rPr>
          <w:rFonts w:ascii="Arial" w:cs="Arial" w:eastAsia="Arial" w:hAnsi="Arial"/>
          <w:sz w:val="22"/>
          <w:szCs w:val="22"/>
          <w:color w:val="auto"/>
        </w:rPr>
        <w:t>By: /s/ George A. Hervey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4173220</wp:posOffset>
            </wp:positionH>
            <wp:positionV relativeFrom="paragraph">
              <wp:posOffset>76200</wp:posOffset>
            </wp:positionV>
            <wp:extent cx="307848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3078480" cy="8890"/>
                    </a:xfrm>
                    <a:prstGeom prst="rect">
                      <a:avLst/>
                    </a:prstGeom>
                    <a:noFill/>
                  </pic:spPr>
                </pic:pic>
              </a:graphicData>
            </a:graphic>
          </wp:anchor>
        </w:drawing>
      </w:r>
    </w:p>
    <w:p>
      <w:pPr>
        <w:spacing w:after="0" w:line="213" w:lineRule="exact"/>
        <w:rPr>
          <w:sz w:val="20"/>
          <w:szCs w:val="20"/>
          <w:color w:val="auto"/>
        </w:rPr>
      </w:pPr>
    </w:p>
    <w:p>
      <w:pPr>
        <w:jc w:val="center"/>
        <w:ind w:left="6280"/>
        <w:spacing w:after="0"/>
        <w:rPr>
          <w:sz w:val="20"/>
          <w:szCs w:val="20"/>
          <w:color w:val="auto"/>
        </w:rPr>
      </w:pPr>
      <w:r>
        <w:rPr>
          <w:rFonts w:ascii="Arial" w:cs="Arial" w:eastAsia="Arial" w:hAnsi="Arial"/>
          <w:sz w:val="18"/>
          <w:szCs w:val="18"/>
          <w:color w:val="auto"/>
        </w:rPr>
        <w:t>George A. Hervey</w:t>
      </w:r>
    </w:p>
    <w:p>
      <w:pPr>
        <w:spacing w:after="0" w:line="15" w:lineRule="exact"/>
        <w:rPr>
          <w:sz w:val="20"/>
          <w:szCs w:val="20"/>
          <w:color w:val="auto"/>
        </w:rPr>
      </w:pPr>
    </w:p>
    <w:p>
      <w:pPr>
        <w:jc w:val="center"/>
        <w:ind w:left="6280"/>
        <w:spacing w:after="0"/>
        <w:rPr>
          <w:sz w:val="20"/>
          <w:szCs w:val="20"/>
          <w:color w:val="auto"/>
        </w:rPr>
      </w:pPr>
      <w:r>
        <w:rPr>
          <w:rFonts w:ascii="Arial" w:cs="Arial" w:eastAsia="Arial" w:hAnsi="Arial"/>
          <w:sz w:val="18"/>
          <w:szCs w:val="18"/>
          <w:color w:val="auto"/>
        </w:rPr>
        <w:t>Vice President of Finance and</w:t>
      </w:r>
    </w:p>
    <w:p>
      <w:pPr>
        <w:spacing w:after="0" w:line="9" w:lineRule="exact"/>
        <w:rPr>
          <w:sz w:val="20"/>
          <w:szCs w:val="20"/>
          <w:color w:val="auto"/>
        </w:rPr>
      </w:pPr>
    </w:p>
    <w:p>
      <w:pPr>
        <w:jc w:val="center"/>
        <w:ind w:left="6280"/>
        <w:spacing w:after="0"/>
        <w:rPr>
          <w:sz w:val="20"/>
          <w:szCs w:val="20"/>
          <w:color w:val="auto"/>
        </w:rPr>
      </w:pPr>
      <w:r>
        <w:rPr>
          <w:rFonts w:ascii="Arial" w:cs="Arial" w:eastAsia="Arial" w:hAnsi="Arial"/>
          <w:sz w:val="18"/>
          <w:szCs w:val="18"/>
          <w:color w:val="auto"/>
        </w:rPr>
        <w:t>Chief Financial Officer</w:t>
      </w:r>
    </w:p>
    <w:p>
      <w:pPr>
        <w:spacing w:after="0" w:line="219"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220"/>
          </w:cols>
          <w:pgMar w:left="240" w:top="419" w:right="439" w:bottom="1440" w:gutter="0" w:footer="0" w:header="0"/>
        </w:sectPr>
      </w:pPr>
    </w:p>
    <w:bookmarkStart w:id="5" w:name="page6"/>
    <w:bookmarkEnd w:id="5"/>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tbl>
      <w:tblPr>
        <w:tblLayout w:type="fixed"/>
        <w:tblInd w:w="0" w:type="dxa"/>
        <w:tblCellMar>
          <w:top w:w="0" w:type="dxa"/>
          <w:left w:w="0" w:type="dxa"/>
          <w:bottom w:w="0" w:type="dxa"/>
          <w:right w:w="0" w:type="dxa"/>
        </w:tblCellMar>
      </w:tblPr>
      <w:tr>
        <w:trPr>
          <w:trHeight w:val="222"/>
        </w:trPr>
        <w:tc>
          <w:tcPr>
            <w:tcW w:w="960" w:type="dxa"/>
            <w:vAlign w:val="bottom"/>
          </w:tcPr>
          <w:p>
            <w:pPr>
              <w:spacing w:after="0"/>
              <w:rPr>
                <w:sz w:val="19"/>
                <w:szCs w:val="19"/>
                <w:color w:val="auto"/>
              </w:rPr>
            </w:pPr>
          </w:p>
        </w:tc>
        <w:tc>
          <w:tcPr>
            <w:tcW w:w="960" w:type="dxa"/>
            <w:vAlign w:val="bottom"/>
          </w:tcPr>
          <w:p>
            <w:pPr>
              <w:spacing w:after="0"/>
              <w:rPr>
                <w:sz w:val="19"/>
                <w:szCs w:val="19"/>
                <w:color w:val="auto"/>
              </w:rPr>
            </w:pPr>
          </w:p>
        </w:tc>
        <w:tc>
          <w:tcPr>
            <w:tcW w:w="4440" w:type="dxa"/>
            <w:vAlign w:val="bottom"/>
          </w:tcPr>
          <w:p>
            <w:pPr>
              <w:ind w:left="3140"/>
              <w:spacing w:after="0"/>
              <w:rPr>
                <w:sz w:val="20"/>
                <w:szCs w:val="20"/>
                <w:color w:val="auto"/>
              </w:rPr>
            </w:pPr>
            <w:r>
              <w:rPr>
                <w:rFonts w:ascii="Arial" w:cs="Arial" w:eastAsia="Arial" w:hAnsi="Arial"/>
                <w:sz w:val="18"/>
                <w:szCs w:val="18"/>
                <w:color w:val="auto"/>
                <w:w w:val="98"/>
              </w:rPr>
              <w:t>EXHIBIT INDEX</w:t>
            </w:r>
          </w:p>
        </w:tc>
        <w:tc>
          <w:tcPr>
            <w:tcW w:w="0" w:type="dxa"/>
            <w:vAlign w:val="bottom"/>
          </w:tcPr>
          <w:p>
            <w:pPr>
              <w:spacing w:after="0"/>
              <w:rPr>
                <w:sz w:val="1"/>
                <w:szCs w:val="1"/>
                <w:color w:val="auto"/>
              </w:rPr>
            </w:pPr>
          </w:p>
        </w:tc>
      </w:tr>
      <w:tr>
        <w:trPr>
          <w:trHeight w:val="623"/>
        </w:trPr>
        <w:tc>
          <w:tcPr>
            <w:tcW w:w="960" w:type="dxa"/>
            <w:vAlign w:val="bottom"/>
          </w:tcPr>
          <w:p>
            <w:pPr>
              <w:spacing w:after="0"/>
              <w:rPr>
                <w:sz w:val="20"/>
                <w:szCs w:val="20"/>
                <w:color w:val="auto"/>
              </w:rPr>
            </w:pPr>
            <w:r>
              <w:rPr>
                <w:rFonts w:ascii="Arial" w:cs="Arial" w:eastAsia="Arial" w:hAnsi="Arial"/>
                <w:sz w:val="14"/>
                <w:szCs w:val="14"/>
                <w:b w:val="1"/>
                <w:bCs w:val="1"/>
                <w:color w:val="auto"/>
              </w:rPr>
              <w:t>Exhibit No.</w:t>
            </w:r>
          </w:p>
        </w:tc>
        <w:tc>
          <w:tcPr>
            <w:tcW w:w="960" w:type="dxa"/>
            <w:vAlign w:val="bottom"/>
          </w:tcPr>
          <w:p>
            <w:pPr>
              <w:spacing w:after="0"/>
              <w:rPr>
                <w:sz w:val="24"/>
                <w:szCs w:val="24"/>
                <w:color w:val="auto"/>
              </w:rPr>
            </w:pPr>
          </w:p>
        </w:tc>
        <w:tc>
          <w:tcPr>
            <w:tcW w:w="4440" w:type="dxa"/>
            <w:vAlign w:val="bottom"/>
          </w:tcPr>
          <w:p>
            <w:pPr>
              <w:ind w:left="1540"/>
              <w:spacing w:after="0"/>
              <w:rPr>
                <w:sz w:val="20"/>
                <w:szCs w:val="20"/>
                <w:color w:val="auto"/>
              </w:rPr>
            </w:pPr>
            <w:r>
              <w:rPr>
                <w:rFonts w:ascii="Arial" w:cs="Arial" w:eastAsia="Arial" w:hAnsi="Arial"/>
                <w:sz w:val="14"/>
                <w:szCs w:val="14"/>
                <w:b w:val="1"/>
                <w:bCs w:val="1"/>
                <w:color w:val="auto"/>
              </w:rPr>
              <w:t>Document</w:t>
            </w:r>
          </w:p>
        </w:tc>
        <w:tc>
          <w:tcPr>
            <w:tcW w:w="0" w:type="dxa"/>
            <w:vAlign w:val="bottom"/>
          </w:tcPr>
          <w:p>
            <w:pPr>
              <w:spacing w:after="0"/>
              <w:rPr>
                <w:sz w:val="1"/>
                <w:szCs w:val="1"/>
                <w:color w:val="auto"/>
              </w:rPr>
            </w:pPr>
          </w:p>
        </w:tc>
      </w:tr>
      <w:tr>
        <w:trPr>
          <w:trHeight w:val="95"/>
        </w:trPr>
        <w:tc>
          <w:tcPr>
            <w:tcW w:w="960" w:type="dxa"/>
            <w:vAlign w:val="bottom"/>
            <w:vMerge w:val="restart"/>
          </w:tcPr>
          <w:p>
            <w:pPr>
              <w:spacing w:after="0"/>
              <w:rPr>
                <w:sz w:val="20"/>
                <w:szCs w:val="20"/>
                <w:color w:val="auto"/>
              </w:rPr>
            </w:pPr>
            <w:r>
              <w:rPr>
                <w:rFonts w:ascii="Arial" w:cs="Arial" w:eastAsia="Arial" w:hAnsi="Arial"/>
                <w:sz w:val="18"/>
                <w:szCs w:val="18"/>
                <w:color w:val="auto"/>
                <w:w w:val="99"/>
              </w:rPr>
              <w:t>Exhibit 99.1</w:t>
            </w:r>
          </w:p>
        </w:tc>
        <w:tc>
          <w:tcPr>
            <w:tcW w:w="960" w:type="dxa"/>
            <w:vAlign w:val="bottom"/>
            <w:tcBorders>
              <w:bottom w:val="single" w:sz="8" w:color="808080"/>
            </w:tcBorders>
          </w:tcPr>
          <w:p>
            <w:pPr>
              <w:spacing w:after="0"/>
              <w:rPr>
                <w:sz w:val="8"/>
                <w:szCs w:val="8"/>
                <w:color w:val="auto"/>
              </w:rPr>
            </w:pPr>
          </w:p>
        </w:tc>
        <w:tc>
          <w:tcPr>
            <w:tcW w:w="4440" w:type="dxa"/>
            <w:vAlign w:val="bottom"/>
            <w:vMerge w:val="restart"/>
          </w:tcPr>
          <w:p>
            <w:pPr>
              <w:ind w:left="1540"/>
              <w:spacing w:after="0"/>
              <w:rPr>
                <w:sz w:val="20"/>
                <w:szCs w:val="20"/>
                <w:color w:val="auto"/>
              </w:rPr>
            </w:pPr>
            <w:r>
              <w:rPr>
                <w:rFonts w:ascii="Arial" w:cs="Arial" w:eastAsia="Arial" w:hAnsi="Arial"/>
                <w:sz w:val="18"/>
                <w:szCs w:val="18"/>
                <w:color w:val="auto"/>
              </w:rPr>
              <w:t>Press release dated June 27, 2003.</w:t>
            </w:r>
          </w:p>
        </w:tc>
        <w:tc>
          <w:tcPr>
            <w:tcW w:w="0" w:type="dxa"/>
            <w:vAlign w:val="bottom"/>
          </w:tcPr>
          <w:p>
            <w:pPr>
              <w:spacing w:after="0"/>
              <w:rPr>
                <w:sz w:val="1"/>
                <w:szCs w:val="1"/>
                <w:color w:val="auto"/>
              </w:rPr>
            </w:pPr>
          </w:p>
        </w:tc>
      </w:tr>
      <w:tr>
        <w:trPr>
          <w:trHeight w:val="316"/>
        </w:trPr>
        <w:tc>
          <w:tcPr>
            <w:tcW w:w="960" w:type="dxa"/>
            <w:vAlign w:val="bottom"/>
            <w:vMerge w:val="continue"/>
          </w:tcPr>
          <w:p>
            <w:pPr>
              <w:spacing w:after="0"/>
              <w:rPr>
                <w:sz w:val="24"/>
                <w:szCs w:val="24"/>
                <w:color w:val="auto"/>
              </w:rPr>
            </w:pPr>
          </w:p>
        </w:tc>
        <w:tc>
          <w:tcPr>
            <w:tcW w:w="960" w:type="dxa"/>
            <w:vAlign w:val="bottom"/>
          </w:tcPr>
          <w:p>
            <w:pPr>
              <w:spacing w:after="0"/>
              <w:rPr>
                <w:sz w:val="24"/>
                <w:szCs w:val="24"/>
                <w:color w:val="auto"/>
              </w:rPr>
            </w:pPr>
          </w:p>
        </w:tc>
        <w:tc>
          <w:tcPr>
            <w:tcW w:w="4440" w:type="dxa"/>
            <w:vAlign w:val="bottom"/>
            <w:vMerge w:val="continue"/>
          </w:tcPr>
          <w:p>
            <w:pPr>
              <w:spacing w:after="0"/>
              <w:rPr>
                <w:sz w:val="24"/>
                <w:szCs w:val="2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4164330</wp:posOffset>
            </wp:positionH>
            <wp:positionV relativeFrom="paragraph">
              <wp:posOffset>-212725</wp:posOffset>
            </wp:positionV>
            <wp:extent cx="548640" cy="88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548640" cy="8890"/>
                    </a:xfrm>
                    <a:prstGeom prst="rect">
                      <a:avLst/>
                    </a:prstGeom>
                    <a:noFill/>
                  </pic:spPr>
                </pic:pic>
              </a:graphicData>
            </a:graphic>
          </wp:anchor>
        </w:drawing>
      </w:r>
    </w:p>
    <w:p>
      <w:pPr>
        <w:sectPr>
          <w:pgSz w:w="11900" w:h="16838" w:orient="portrait"/>
          <w:cols w:equalWidth="0" w:num="1">
            <w:col w:w="10219"/>
          </w:cols>
          <w:pgMar w:left="240" w:top="419" w:right="1440" w:bottom="1440" w:gutter="0" w:footer="0" w:header="0"/>
        </w:sectPr>
      </w:pPr>
    </w:p>
    <w:bookmarkStart w:id="6" w:name="page7"/>
    <w:bookmarkEnd w:id="6"/>
    <w:p>
      <w:pPr>
        <w:jc w:val="right"/>
        <w:ind w:right="1779"/>
        <w:spacing w:after="0"/>
        <w:rPr>
          <w:sz w:val="20"/>
          <w:szCs w:val="20"/>
          <w:color w:val="auto"/>
        </w:rPr>
      </w:pPr>
      <w:r>
        <w:rPr>
          <w:rFonts w:ascii="Courier New" w:cs="Courier New" w:eastAsia="Courier New" w:hAnsi="Courier New"/>
          <w:sz w:val="18"/>
          <w:szCs w:val="18"/>
          <w:color w:val="auto"/>
        </w:rPr>
        <w:t>Exhibit 99.1</w:t>
      </w:r>
    </w:p>
    <w:p>
      <w:pPr>
        <w:spacing w:after="0" w:line="238" w:lineRule="auto"/>
        <w:rPr>
          <w:sz w:val="20"/>
          <w:szCs w:val="20"/>
          <w:color w:val="auto"/>
        </w:rPr>
      </w:pPr>
      <w:r>
        <w:rPr>
          <w:rFonts w:ascii="Courier New" w:cs="Courier New" w:eastAsia="Courier New" w:hAnsi="Courier New"/>
          <w:sz w:val="18"/>
          <w:szCs w:val="18"/>
          <w:color w:val="auto"/>
        </w:rPr>
        <w:t>NEWS RELEASE</w:t>
      </w:r>
    </w:p>
    <w:p>
      <w:pPr>
        <w:spacing w:after="0" w:line="202" w:lineRule="exact"/>
        <w:rPr>
          <w:sz w:val="20"/>
          <w:szCs w:val="20"/>
          <w:color w:val="auto"/>
        </w:rPr>
      </w:pPr>
    </w:p>
    <w:p>
      <w:pPr>
        <w:jc w:val="center"/>
        <w:ind w:right="1779"/>
        <w:spacing w:after="0"/>
        <w:rPr>
          <w:sz w:val="20"/>
          <w:szCs w:val="20"/>
          <w:color w:val="auto"/>
        </w:rPr>
      </w:pPr>
      <w:r>
        <w:rPr>
          <w:rFonts w:ascii="Courier New" w:cs="Courier New" w:eastAsia="Courier New" w:hAnsi="Courier New"/>
          <w:sz w:val="18"/>
          <w:szCs w:val="18"/>
          <w:color w:val="auto"/>
        </w:rPr>
        <w:t>Marvell(R) Technology Group Ltd. Completes Acquisition</w:t>
      </w:r>
    </w:p>
    <w:p>
      <w:pPr>
        <w:spacing w:after="0" w:line="201" w:lineRule="exact"/>
        <w:rPr>
          <w:sz w:val="20"/>
          <w:szCs w:val="20"/>
          <w:color w:val="auto"/>
        </w:rPr>
      </w:pPr>
    </w:p>
    <w:p>
      <w:pPr>
        <w:ind w:left="2220"/>
        <w:spacing w:after="0"/>
        <w:rPr>
          <w:sz w:val="20"/>
          <w:szCs w:val="20"/>
          <w:color w:val="auto"/>
        </w:rPr>
      </w:pPr>
      <w:r>
        <w:rPr>
          <w:rFonts w:ascii="Courier New" w:cs="Courier New" w:eastAsia="Courier New" w:hAnsi="Courier New"/>
          <w:sz w:val="18"/>
          <w:szCs w:val="18"/>
          <w:color w:val="auto"/>
        </w:rPr>
        <w:t>of RADLAN Computer Communications Ltd.</w:t>
      </w:r>
    </w:p>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ind w:right="1879"/>
        <w:spacing w:after="0" w:line="237" w:lineRule="auto"/>
        <w:rPr>
          <w:sz w:val="20"/>
          <w:szCs w:val="20"/>
          <w:color w:val="auto"/>
        </w:rPr>
      </w:pPr>
      <w:r>
        <w:rPr>
          <w:rFonts w:ascii="Courier New" w:cs="Courier New" w:eastAsia="Courier New" w:hAnsi="Courier New"/>
          <w:sz w:val="18"/>
          <w:szCs w:val="18"/>
          <w:color w:val="auto"/>
        </w:rPr>
        <w:t>Sunnyvale, CA. (June 27, 2003) - Marvell(R) (NASDAQ: MRVL), a technology leader in the development of extreme broadband communications and storage solutions, today announced that it has completed the acquisition of Israel-based RADLAN Computer Communications Ltd. (RADLAN).</w:t>
      </w:r>
    </w:p>
    <w:p>
      <w:pPr>
        <w:spacing w:after="0" w:line="207" w:lineRule="exact"/>
        <w:rPr>
          <w:sz w:val="20"/>
          <w:szCs w:val="20"/>
          <w:color w:val="auto"/>
        </w:rPr>
      </w:pPr>
    </w:p>
    <w:p>
      <w:pPr>
        <w:ind w:right="1779"/>
        <w:spacing w:after="0" w:line="270" w:lineRule="auto"/>
        <w:rPr>
          <w:sz w:val="20"/>
          <w:szCs w:val="20"/>
          <w:color w:val="auto"/>
        </w:rPr>
      </w:pPr>
      <w:r>
        <w:rPr>
          <w:rFonts w:ascii="Courier New" w:cs="Courier New" w:eastAsia="Courier New" w:hAnsi="Courier New"/>
          <w:sz w:val="16"/>
          <w:szCs w:val="16"/>
          <w:color w:val="auto"/>
        </w:rPr>
        <w:t>RADLAN, a leading provider of enterprise networking software, is now a wholly owned subsidiary of Marvell Technology Group Ltd. and will continue operations in Tel Aviv, Israel. Marvell's portfolio of industry-leading, high-performance networking chip sets combined with RADLAN's networking software uniquely positions Marvell to fuel the next wave of growth for its communications systems customers. RADLAN's broad software experience and diversity of their code base provides Marvell customers with industry-leading software across the breadth of their communications system product lines. The combined products provide best-in-class, cost-effective time-to-market solutions, enabling customers to bring highly complex products to market faster, attaining revenue quicker.</w:t>
      </w:r>
    </w:p>
    <w:p>
      <w:pPr>
        <w:spacing w:after="0" w:line="189" w:lineRule="exact"/>
        <w:rPr>
          <w:sz w:val="20"/>
          <w:szCs w:val="20"/>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"We are excited to have RADLAN join the Marvell family. RADLAN is clearly a company of unique talent and technology, well-established in the communications market space," said Dr. Sehat Sutardja, President and Chief Executive Officer of Marvell. "This acquisition brings together complementary technologies, enabling Marvell to provide total communications solutions to now address the enterprise, access, wireless, and SAN markets. We also believe that our acquisition of RADLAN allows us to better serve our customers, as well as enhance our customers' ability to innovate."</w:t>
      </w:r>
    </w:p>
    <w:p>
      <w:pPr>
        <w:spacing w:after="0" w:line="207"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ABOUT MARVELL</w:t>
      </w:r>
    </w:p>
    <w:p>
      <w:pPr>
        <w:spacing w:after="0" w:line="207" w:lineRule="exact"/>
        <w:rPr>
          <w:sz w:val="20"/>
          <w:szCs w:val="20"/>
          <w:color w:val="auto"/>
        </w:rPr>
      </w:pPr>
    </w:p>
    <w:p>
      <w:pPr>
        <w:ind w:right="1879"/>
        <w:spacing w:after="0" w:line="270" w:lineRule="auto"/>
        <w:rPr>
          <w:sz w:val="20"/>
          <w:szCs w:val="20"/>
          <w:color w:val="auto"/>
        </w:rPr>
      </w:pPr>
      <w:r>
        <w:rPr>
          <w:rFonts w:ascii="Courier New" w:cs="Courier New" w:eastAsia="Courier New" w:hAnsi="Courier New"/>
          <w:sz w:val="16"/>
          <w:szCs w:val="16"/>
          <w:color w:val="auto"/>
        </w:rPr>
        <w:t>Marvell (NASDAQ: MRVL) is the leading global semiconductor provider of complete broadband communications and storage solutions. The Company's diverse product portfolio includes switching, transceiver, communications controller, wireless, and storage solutions that power the entire communications infrastructure, including enterprise, metro, home, and storage networking. As used in this release, the terms "Company" and "Marvell" refer to Marvell Technology Group Ltd. and its subsidiaries, including Marvell Semiconductor, Inc. (MSI), Marvell Asia Pte Ltd. (MAPL), Marvell Japan K.K., Marvell Taiwan Ltd., Marvell International Ltd. (MIL), Marvell U.K. Limited, Marvell Semiconductor Israel Ltd. (MSIL), SysKonnect GmbH, and RADLAN. MSI is headquartered in Sunnyvale, Calif., and designs, develops and markets products on behalf of MIL and MAPL. MSI may be contacted at (408) 222-2500 or at www.marvell.com.</w:t>
      </w:r>
    </w:p>
    <w:p>
      <w:pPr>
        <w:spacing w:after="0" w:line="391" w:lineRule="exact"/>
        <w:rPr>
          <w:sz w:val="20"/>
          <w:szCs w:val="20"/>
          <w:color w:val="auto"/>
        </w:rPr>
      </w:pPr>
    </w:p>
    <w:p>
      <w:pPr>
        <w:ind w:right="1879"/>
        <w:spacing w:after="0" w:line="235" w:lineRule="auto"/>
        <w:rPr>
          <w:sz w:val="20"/>
          <w:szCs w:val="20"/>
          <w:color w:val="auto"/>
        </w:rPr>
      </w:pPr>
      <w:r>
        <w:rPr>
          <w:rFonts w:ascii="Courier New" w:cs="Courier New" w:eastAsia="Courier New" w:hAnsi="Courier New"/>
          <w:sz w:val="18"/>
          <w:szCs w:val="18"/>
          <w:color w:val="auto"/>
        </w:rPr>
        <w:t>SAFE HARBOR STATEMENT OF MARVELL UNDER THE PRIVATE SECURITIES LITIGATION REFORM ACT OF 1995:</w:t>
      </w:r>
    </w:p>
    <w:p>
      <w:pPr>
        <w:spacing w:after="0" w:line="6" w:lineRule="exact"/>
        <w:rPr>
          <w:sz w:val="20"/>
          <w:szCs w:val="20"/>
          <w:color w:val="auto"/>
        </w:rPr>
      </w:pPr>
    </w:p>
    <w:p>
      <w:pPr>
        <w:ind w:right="1879"/>
        <w:spacing w:after="0" w:line="238" w:lineRule="auto"/>
        <w:rPr>
          <w:sz w:val="20"/>
          <w:szCs w:val="20"/>
          <w:color w:val="auto"/>
        </w:rPr>
      </w:pPr>
      <w:r>
        <w:rPr>
          <w:rFonts w:ascii="Courier New" w:cs="Courier New" w:eastAsia="Courier New" w:hAnsi="Courier New"/>
          <w:sz w:val="18"/>
          <w:szCs w:val="18"/>
          <w:color w:val="auto"/>
        </w:rPr>
        <w:t>This release contains forward-looking statements based on projections and assumptions about our products and our markets. Words such as "anticipates," "expects," "intends," "plans," "believes," "seeks," "estimates," "may," "will," "should," "continue," and similar expressions identify forward-looking statements. Statements that refer to, or are based on projections, uncertain events or assumptions also identify forward-looking statements. These forward-looking statements are subject to risks and uncertainties, which could cause actual results to differ materially from those discussed in these statements. Some risks and uncertainties that may cause the statements in this release to differ materially from actual results include, but are not limited to, the timing, cost and successful completion of development and volume production, end-customer qualification and adoption, and the timing, pricing, rescheduling, or cancellation of orders. For other factors that could cause Marvell's results to vary from expectations, please see the sections titled "Additional Factors That May Affect Future Results" in Marvell's annual report on Form 10-K for the year ended February 1, 2003 and Marvell's subsequent reports on Form 10-Q. We undertake no obligation to revise or update publicly any forward-looking statements.</w:t>
      </w:r>
    </w:p>
    <w:p>
      <w:pPr>
        <w:spacing w:after="0" w:line="209" w:lineRule="exact"/>
        <w:rPr>
          <w:sz w:val="20"/>
          <w:szCs w:val="20"/>
          <w:color w:val="auto"/>
        </w:rPr>
      </w:pPr>
    </w:p>
    <w:p>
      <w:pPr>
        <w:ind w:right="1879"/>
        <w:spacing w:after="0" w:line="235" w:lineRule="auto"/>
        <w:rPr>
          <w:sz w:val="20"/>
          <w:szCs w:val="20"/>
          <w:color w:val="auto"/>
        </w:rPr>
      </w:pPr>
      <w:r>
        <w:rPr>
          <w:rFonts w:ascii="Courier New" w:cs="Courier New" w:eastAsia="Courier New" w:hAnsi="Courier New"/>
          <w:sz w:val="18"/>
          <w:szCs w:val="18"/>
          <w:color w:val="auto"/>
        </w:rPr>
        <w:t>Marvell(R) and the Marvell logo are trademarks of Marvell. All other trademarks are the property of their respective owners.</w:t>
      </w:r>
    </w:p>
    <w:sectPr>
      <w:pgSz w:w="11900" w:h="16838" w:orient="portrait"/>
      <w:cols w:equalWidth="0" w:num="1">
        <w:col w:w="10219"/>
      </w:cols>
      <w:pgMar w:left="240" w:top="339"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Courier New">
    <w:panose1 w:val="02070309020205020404"/>
    <w:charset w:val="00"/>
    <w:family w:val="auto"/>
    <w:pitch w:val="fixed"/>
    <w:sig w:usb0="E0002E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2019-12-14T19:23:52Z</dcterms:created>
  <dcterms:modified xsi:type="dcterms:W3CDTF">2019-12-14T19:23:52Z</dcterms:modified>
</cp:coreProperties>
</file>