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NO.2)*</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May 31, 2003</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3,720,868</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8,967,720</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May 31, 2003</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15,692,697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1,200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15,693,897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12.9%</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3,720,868</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8,967,720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2003</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15,692,697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1,200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15,693,897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3,720,868</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8,967,720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2003</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15,692,697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1,200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15,693,897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3,720,868</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8,967,720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May 31, 2003</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15,692,697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1,200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15,693,897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3,717,338</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8,967,720</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May 31, 2003</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BY 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15,690,367</w:t>
            </w:r>
          </w:p>
        </w:tc>
      </w:tr>
      <w:tr>
        <w:trPr>
          <w:trHeight w:val="203"/>
        </w:trPr>
        <w:tc>
          <w:tcPr>
            <w:tcW w:w="360" w:type="dxa"/>
            <w:vAlign w:val="bottom"/>
          </w:tcPr>
          <w:p>
            <w:pPr>
              <w:spacing w:after="0"/>
              <w:rPr>
                <w:sz w:val="17"/>
                <w:szCs w:val="17"/>
                <w:color w:val="auto"/>
              </w:rPr>
            </w:pPr>
          </w:p>
        </w:tc>
        <w:tc>
          <w:tcPr>
            <w:tcW w:w="180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15,690,367</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12.9%</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62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 Business</w:t>
            </w:r>
          </w:p>
        </w:tc>
      </w:tr>
      <w:tr>
        <w:trPr>
          <w:trHeight w:val="203"/>
        </w:trPr>
        <w:tc>
          <w:tcPr>
            <w:tcW w:w="1000" w:type="dxa"/>
            <w:vAlign w:val="bottom"/>
          </w:tcPr>
          <w:p>
            <w:pPr>
              <w:spacing w:after="0" w:line="203" w:lineRule="exact"/>
              <w:rPr>
                <w:sz w:val="20"/>
                <w:szCs w:val="20"/>
                <w:color w:val="auto"/>
              </w:rPr>
            </w:pPr>
            <w:r>
              <w:rPr>
                <w:rFonts w:ascii="Courier New" w:cs="Courier New" w:eastAsia="Courier New" w:hAnsi="Courier New"/>
                <w:sz w:val="18"/>
                <w:szCs w:val="18"/>
                <w:color w:val="auto"/>
              </w:rPr>
              <w:t>Office:</w:t>
            </w:r>
          </w:p>
        </w:tc>
        <w:tc>
          <w:tcPr>
            <w:tcW w:w="860" w:type="dxa"/>
            <w:vAlign w:val="bottom"/>
          </w:tcPr>
          <w:p>
            <w:pPr>
              <w:spacing w:after="0"/>
              <w:rPr>
                <w:sz w:val="17"/>
                <w:szCs w:val="17"/>
                <w:color w:val="auto"/>
              </w:rPr>
            </w:pPr>
          </w:p>
        </w:tc>
        <w:tc>
          <w:tcPr>
            <w:tcW w:w="4320" w:type="dxa"/>
            <w:vAlign w:val="bottom"/>
          </w:tcPr>
          <w:p>
            <w:pPr>
              <w:spacing w:after="0"/>
              <w:rPr>
                <w:sz w:val="17"/>
                <w:szCs w:val="17"/>
                <w:color w:val="auto"/>
              </w:rPr>
            </w:pPr>
          </w:p>
        </w:tc>
        <w:tc>
          <w:tcPr>
            <w:tcW w:w="1940" w:type="dxa"/>
            <w:vAlign w:val="bottom"/>
          </w:tcPr>
          <w:p>
            <w:pPr>
              <w:spacing w:after="0"/>
              <w:rPr>
                <w:sz w:val="17"/>
                <w:szCs w:val="17"/>
                <w:color w:val="auto"/>
              </w:rPr>
            </w:pPr>
          </w:p>
        </w:tc>
      </w:tr>
    </w:tbl>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Assurances I.A.R.D Mutuelle, and</w:t>
      </w:r>
    </w:p>
    <w:p>
      <w:pPr>
        <w:ind w:left="1060"/>
        <w:spacing w:after="0" w:line="238" w:lineRule="auto"/>
        <w:rPr>
          <w:sz w:val="20"/>
          <w:szCs w:val="20"/>
          <w:color w:val="auto"/>
        </w:rPr>
      </w:pPr>
      <w:r>
        <w:rPr>
          <w:rFonts w:ascii="Courier New" w:cs="Courier New" w:eastAsia="Courier New" w:hAnsi="Courier New"/>
          <w:sz w:val="18"/>
          <w:szCs w:val="18"/>
          <w:color w:val="auto"/>
        </w:rPr>
        <w:t>AXA Assurances Vie Mutuelle,</w:t>
      </w:r>
    </w:p>
    <w:p>
      <w:pPr>
        <w:ind w:left="1060"/>
        <w:spacing w:after="0"/>
        <w:rPr>
          <w:sz w:val="20"/>
          <w:szCs w:val="20"/>
          <w:color w:val="auto"/>
        </w:rPr>
      </w:pPr>
      <w:r>
        <w:rPr>
          <w:rFonts w:ascii="Courier New" w:cs="Courier New" w:eastAsia="Courier New" w:hAnsi="Courier New"/>
          <w:sz w:val="18"/>
          <w:szCs w:val="18"/>
          <w:color w:val="auto"/>
        </w:rPr>
        <w:t>370, rue Saint Honore</w:t>
      </w:r>
    </w:p>
    <w:p>
      <w:pPr>
        <w:ind w:left="1060"/>
        <w:spacing w:after="0" w:line="237"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(Please contact Patrick Meehan at (212) 314-5644 with any</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540" w:type="dxa"/>
            <w:vAlign w:val="bottom"/>
          </w:tcPr>
          <w:p>
            <w:pPr>
              <w:jc w:val="right"/>
              <w:ind w:right="1012"/>
              <w:spacing w:after="0"/>
              <w:rPr>
                <w:sz w:val="20"/>
                <w:szCs w:val="20"/>
                <w:color w:val="auto"/>
              </w:rPr>
            </w:pPr>
            <w:r>
              <w:rPr>
                <w:rFonts w:ascii="Courier New" w:cs="Courier New" w:eastAsia="Courier New" w:hAnsi="Courier New"/>
                <w:sz w:val="18"/>
                <w:szCs w:val="18"/>
                <w:color w:val="auto"/>
              </w:rPr>
              <w:t>13G</w:t>
            </w:r>
          </w:p>
        </w:tc>
        <w:tc>
          <w:tcPr>
            <w:tcW w:w="3000" w:type="dxa"/>
            <w:vAlign w:val="bottom"/>
          </w:tcPr>
          <w:p>
            <w:pPr>
              <w:ind w:left="1100"/>
              <w:spacing w:after="0"/>
              <w:rPr>
                <w:sz w:val="20"/>
                <w:szCs w:val="20"/>
                <w:color w:val="auto"/>
              </w:rPr>
            </w:pPr>
            <w:r>
              <w:rPr>
                <w:rFonts w:ascii="Courier New" w:cs="Courier New" w:eastAsia="Courier New" w:hAnsi="Courier New"/>
                <w:sz w:val="18"/>
                <w:szCs w:val="18"/>
                <w:color w:val="auto"/>
                <w:w w:val="96"/>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540" w:type="dxa"/>
            <w:vAlign w:val="bottom"/>
          </w:tcPr>
          <w:p>
            <w:pPr>
              <w:jc w:val="right"/>
              <w:ind w:right="1012"/>
              <w:spacing w:after="0"/>
              <w:rPr>
                <w:sz w:val="20"/>
                <w:szCs w:val="20"/>
                <w:color w:val="auto"/>
              </w:rPr>
            </w:pPr>
            <w:r>
              <w:rPr>
                <w:rFonts w:ascii="Courier New" w:cs="Courier New" w:eastAsia="Courier New" w:hAnsi="Courier New"/>
                <w:sz w:val="18"/>
                <w:szCs w:val="18"/>
                <w:color w:val="auto"/>
              </w:rPr>
              <w:t>May 31, 2003</w:t>
            </w:r>
          </w:p>
        </w:tc>
        <w:tc>
          <w:tcPr>
            <w:tcW w:w="3000" w:type="dxa"/>
            <w:vAlign w:val="bottom"/>
          </w:tcPr>
          <w:p>
            <w:pPr>
              <w:spacing w:after="0"/>
              <w:rPr>
                <w:sz w:val="24"/>
                <w:szCs w:val="24"/>
                <w:color w:val="auto"/>
              </w:rPr>
            </w:pPr>
          </w:p>
        </w:tc>
      </w:tr>
      <w:tr>
        <w:trPr>
          <w:trHeight w:val="203"/>
        </w:trPr>
        <w:tc>
          <w:tcPr>
            <w:tcW w:w="5120" w:type="dxa"/>
            <w:vAlign w:val="bottom"/>
            <w:gridSpan w:val="2"/>
          </w:tcPr>
          <w:p>
            <w:pPr>
              <w:jc w:val="right"/>
              <w:ind w:right="101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000" w:type="dxa"/>
            <w:vAlign w:val="bottom"/>
          </w:tcPr>
          <w:p>
            <w:pPr>
              <w:spacing w:after="0"/>
              <w:rPr>
                <w:sz w:val="17"/>
                <w:szCs w:val="17"/>
                <w:color w:val="auto"/>
              </w:rPr>
            </w:pPr>
          </w:p>
        </w:tc>
      </w:tr>
    </w:tbl>
    <w:p>
      <w:pPr>
        <w:spacing w:after="0" w:line="238" w:lineRule="auto"/>
        <w:tabs>
          <w:tab w:leader="none" w:pos="1360" w:val="left"/>
        </w:tabs>
        <w:rPr>
          <w:sz w:val="20"/>
          <w:szCs w:val="20"/>
          <w:color w:val="auto"/>
        </w:rPr>
      </w:pPr>
      <w:r>
        <w:rPr>
          <w:rFonts w:ascii="Courier New" w:cs="Courier New" w:eastAsia="Courier New" w:hAnsi="Courier New"/>
          <w:sz w:val="18"/>
          <w:szCs w:val="18"/>
          <w:color w:val="auto"/>
        </w:rPr>
        <w:t>15,693,897</w:t>
      </w:r>
      <w:r>
        <w:rPr>
          <w:sz w:val="20"/>
          <w:szCs w:val="20"/>
          <w:color w:val="auto"/>
        </w:rPr>
        <w:tab/>
      </w:r>
      <w:r>
        <w:rPr>
          <w:rFonts w:ascii="Courier New" w:cs="Courier New" w:eastAsia="Courier New" w:hAnsi="Courier New"/>
          <w:sz w:val="18"/>
          <w:szCs w:val="18"/>
          <w:color w:val="auto"/>
        </w:rPr>
        <w:t>shares of common stock beneficially owned including:</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960" w:type="dxa"/>
            <w:vAlign w:val="bottom"/>
          </w:tcPr>
          <w:p>
            <w:pPr>
              <w:spacing w:after="0"/>
              <w:rPr>
                <w:sz w:val="17"/>
                <w:szCs w:val="17"/>
                <w:color w:val="auto"/>
              </w:rPr>
            </w:pPr>
          </w:p>
        </w:tc>
        <w:tc>
          <w:tcPr>
            <w:tcW w:w="274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740" w:type="dxa"/>
            <w:vAlign w:val="bottom"/>
          </w:tcPr>
          <w:p>
            <w:pPr>
              <w:spacing w:after="0"/>
              <w:rPr>
                <w:sz w:val="24"/>
                <w:szCs w:val="24"/>
                <w:color w:val="auto"/>
              </w:rPr>
            </w:pPr>
          </w:p>
        </w:tc>
      </w:tr>
      <w:tr>
        <w:trPr>
          <w:trHeight w:val="405"/>
        </w:trPr>
        <w:tc>
          <w:tcPr>
            <w:tcW w:w="7700" w:type="dxa"/>
            <w:vAlign w:val="bottom"/>
            <w:gridSpan w:val="2"/>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4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1,200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740" w:type="dxa"/>
            <w:vAlign w:val="bottom"/>
          </w:tcPr>
          <w:p>
            <w:pPr>
              <w:spacing w:after="0"/>
              <w:rPr>
                <w:sz w:val="24"/>
                <w:szCs w:val="24"/>
                <w:color w:val="auto"/>
              </w:rPr>
            </w:pP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2740" w:type="dxa"/>
            <w:vAlign w:val="bottom"/>
          </w:tcPr>
          <w:p>
            <w:pPr>
              <w:spacing w:after="0"/>
              <w:rPr>
                <w:sz w:val="24"/>
                <w:szCs w:val="24"/>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740" w:type="dxa"/>
            <w:vAlign w:val="bottom"/>
          </w:tcPr>
          <w:p>
            <w:pPr>
              <w:spacing w:after="0"/>
              <w:rPr>
                <w:sz w:val="17"/>
                <w:szCs w:val="17"/>
                <w:color w:val="auto"/>
              </w:rPr>
            </w:pPr>
          </w:p>
        </w:tc>
      </w:tr>
      <w:tr>
        <w:trPr>
          <w:trHeight w:val="810"/>
        </w:trPr>
        <w:tc>
          <w:tcPr>
            <w:tcW w:w="496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15,488,957</w:t>
            </w:r>
          </w:p>
        </w:tc>
      </w:tr>
      <w:tr>
        <w:trPr>
          <w:trHeight w:val="405"/>
        </w:trPr>
        <w:tc>
          <w:tcPr>
            <w:tcW w:w="4960" w:type="dxa"/>
            <w:vAlign w:val="bottom"/>
          </w:tcPr>
          <w:p>
            <w:pPr>
              <w:ind w:left="220"/>
              <w:spacing w:after="0"/>
              <w:rPr>
                <w:sz w:val="20"/>
                <w:szCs w:val="20"/>
                <w:color w:val="auto"/>
              </w:rPr>
            </w:pPr>
            <w:r>
              <w:rPr>
                <w:rFonts w:ascii="Courier New" w:cs="Courier New" w:eastAsia="Courier New" w:hAnsi="Courier New"/>
                <w:sz w:val="18"/>
                <w:szCs w:val="18"/>
                <w:color w:val="auto"/>
              </w:rPr>
              <w:t>Shares which may be acquired/(disposed of)</w:t>
            </w:r>
          </w:p>
        </w:tc>
        <w:tc>
          <w:tcPr>
            <w:tcW w:w="274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-200,000</w:t>
            </w:r>
          </w:p>
        </w:tc>
      </w:tr>
      <w:tr>
        <w:trPr>
          <w:trHeight w:val="203"/>
        </w:trPr>
        <w:tc>
          <w:tcPr>
            <w:tcW w:w="496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upon exercise of options</w:t>
            </w:r>
          </w:p>
        </w:tc>
        <w:tc>
          <w:tcPr>
            <w:tcW w:w="2740" w:type="dxa"/>
            <w:vAlign w:val="bottom"/>
          </w:tcPr>
          <w:p>
            <w:pPr>
              <w:spacing w:after="0"/>
              <w:rPr>
                <w:sz w:val="17"/>
                <w:szCs w:val="17"/>
                <w:color w:val="auto"/>
              </w:rPr>
            </w:pPr>
          </w:p>
        </w:tc>
      </w:tr>
      <w:tr>
        <w:trPr>
          <w:trHeight w:val="405"/>
        </w:trPr>
        <w:tc>
          <w:tcPr>
            <w:tcW w:w="4960" w:type="dxa"/>
            <w:vAlign w:val="bottom"/>
          </w:tcPr>
          <w:p>
            <w:pPr>
              <w:spacing w:after="0"/>
              <w:rPr>
                <w:sz w:val="24"/>
                <w:szCs w:val="24"/>
                <w:color w:val="auto"/>
              </w:rPr>
            </w:pP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15,288,957</w:t>
            </w:r>
          </w:p>
        </w:tc>
      </w:tr>
      <w:tr>
        <w:trPr>
          <w:trHeight w:val="203"/>
        </w:trPr>
        <w:tc>
          <w:tcPr>
            <w:tcW w:w="77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w:t>
            </w:r>
          </w:p>
        </w:tc>
        <w:tc>
          <w:tcPr>
            <w:tcW w:w="2740" w:type="dxa"/>
            <w:vAlign w:val="bottom"/>
          </w:tcPr>
          <w:p>
            <w:pPr>
              <w:spacing w:after="0"/>
              <w:rPr>
                <w:sz w:val="17"/>
                <w:szCs w:val="17"/>
                <w:color w:val="auto"/>
              </w:rPr>
            </w:pPr>
          </w:p>
        </w:tc>
      </w:tr>
      <w:tr>
        <w:trPr>
          <w:trHeight w:val="608"/>
        </w:trPr>
        <w:tc>
          <w:tcPr>
            <w:tcW w:w="496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ind w:right="1292"/>
              <w:spacing w:after="0"/>
              <w:rPr>
                <w:sz w:val="20"/>
                <w:szCs w:val="20"/>
                <w:color w:val="auto"/>
              </w:rPr>
            </w:pPr>
            <w:r>
              <w:rPr>
                <w:rFonts w:ascii="Courier New" w:cs="Courier New" w:eastAsia="Courier New" w:hAnsi="Courier New"/>
                <w:sz w:val="18"/>
                <w:szCs w:val="18"/>
                <w:color w:val="auto"/>
              </w:rPr>
              <w:t>401,410</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401,410</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15,693,897</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jc w:val="center"/>
        <w:ind w:right="3359"/>
        <w:spacing w:after="0"/>
        <w:rPr>
          <w:sz w:val="20"/>
          <w:szCs w:val="20"/>
          <w:color w:val="auto"/>
        </w:rPr>
      </w:pPr>
      <w:r>
        <w:rPr>
          <w:rFonts w:ascii="Courier New" w:cs="Courier New" w:eastAsia="Courier New" w:hAnsi="Courier New"/>
          <w:sz w:val="18"/>
          <w:szCs w:val="18"/>
          <w:color w:val="auto"/>
        </w:rPr>
        <w:t>12.9%</w:t>
      </w:r>
    </w:p>
    <w:p>
      <w:pPr>
        <w:spacing w:after="0" w:line="200" w:lineRule="exact"/>
        <w:rPr>
          <w:sz w:val="20"/>
          <w:szCs w:val="20"/>
          <w:color w:val="auto"/>
        </w:rPr>
      </w:pPr>
    </w:p>
    <w:p>
      <w:pPr>
        <w:sectPr>
          <w:pgSz w:w="11900" w:h="16838" w:orient="portrait"/>
          <w:cols w:equalWidth="0" w:num="2">
            <w:col w:w="5600" w:space="720"/>
            <w:col w:w="3899"/>
          </w:cols>
          <w:pgMar w:left="240" w:top="514" w:right="1440" w:bottom="1440" w:gutter="0" w:footer="0" w:header="0"/>
          <w:type w:val="continuous"/>
        </w:sectPr>
      </w:pPr>
    </w:p>
    <w:p>
      <w:pPr>
        <w:spacing w:after="0" w:line="7" w:lineRule="exact"/>
        <w:rPr>
          <w:sz w:val="20"/>
          <w:szCs w:val="20"/>
          <w:color w:val="auto"/>
        </w:rPr>
      </w:pPr>
    </w:p>
    <w:p>
      <w:pPr>
        <w:ind w:left="632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514" w:right="1440" w:bottom="1440" w:gutter="0" w:footer="0" w:header="0"/>
          <w:type w:val="continuous"/>
        </w:sectPr>
      </w:pPr>
    </w:p>
    <w:bookmarkStart w:id="9" w:name="page10"/>
    <w:bookmarkEnd w:id="9"/>
    <w:p>
      <w:pPr>
        <w:ind w:left="5600"/>
        <w:spacing w:after="0"/>
        <w:rPr>
          <w:sz w:val="20"/>
          <w:szCs w:val="20"/>
          <w:color w:val="auto"/>
        </w:rPr>
      </w:pPr>
      <w:r>
        <w:rPr>
          <w:rFonts w:ascii="Courier New" w:cs="Courier New" w:eastAsia="Courier New" w:hAnsi="Courier New"/>
          <w:sz w:val="16"/>
          <w:szCs w:val="16"/>
          <w:color w:val="auto"/>
        </w:rPr>
        <w:t>Page 10 of 12 Pages</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May 31, 2003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020" w:space="72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AXA Rosenberg</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1,200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1,200</w:t>
      </w:r>
    </w:p>
    <w:p>
      <w:pPr>
        <w:spacing w:after="0" w:line="4" w:lineRule="exact"/>
        <w:rPr>
          <w:sz w:val="20"/>
          <w:szCs w:val="20"/>
          <w:color w:val="auto"/>
        </w:rPr>
      </w:pPr>
    </w:p>
    <w:p>
      <w:pPr>
        <w:sectPr>
          <w:pgSz w:w="11900" w:h="16838" w:orient="portrait"/>
          <w:cols w:equalWidth="0" w:num="5">
            <w:col w:w="2340" w:space="720"/>
            <w:col w:w="1180" w:space="720"/>
            <w:col w:w="760" w:space="720"/>
            <w:col w:w="320" w:space="720"/>
            <w:col w:w="27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Investment Management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LLC</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3,652,428</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8,967,720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15,288,957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1920" w:space="720"/>
            <w:col w:w="940" w:space="540"/>
            <w:col w:w="940" w:space="420"/>
            <w:col w:w="170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64,910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401,410</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240" w:space="720"/>
            <w:col w:w="1280" w:space="720"/>
            <w:col w:w="120" w:space="720"/>
            <w:col w:w="13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3,720,868</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279" w:lineRule="auto"/>
        <w:rPr>
          <w:sz w:val="20"/>
          <w:szCs w:val="20"/>
          <w:color w:val="auto"/>
        </w:rPr>
      </w:pPr>
      <w:r>
        <w:rPr>
          <w:rFonts w:ascii="Courier New" w:cs="Courier New" w:eastAsia="Courier New" w:hAnsi="Courier New"/>
          <w:sz w:val="16"/>
          <w:szCs w:val="16"/>
          <w:color w:val="auto"/>
        </w:rPr>
        <w:t>------------ 8,967,720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spacing w:after="0" w:line="279" w:lineRule="auto"/>
        <w:rPr>
          <w:sz w:val="20"/>
          <w:szCs w:val="20"/>
          <w:color w:val="auto"/>
        </w:rPr>
      </w:pPr>
      <w:r>
        <w:rPr>
          <w:rFonts w:ascii="Courier New" w:cs="Courier New" w:eastAsia="Courier New" w:hAnsi="Courier New"/>
          <w:sz w:val="16"/>
          <w:szCs w:val="16"/>
          <w:color w:val="auto"/>
        </w:rPr>
        <w:t>------------ 15,692,697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1,200</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3039"/>
        <w:spacing w:after="0" w:line="236"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w:t>
      </w:r>
    </w:p>
    <w:p>
      <w:pPr>
        <w:spacing w:after="0" w:line="238" w:lineRule="auto"/>
        <w:rPr>
          <w:sz w:val="20"/>
          <w:szCs w:val="20"/>
          <w:color w:val="auto"/>
        </w:rPr>
      </w:pPr>
      <w:r>
        <w:rPr>
          <w:rFonts w:ascii="Courier New" w:cs="Courier New" w:eastAsia="Courier New" w:hAnsi="Courier New"/>
          <w:sz w:val="18"/>
          <w:szCs w:val="18"/>
          <w:color w:val="auto"/>
        </w:rPr>
        <w:t>Pages</w:t>
      </w: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 w:lineRule="exact"/>
        <w:rPr>
          <w:sz w:val="20"/>
          <w:szCs w:val="20"/>
          <w:color w:val="auto"/>
        </w:rPr>
      </w:pPr>
    </w:p>
    <w:p>
      <w:pPr>
        <w:ind w:left="6220" w:right="2419" w:hanging="5371"/>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 )</w:t>
      </w:r>
    </w:p>
    <w:p>
      <w:pPr>
        <w:spacing w:after="0" w:line="203"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June 6, 2003</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20" w:right="177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June 6, 2003</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2019-12-14T20:20:44Z</dcterms:created>
  <dcterms:modified xsi:type="dcterms:W3CDTF">2019-12-14T20:20:44Z</dcterms:modified>
</cp:coreProperties>
</file>