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As filed with the Securities and Exchange Commission on June 30, 2003.</w:t>
      </w:r>
    </w:p>
    <w:p>
      <w:pPr>
        <w:spacing w:after="0" w:line="225" w:lineRule="exact"/>
        <w:rPr>
          <w:sz w:val="20"/>
          <w:szCs w:val="20"/>
          <w:color w:val="auto"/>
        </w:rPr>
      </w:pPr>
    </w:p>
    <w:p>
      <w:pPr>
        <w:ind w:left="9640"/>
        <w:spacing w:after="0"/>
        <w:rPr>
          <w:sz w:val="20"/>
          <w:szCs w:val="20"/>
          <w:color w:val="auto"/>
        </w:rPr>
      </w:pPr>
      <w:r>
        <w:rPr>
          <w:rFonts w:ascii="Times New Roman" w:cs="Times New Roman" w:eastAsia="Times New Roman" w:hAnsi="Times New Roman"/>
          <w:sz w:val="18"/>
          <w:szCs w:val="18"/>
          <w:color w:val="auto"/>
        </w:rPr>
        <w:t>Registration No. 333-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7084695</wp:posOffset>
            </wp:positionH>
            <wp:positionV relativeFrom="paragraph">
              <wp:posOffset>-10160</wp:posOffset>
            </wp:positionV>
            <wp:extent cx="16700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67005" cy="8890"/>
                    </a:xfrm>
                    <a:prstGeom prst="rect">
                      <a:avLst/>
                    </a:prstGeom>
                    <a:noFill/>
                  </pic:spPr>
                </pic:pic>
              </a:graphicData>
            </a:graphic>
          </wp:anchor>
        </w:drawing>
      </w:r>
    </w:p>
    <w:p>
      <w:pPr>
        <w:spacing w:after="0" w:line="20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SECURITIES AND EXCHANGE COMMISSION</w:t>
      </w:r>
    </w:p>
    <w:p>
      <w:pPr>
        <w:spacing w:after="0" w:line="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Form S-8</w:t>
      </w:r>
    </w:p>
    <w:p>
      <w:pPr>
        <w:spacing w:after="0" w:line="25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REGISTRATION STATEMENT</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Under</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THE SECURITIES ACT OF 1933</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258" w:lineRule="exact"/>
        <w:rPr>
          <w:sz w:val="20"/>
          <w:szCs w:val="20"/>
          <w:color w:val="auto"/>
        </w:rPr>
      </w:pPr>
    </w:p>
    <w:tbl>
      <w:tblPr>
        <w:tblLayout w:type="fixed"/>
        <w:tblInd w:w="1800" w:type="dxa"/>
        <w:tblCellMar>
          <w:top w:w="0" w:type="dxa"/>
          <w:left w:w="0" w:type="dxa"/>
          <w:bottom w:w="0" w:type="dxa"/>
          <w:right w:w="0" w:type="dxa"/>
        </w:tblCellMar>
      </w:tblPr>
      <w:tr>
        <w:trPr>
          <w:trHeight w:val="228"/>
        </w:trPr>
        <w:tc>
          <w:tcPr>
            <w:tcW w:w="6060" w:type="dxa"/>
            <w:vAlign w:val="bottom"/>
          </w:tcPr>
          <w:p>
            <w:pPr>
              <w:ind w:left="2100"/>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tc>
        <w:tc>
          <w:tcPr>
            <w:tcW w:w="1640" w:type="dxa"/>
            <w:vAlign w:val="bottom"/>
          </w:tcPr>
          <w:p>
            <w:pPr>
              <w:spacing w:after="0"/>
              <w:rPr>
                <w:sz w:val="19"/>
                <w:szCs w:val="19"/>
                <w:color w:val="auto"/>
              </w:rPr>
            </w:pPr>
          </w:p>
        </w:tc>
      </w:tr>
      <w:tr>
        <w:trPr>
          <w:trHeight w:val="447"/>
        </w:trPr>
        <w:tc>
          <w:tcPr>
            <w:tcW w:w="6060" w:type="dxa"/>
            <w:vAlign w:val="bottom"/>
          </w:tcPr>
          <w:p>
            <w:pPr>
              <w:jc w:val="center"/>
              <w:ind w:right="3852"/>
              <w:spacing w:after="0"/>
              <w:rPr>
                <w:sz w:val="20"/>
                <w:szCs w:val="20"/>
                <w:color w:val="auto"/>
              </w:rPr>
            </w:pPr>
            <w:r>
              <w:rPr>
                <w:rFonts w:ascii="Times New Roman" w:cs="Times New Roman" w:eastAsia="Times New Roman" w:hAnsi="Times New Roman"/>
                <w:sz w:val="18"/>
                <w:szCs w:val="18"/>
                <w:color w:val="auto"/>
                <w:w w:val="96"/>
              </w:rPr>
              <w:t>Bermuda</w:t>
            </w:r>
          </w:p>
        </w:tc>
        <w:tc>
          <w:tcPr>
            <w:tcW w:w="1640" w:type="dxa"/>
            <w:vAlign w:val="bottom"/>
          </w:tcPr>
          <w:p>
            <w:pPr>
              <w:jc w:val="center"/>
              <w:ind w:left="252"/>
              <w:spacing w:after="0"/>
              <w:rPr>
                <w:sz w:val="20"/>
                <w:szCs w:val="20"/>
                <w:color w:val="auto"/>
              </w:rPr>
            </w:pPr>
            <w:r>
              <w:rPr>
                <w:rFonts w:ascii="Times New Roman" w:cs="Times New Roman" w:eastAsia="Times New Roman" w:hAnsi="Times New Roman"/>
                <w:sz w:val="18"/>
                <w:szCs w:val="18"/>
                <w:color w:val="auto"/>
                <w:w w:val="98"/>
              </w:rPr>
              <w:t>77-0481679</w:t>
            </w:r>
          </w:p>
        </w:tc>
      </w:tr>
      <w:tr>
        <w:trPr>
          <w:trHeight w:val="216"/>
        </w:trPr>
        <w:tc>
          <w:tcPr>
            <w:tcW w:w="6060" w:type="dxa"/>
            <w:vAlign w:val="bottom"/>
          </w:tcPr>
          <w:p>
            <w:pPr>
              <w:jc w:val="center"/>
              <w:ind w:right="3852"/>
              <w:spacing w:after="0"/>
              <w:rPr>
                <w:sz w:val="20"/>
                <w:szCs w:val="20"/>
                <w:color w:val="auto"/>
              </w:rPr>
            </w:pPr>
            <w:r>
              <w:rPr>
                <w:rFonts w:ascii="Times New Roman" w:cs="Times New Roman" w:eastAsia="Times New Roman" w:hAnsi="Times New Roman"/>
                <w:sz w:val="18"/>
                <w:szCs w:val="18"/>
                <w:color w:val="auto"/>
                <w:w w:val="97"/>
              </w:rPr>
              <w:t>(State or other jurisdiction of</w:t>
            </w:r>
          </w:p>
        </w:tc>
        <w:tc>
          <w:tcPr>
            <w:tcW w:w="1640" w:type="dxa"/>
            <w:vAlign w:val="bottom"/>
          </w:tcPr>
          <w:p>
            <w:pPr>
              <w:jc w:val="center"/>
              <w:ind w:left="272"/>
              <w:spacing w:after="0"/>
              <w:rPr>
                <w:sz w:val="20"/>
                <w:szCs w:val="20"/>
                <w:color w:val="auto"/>
              </w:rPr>
            </w:pPr>
            <w:r>
              <w:rPr>
                <w:rFonts w:ascii="Times New Roman" w:cs="Times New Roman" w:eastAsia="Times New Roman" w:hAnsi="Times New Roman"/>
                <w:sz w:val="18"/>
                <w:szCs w:val="18"/>
                <w:color w:val="auto"/>
                <w:w w:val="97"/>
              </w:rPr>
              <w:t>(I.R.S. Employer</w:t>
            </w:r>
          </w:p>
        </w:tc>
      </w:tr>
      <w:tr>
        <w:trPr>
          <w:trHeight w:val="228"/>
        </w:trPr>
        <w:tc>
          <w:tcPr>
            <w:tcW w:w="6060" w:type="dxa"/>
            <w:vAlign w:val="bottom"/>
          </w:tcPr>
          <w:p>
            <w:pPr>
              <w:jc w:val="center"/>
              <w:ind w:right="3852"/>
              <w:spacing w:after="0"/>
              <w:rPr>
                <w:sz w:val="20"/>
                <w:szCs w:val="20"/>
                <w:color w:val="auto"/>
              </w:rPr>
            </w:pPr>
            <w:r>
              <w:rPr>
                <w:rFonts w:ascii="Times New Roman" w:cs="Times New Roman" w:eastAsia="Times New Roman" w:hAnsi="Times New Roman"/>
                <w:sz w:val="18"/>
                <w:szCs w:val="18"/>
                <w:color w:val="auto"/>
                <w:w w:val="97"/>
              </w:rPr>
              <w:t>incorporation or organization)</w:t>
            </w:r>
          </w:p>
        </w:tc>
        <w:tc>
          <w:tcPr>
            <w:tcW w:w="1640" w:type="dxa"/>
            <w:vAlign w:val="bottom"/>
          </w:tcPr>
          <w:p>
            <w:pPr>
              <w:jc w:val="center"/>
              <w:ind w:left="252"/>
              <w:spacing w:after="0"/>
              <w:rPr>
                <w:sz w:val="20"/>
                <w:szCs w:val="20"/>
                <w:color w:val="auto"/>
              </w:rPr>
            </w:pPr>
            <w:r>
              <w:rPr>
                <w:rFonts w:ascii="Times New Roman" w:cs="Times New Roman" w:eastAsia="Times New Roman" w:hAnsi="Times New Roman"/>
                <w:sz w:val="18"/>
                <w:szCs w:val="18"/>
                <w:color w:val="auto"/>
                <w:w w:val="96"/>
              </w:rPr>
              <w:t>Identification No.)</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69850</wp:posOffset>
            </wp:positionV>
            <wp:extent cx="132905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1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4th Floor</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Windsor Place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Queen Street</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P.O. Box HM 1179</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EX</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color w:val="auto"/>
        </w:rPr>
        <w:t>(Address of principal executive officers and telephone numbers)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62230</wp:posOffset>
            </wp:positionV>
            <wp:extent cx="132905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18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Options Assumed by Marvell Technology Group Ltd. Originally Granted Under</w:t>
      </w:r>
    </w:p>
    <w:p>
      <w:pPr>
        <w:spacing w:after="0" w:line="23" w:lineRule="exact"/>
        <w:rPr>
          <w:sz w:val="20"/>
          <w:szCs w:val="20"/>
          <w:color w:val="auto"/>
        </w:rPr>
      </w:pPr>
    </w:p>
    <w:p>
      <w:pPr>
        <w:jc w:val="center"/>
        <w:spacing w:after="0" w:line="250" w:lineRule="auto"/>
        <w:rPr>
          <w:sz w:val="20"/>
          <w:szCs w:val="20"/>
          <w:color w:val="auto"/>
        </w:rPr>
      </w:pPr>
      <w:r>
        <w:rPr>
          <w:rFonts w:ascii="Times New Roman" w:cs="Times New Roman" w:eastAsia="Times New Roman" w:hAnsi="Times New Roman"/>
          <w:sz w:val="18"/>
          <w:szCs w:val="18"/>
          <w:b w:val="1"/>
          <w:bCs w:val="1"/>
          <w:color w:val="auto"/>
        </w:rPr>
        <w:t>the Radlan Computer Communications Ltd. Key Employee Share Incentive Plan (2002), the Radlan Computer Communications Ltd. Key Employee Share Incentive Plan (1998) and the Radlan Computer Communications Ltd. 2003 Stock Option Plan</w:t>
      </w:r>
    </w:p>
    <w:p>
      <w:pPr>
        <w:spacing w:after="0" w:line="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(Full title of the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75565</wp:posOffset>
            </wp:positionV>
            <wp:extent cx="132905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Matthew Gloss</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(408) 222-2500</w:t>
      </w:r>
    </w:p>
    <w:p>
      <w:pPr>
        <w:spacing w:after="0" w:line="2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(Name, Address, including Zip Code, and Telephone Number, including Area Code,</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of Agent for Service)</w:t>
      </w:r>
    </w:p>
    <w:p>
      <w:pPr>
        <w:spacing w:after="0" w:line="2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CALCULATION OF REGISTRATION FEE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5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40" w:type="dxa"/>
            <w:vAlign w:val="bottom"/>
          </w:tcPr>
          <w:p>
            <w:pPr>
              <w:spacing w:after="0"/>
              <w:rPr>
                <w:sz w:val="13"/>
                <w:szCs w:val="13"/>
                <w:color w:val="auto"/>
              </w:rPr>
            </w:pPr>
          </w:p>
        </w:tc>
        <w:tc>
          <w:tcPr>
            <w:tcW w:w="44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940" w:type="dxa"/>
            <w:vAlign w:val="bottom"/>
          </w:tcPr>
          <w:p>
            <w:pPr>
              <w:jc w:val="center"/>
              <w:ind w:right="67"/>
              <w:spacing w:after="0"/>
              <w:rPr>
                <w:sz w:val="20"/>
                <w:szCs w:val="20"/>
                <w:color w:val="auto"/>
              </w:rPr>
            </w:pPr>
            <w:r>
              <w:rPr>
                <w:rFonts w:ascii="Times New Roman" w:cs="Times New Roman" w:eastAsia="Times New Roman" w:hAnsi="Times New Roman"/>
                <w:sz w:val="14"/>
                <w:szCs w:val="14"/>
                <w:b w:val="1"/>
                <w:bCs w:val="1"/>
                <w:color w:val="auto"/>
                <w:w w:val="95"/>
              </w:rPr>
              <w:t>Proposed Maximum</w:t>
            </w:r>
          </w:p>
        </w:tc>
        <w:tc>
          <w:tcPr>
            <w:tcW w:w="20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5"/>
              </w:rPr>
              <w:t>Proposed Maximum</w:t>
            </w:r>
          </w:p>
        </w:tc>
        <w:tc>
          <w:tcPr>
            <w:tcW w:w="1360" w:type="dxa"/>
            <w:vAlign w:val="bottom"/>
          </w:tcPr>
          <w:p>
            <w:pPr>
              <w:spacing w:after="0"/>
              <w:rPr>
                <w:sz w:val="13"/>
                <w:szCs w:val="13"/>
                <w:color w:val="auto"/>
              </w:rPr>
            </w:pPr>
          </w:p>
        </w:tc>
      </w:tr>
      <w:tr>
        <w:trPr>
          <w:trHeight w:val="149"/>
        </w:trPr>
        <w:tc>
          <w:tcPr>
            <w:tcW w:w="140" w:type="dxa"/>
            <w:vAlign w:val="bottom"/>
          </w:tcPr>
          <w:p>
            <w:pPr>
              <w:spacing w:after="0"/>
              <w:rPr>
                <w:sz w:val="12"/>
                <w:szCs w:val="12"/>
                <w:color w:val="auto"/>
              </w:rPr>
            </w:pPr>
          </w:p>
        </w:tc>
        <w:tc>
          <w:tcPr>
            <w:tcW w:w="4440" w:type="dxa"/>
            <w:vAlign w:val="bottom"/>
          </w:tcPr>
          <w:p>
            <w:pPr>
              <w:ind w:left="660"/>
              <w:spacing w:after="0" w:line="149" w:lineRule="exact"/>
              <w:rPr>
                <w:sz w:val="20"/>
                <w:szCs w:val="20"/>
                <w:color w:val="auto"/>
              </w:rPr>
            </w:pPr>
            <w:r>
              <w:rPr>
                <w:rFonts w:ascii="Times New Roman" w:cs="Times New Roman" w:eastAsia="Times New Roman" w:hAnsi="Times New Roman"/>
                <w:sz w:val="14"/>
                <w:szCs w:val="14"/>
                <w:b w:val="1"/>
                <w:bCs w:val="1"/>
                <w:color w:val="auto"/>
              </w:rPr>
              <w:t>Title of Securities</w:t>
            </w:r>
          </w:p>
        </w:tc>
        <w:tc>
          <w:tcPr>
            <w:tcW w:w="15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2"/>
              </w:rPr>
              <w:t>Amount To</w:t>
            </w:r>
          </w:p>
        </w:tc>
        <w:tc>
          <w:tcPr>
            <w:tcW w:w="1940" w:type="dxa"/>
            <w:vAlign w:val="bottom"/>
          </w:tcPr>
          <w:p>
            <w:pPr>
              <w:jc w:val="center"/>
              <w:ind w:right="67"/>
              <w:spacing w:after="0" w:line="149" w:lineRule="exact"/>
              <w:rPr>
                <w:sz w:val="20"/>
                <w:szCs w:val="20"/>
                <w:color w:val="auto"/>
              </w:rPr>
            </w:pPr>
            <w:r>
              <w:rPr>
                <w:rFonts w:ascii="Times New Roman" w:cs="Times New Roman" w:eastAsia="Times New Roman" w:hAnsi="Times New Roman"/>
                <w:sz w:val="14"/>
                <w:szCs w:val="14"/>
                <w:b w:val="1"/>
                <w:bCs w:val="1"/>
                <w:color w:val="auto"/>
                <w:w w:val="97"/>
              </w:rPr>
              <w:t>Offering Price</w:t>
            </w:r>
          </w:p>
        </w:tc>
        <w:tc>
          <w:tcPr>
            <w:tcW w:w="20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6"/>
              </w:rPr>
              <w:t>Aggregate Offering</w:t>
            </w:r>
          </w:p>
        </w:tc>
        <w:tc>
          <w:tcPr>
            <w:tcW w:w="1360" w:type="dxa"/>
            <w:vAlign w:val="bottom"/>
          </w:tcPr>
          <w:p>
            <w:pPr>
              <w:jc w:val="center"/>
              <w:ind w:left="306"/>
              <w:spacing w:after="0" w:line="149" w:lineRule="exact"/>
              <w:rPr>
                <w:sz w:val="20"/>
                <w:szCs w:val="20"/>
                <w:color w:val="auto"/>
              </w:rPr>
            </w:pPr>
            <w:r>
              <w:rPr>
                <w:rFonts w:ascii="Times New Roman" w:cs="Times New Roman" w:eastAsia="Times New Roman" w:hAnsi="Times New Roman"/>
                <w:sz w:val="14"/>
                <w:szCs w:val="14"/>
                <w:b w:val="1"/>
                <w:bCs w:val="1"/>
                <w:color w:val="auto"/>
                <w:w w:val="96"/>
              </w:rPr>
              <w:t>Amount of</w:t>
            </w:r>
          </w:p>
        </w:tc>
      </w:tr>
      <w:tr>
        <w:trPr>
          <w:trHeight w:val="178"/>
        </w:trPr>
        <w:tc>
          <w:tcPr>
            <w:tcW w:w="140" w:type="dxa"/>
            <w:vAlign w:val="bottom"/>
          </w:tcPr>
          <w:p>
            <w:pPr>
              <w:spacing w:after="0"/>
              <w:rPr>
                <w:sz w:val="15"/>
                <w:szCs w:val="15"/>
                <w:color w:val="auto"/>
              </w:rPr>
            </w:pPr>
          </w:p>
        </w:tc>
        <w:tc>
          <w:tcPr>
            <w:tcW w:w="4440" w:type="dxa"/>
            <w:vAlign w:val="bottom"/>
          </w:tcPr>
          <w:p>
            <w:pPr>
              <w:ind w:left="680"/>
              <w:spacing w:after="0"/>
              <w:rPr>
                <w:sz w:val="20"/>
                <w:szCs w:val="20"/>
                <w:color w:val="auto"/>
              </w:rPr>
            </w:pPr>
            <w:r>
              <w:rPr>
                <w:rFonts w:ascii="Times New Roman" w:cs="Times New Roman" w:eastAsia="Times New Roman" w:hAnsi="Times New Roman"/>
                <w:sz w:val="14"/>
                <w:szCs w:val="14"/>
                <w:b w:val="1"/>
                <w:bCs w:val="1"/>
                <w:color w:val="auto"/>
              </w:rPr>
              <w:t>To Be Registered</w:t>
            </w:r>
          </w:p>
        </w:tc>
        <w:tc>
          <w:tcPr>
            <w:tcW w:w="15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6"/>
              </w:rPr>
              <w:t>Be Registered(1)</w:t>
            </w:r>
          </w:p>
        </w:tc>
        <w:tc>
          <w:tcPr>
            <w:tcW w:w="1940" w:type="dxa"/>
            <w:vAlign w:val="bottom"/>
          </w:tcPr>
          <w:p>
            <w:pPr>
              <w:jc w:val="center"/>
              <w:ind w:right="67"/>
              <w:spacing w:after="0"/>
              <w:rPr>
                <w:sz w:val="20"/>
                <w:szCs w:val="20"/>
                <w:color w:val="auto"/>
              </w:rPr>
            </w:pPr>
            <w:r>
              <w:rPr>
                <w:rFonts w:ascii="Times New Roman" w:cs="Times New Roman" w:eastAsia="Times New Roman" w:hAnsi="Times New Roman"/>
                <w:sz w:val="14"/>
                <w:szCs w:val="14"/>
                <w:b w:val="1"/>
                <w:bCs w:val="1"/>
                <w:color w:val="auto"/>
                <w:w w:val="95"/>
              </w:rPr>
              <w:t>per Share(2)</w:t>
            </w:r>
          </w:p>
        </w:tc>
        <w:tc>
          <w:tcPr>
            <w:tcW w:w="20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6"/>
              </w:rPr>
              <w:t>Price(2)</w:t>
            </w:r>
          </w:p>
        </w:tc>
        <w:tc>
          <w:tcPr>
            <w:tcW w:w="1360" w:type="dxa"/>
            <w:vAlign w:val="bottom"/>
          </w:tcPr>
          <w:p>
            <w:pPr>
              <w:jc w:val="center"/>
              <w:ind w:left="306"/>
              <w:spacing w:after="0"/>
              <w:rPr>
                <w:sz w:val="20"/>
                <w:szCs w:val="20"/>
                <w:color w:val="auto"/>
              </w:rPr>
            </w:pPr>
            <w:r>
              <w:rPr>
                <w:rFonts w:ascii="Times New Roman" w:cs="Times New Roman" w:eastAsia="Times New Roman" w:hAnsi="Times New Roman"/>
                <w:sz w:val="14"/>
                <w:szCs w:val="14"/>
                <w:b w:val="1"/>
                <w:bCs w:val="1"/>
                <w:color w:val="auto"/>
                <w:w w:val="95"/>
              </w:rPr>
              <w:t>Registration Fee</w:t>
            </w:r>
          </w:p>
        </w:tc>
      </w:tr>
      <w:tr>
        <w:trPr>
          <w:trHeight w:val="95"/>
        </w:trPr>
        <w:tc>
          <w:tcPr>
            <w:tcW w:w="140" w:type="dxa"/>
            <w:vAlign w:val="bottom"/>
          </w:tcPr>
          <w:p>
            <w:pPr>
              <w:spacing w:after="0"/>
              <w:rPr>
                <w:sz w:val="8"/>
                <w:szCs w:val="8"/>
                <w:color w:val="auto"/>
              </w:rPr>
            </w:pPr>
          </w:p>
        </w:tc>
        <w:tc>
          <w:tcPr>
            <w:tcW w:w="4440" w:type="dxa"/>
            <w:vAlign w:val="bottom"/>
            <w:tcBorders>
              <w:bottom w:val="single" w:sz="8" w:color="808080"/>
            </w:tcBorders>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1940" w:type="dxa"/>
            <w:vAlign w:val="bottom"/>
            <w:tcBorders>
              <w:bottom w:val="single" w:sz="8" w:color="808080"/>
            </w:tcBorders>
          </w:tcPr>
          <w:p>
            <w:pPr>
              <w:spacing w:after="0"/>
              <w:rPr>
                <w:sz w:val="8"/>
                <w:szCs w:val="8"/>
                <w:color w:val="auto"/>
              </w:rPr>
            </w:pPr>
          </w:p>
        </w:tc>
        <w:tc>
          <w:tcPr>
            <w:tcW w:w="2020" w:type="dxa"/>
            <w:vAlign w:val="bottom"/>
            <w:tcBorders>
              <w:bottom w:val="single" w:sz="8" w:color="808080"/>
            </w:tcBorders>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r>
      <w:tr>
        <w:trPr>
          <w:trHeight w:val="303"/>
        </w:trPr>
        <w:tc>
          <w:tcPr>
            <w:tcW w:w="45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Common Stock, $.002 par value per share: to be issued under</w:t>
            </w:r>
          </w:p>
        </w:tc>
        <w:tc>
          <w:tcPr>
            <w:tcW w:w="152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360" w:type="dxa"/>
            <w:vAlign w:val="bottom"/>
          </w:tcPr>
          <w:p>
            <w:pPr>
              <w:spacing w:after="0"/>
              <w:rPr>
                <w:sz w:val="24"/>
                <w:szCs w:val="24"/>
                <w:color w:val="auto"/>
              </w:rPr>
            </w:pPr>
          </w:p>
        </w:tc>
      </w:tr>
      <w:tr>
        <w:trPr>
          <w:trHeight w:val="228"/>
        </w:trPr>
        <w:tc>
          <w:tcPr>
            <w:tcW w:w="140" w:type="dxa"/>
            <w:vAlign w:val="bottom"/>
          </w:tcPr>
          <w:p>
            <w:pPr>
              <w:spacing w:after="0"/>
              <w:rPr>
                <w:sz w:val="19"/>
                <w:szCs w:val="19"/>
                <w:color w:val="auto"/>
              </w:rPr>
            </w:pPr>
          </w:p>
        </w:tc>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stock option grants to certain employees (2)</w:t>
            </w:r>
          </w:p>
        </w:tc>
        <w:tc>
          <w:tcPr>
            <w:tcW w:w="15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321,963</w:t>
            </w:r>
          </w:p>
        </w:tc>
        <w:tc>
          <w:tcPr>
            <w:tcW w:w="1940" w:type="dxa"/>
            <w:vAlign w:val="bottom"/>
          </w:tcPr>
          <w:p>
            <w:pPr>
              <w:jc w:val="right"/>
              <w:ind w:right="767"/>
              <w:spacing w:after="0"/>
              <w:rPr>
                <w:sz w:val="20"/>
                <w:szCs w:val="20"/>
                <w:color w:val="auto"/>
              </w:rPr>
            </w:pPr>
            <w:r>
              <w:rPr>
                <w:rFonts w:ascii="Times New Roman" w:cs="Times New Roman" w:eastAsia="Times New Roman" w:hAnsi="Times New Roman"/>
                <w:sz w:val="18"/>
                <w:szCs w:val="18"/>
                <w:color w:val="auto"/>
              </w:rPr>
              <w:t>$31.49</w:t>
            </w:r>
          </w:p>
        </w:tc>
        <w:tc>
          <w:tcPr>
            <w:tcW w:w="2020" w:type="dxa"/>
            <w:vAlign w:val="bottom"/>
          </w:tcPr>
          <w:p>
            <w:pPr>
              <w:jc w:val="right"/>
              <w:ind w:right="507"/>
              <w:spacing w:after="0"/>
              <w:rPr>
                <w:sz w:val="20"/>
                <w:szCs w:val="20"/>
                <w:color w:val="auto"/>
              </w:rPr>
            </w:pPr>
            <w:r>
              <w:rPr>
                <w:rFonts w:ascii="Times New Roman" w:cs="Times New Roman" w:eastAsia="Times New Roman" w:hAnsi="Times New Roman"/>
                <w:sz w:val="18"/>
                <w:szCs w:val="18"/>
                <w:color w:val="auto"/>
              </w:rPr>
              <w:t>$10,138,615</w:t>
            </w:r>
          </w:p>
        </w:tc>
        <w:tc>
          <w:tcPr>
            <w:tcW w:w="1360" w:type="dxa"/>
            <w:vAlign w:val="bottom"/>
          </w:tcPr>
          <w:p>
            <w:pPr>
              <w:jc w:val="right"/>
              <w:ind w:right="406"/>
              <w:spacing w:after="0"/>
              <w:rPr>
                <w:sz w:val="20"/>
                <w:szCs w:val="20"/>
                <w:color w:val="auto"/>
              </w:rPr>
            </w:pPr>
            <w:r>
              <w:rPr>
                <w:rFonts w:ascii="Times New Roman" w:cs="Times New Roman" w:eastAsia="Times New Roman" w:hAnsi="Times New Roman"/>
                <w:sz w:val="18"/>
                <w:szCs w:val="18"/>
                <w:color w:val="auto"/>
              </w:rPr>
              <w:t>$821</w:t>
            </w:r>
          </w:p>
        </w:tc>
      </w:tr>
      <w:tr>
        <w:trPr>
          <w:trHeight w:val="110"/>
        </w:trPr>
        <w:tc>
          <w:tcPr>
            <w:tcW w:w="140" w:type="dxa"/>
            <w:vAlign w:val="bottom"/>
          </w:tcPr>
          <w:p>
            <w:pPr>
              <w:spacing w:after="0"/>
              <w:rPr>
                <w:sz w:val="9"/>
                <w:szCs w:val="9"/>
                <w:color w:val="auto"/>
              </w:rPr>
            </w:pPr>
          </w:p>
        </w:tc>
        <w:tc>
          <w:tcPr>
            <w:tcW w:w="4440" w:type="dxa"/>
            <w:vAlign w:val="bottom"/>
            <w:tcBorders>
              <w:bottom w:val="single" w:sz="8" w:color="808080"/>
            </w:tcBorders>
          </w:tcPr>
          <w:p>
            <w:pPr>
              <w:spacing w:after="0"/>
              <w:rPr>
                <w:sz w:val="9"/>
                <w:szCs w:val="9"/>
                <w:color w:val="auto"/>
              </w:rPr>
            </w:pPr>
          </w:p>
        </w:tc>
        <w:tc>
          <w:tcPr>
            <w:tcW w:w="1520" w:type="dxa"/>
            <w:vAlign w:val="bottom"/>
            <w:tcBorders>
              <w:bottom w:val="single" w:sz="8" w:color="808080"/>
            </w:tcBorders>
          </w:tcPr>
          <w:p>
            <w:pPr>
              <w:spacing w:after="0"/>
              <w:rPr>
                <w:sz w:val="9"/>
                <w:szCs w:val="9"/>
                <w:color w:val="auto"/>
              </w:rPr>
            </w:pPr>
          </w:p>
        </w:tc>
        <w:tc>
          <w:tcPr>
            <w:tcW w:w="1940" w:type="dxa"/>
            <w:vAlign w:val="bottom"/>
            <w:tcBorders>
              <w:bottom w:val="single" w:sz="8" w:color="808080"/>
            </w:tcBorders>
          </w:tcPr>
          <w:p>
            <w:pPr>
              <w:spacing w:after="0"/>
              <w:rPr>
                <w:sz w:val="9"/>
                <w:szCs w:val="9"/>
                <w:color w:val="auto"/>
              </w:rPr>
            </w:pPr>
          </w:p>
        </w:tc>
        <w:tc>
          <w:tcPr>
            <w:tcW w:w="202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r>
    </w:tbl>
    <w:p>
      <w:pPr>
        <w:spacing w:after="0" w:line="310" w:lineRule="exact"/>
        <w:rPr>
          <w:sz w:val="20"/>
          <w:szCs w:val="20"/>
          <w:color w:val="auto"/>
        </w:rPr>
      </w:pPr>
    </w:p>
    <w:p>
      <w:pPr>
        <w:ind w:left="540" w:right="120" w:hanging="532"/>
        <w:spacing w:after="0" w:line="27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Rule 416(a) of the Securities Act of 1933 this Registration Statement also covers shares issued pursuant to antidilution provisions set forth in the option agreements.</w:t>
      </w:r>
    </w:p>
    <w:p>
      <w:pPr>
        <w:spacing w:after="0" w:line="173" w:lineRule="exact"/>
        <w:rPr>
          <w:rFonts w:ascii="Times New Roman" w:cs="Times New Roman" w:eastAsia="Times New Roman" w:hAnsi="Times New Roman"/>
          <w:sz w:val="18"/>
          <w:szCs w:val="18"/>
          <w:color w:val="auto"/>
        </w:rPr>
      </w:pPr>
    </w:p>
    <w:p>
      <w:pPr>
        <w:ind w:left="540" w:right="120" w:hanging="532"/>
        <w:spacing w:after="0" w:line="262"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solely for the purposes of calculating the amount of the registration fee pursuant to Rule 457(c) and Rule 457(h) under the Securities Act of 1933, as amended, based upon the average of the high and low sale prices of the Registrant’s Common Stock on the Nasdaq National Market on June 24,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127635</wp:posOffset>
            </wp:positionV>
            <wp:extent cx="13290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3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Registration Statement shall become effective upon filing in accordance with Rule 462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570230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8" w:right="239" w:bottom="869" w:gutter="0" w:footer="0" w:header="0"/>
        </w:sectPr>
      </w:pPr>
    </w:p>
    <w:bookmarkStart w:id="2" w:name="page3"/>
    <w:bookmarkEnd w:id="2"/>
    <w:p>
      <w:pPr>
        <w:ind w:left="3980"/>
        <w:spacing w:after="0"/>
        <w:rPr>
          <w:sz w:val="20"/>
          <w:szCs w:val="20"/>
          <w:color w:val="auto"/>
        </w:rPr>
      </w:pPr>
      <w:r>
        <w:rPr>
          <w:rFonts w:ascii="Times New Roman" w:cs="Times New Roman" w:eastAsia="Times New Roman" w:hAnsi="Times New Roman"/>
          <w:sz w:val="22"/>
          <w:szCs w:val="22"/>
          <w:b w:val="1"/>
          <w:bCs w:val="1"/>
          <w:u w:val="single" w:color="auto"/>
          <w:color w:val="auto"/>
        </w:rPr>
        <w:t>TABLE OF CONTENTS</w:t>
      </w:r>
    </w:p>
    <w:p>
      <w:pPr>
        <w:spacing w:after="0" w:line="211" w:lineRule="exact"/>
        <w:rPr>
          <w:sz w:val="20"/>
          <w:szCs w:val="20"/>
          <w:color w:val="auto"/>
        </w:rPr>
      </w:pPr>
    </w:p>
    <w:p>
      <w:pPr>
        <w:ind w:left="320"/>
        <w:spacing w:after="0"/>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1. Plan Information.*</w:t>
        </w:r>
      </w:hyperlink>
    </w:p>
    <w:p>
      <w:pPr>
        <w:spacing w:after="0" w:line="14" w:lineRule="exact"/>
        <w:rPr>
          <w:sz w:val="20"/>
          <w:szCs w:val="20"/>
          <w:color w:val="auto"/>
        </w:rPr>
      </w:pPr>
    </w:p>
    <w:p>
      <w:pPr>
        <w:ind w:left="320"/>
        <w:spacing w:after="0"/>
        <w:rPr>
          <w:rFonts w:ascii="Times New Roman" w:cs="Times New Roman" w:eastAsia="Times New Roman" w:hAnsi="Times New Roman"/>
          <w:sz w:val="21"/>
          <w:szCs w:val="21"/>
          <w:u w:val="single" w:color="auto"/>
          <w:color w:val="0000EE"/>
        </w:rPr>
      </w:pPr>
      <w:hyperlink w:anchor="page4">
        <w:r>
          <w:rPr>
            <w:rFonts w:ascii="Times New Roman" w:cs="Times New Roman" w:eastAsia="Times New Roman" w:hAnsi="Times New Roman"/>
            <w:sz w:val="21"/>
            <w:szCs w:val="21"/>
            <w:u w:val="single" w:color="auto"/>
            <w:color w:val="0000EE"/>
          </w:rPr>
          <w:t>Item 2. Registrant Information and Employee Plan Annual Information.*</w:t>
        </w:r>
      </w:hyperlink>
    </w:p>
    <w:p>
      <w:pPr>
        <w:spacing w:after="0" w:line="232" w:lineRule="auto"/>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PART II</w:t>
        </w:r>
      </w:hyperlink>
    </w:p>
    <w:p>
      <w:pPr>
        <w:ind w:left="320" w:right="3339" w:hanging="310"/>
        <w:spacing w:after="0" w:line="241" w:lineRule="auto"/>
        <w:rPr>
          <w:rFonts w:ascii="Times New Roman" w:cs="Times New Roman" w:eastAsia="Times New Roman" w:hAnsi="Times New Roman"/>
          <w:sz w:val="21"/>
          <w:szCs w:val="21"/>
          <w:u w:val="single" w:color="auto"/>
          <w:color w:val="0000EE"/>
        </w:rPr>
      </w:pPr>
      <w:hyperlink w:anchor="page4">
        <w:r>
          <w:rPr>
            <w:rFonts w:ascii="Times New Roman" w:cs="Times New Roman" w:eastAsia="Times New Roman" w:hAnsi="Times New Roman"/>
            <w:sz w:val="21"/>
            <w:szCs w:val="21"/>
            <w:u w:val="single" w:color="auto"/>
            <w:color w:val="0000EE"/>
          </w:rPr>
          <w:t>INFORMATION REQUIRED IN THE REGISTRATION STATEMENT</w:t>
        </w:r>
      </w:hyperlink>
      <w:r>
        <w:rPr>
          <w:rFonts w:ascii="Times New Roman" w:cs="Times New Roman" w:eastAsia="Times New Roman" w:hAnsi="Times New Roman"/>
          <w:sz w:val="21"/>
          <w:szCs w:val="21"/>
          <w:u w:val="single" w:color="auto"/>
          <w:color w:val="0000EE"/>
        </w:rPr>
        <w:t xml:space="preserve"> </w:t>
      </w:r>
      <w:hyperlink w:anchor="page4">
        <w:r>
          <w:rPr>
            <w:rFonts w:ascii="Times New Roman" w:cs="Times New Roman" w:eastAsia="Times New Roman" w:hAnsi="Times New Roman"/>
            <w:sz w:val="21"/>
            <w:szCs w:val="21"/>
            <w:u w:val="single" w:color="auto"/>
            <w:color w:val="0000EE"/>
          </w:rPr>
          <w:t>Item 3. Incorporation of Certain Documents by Reference.</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4. Description of Securities.</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5. Interests of Named Experts and Counsel.</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4">
        <w:r>
          <w:rPr>
            <w:rFonts w:ascii="Times New Roman" w:cs="Times New Roman" w:eastAsia="Times New Roman" w:hAnsi="Times New Roman"/>
            <w:sz w:val="22"/>
            <w:szCs w:val="22"/>
            <w:u w:val="single" w:color="auto"/>
            <w:color w:val="0000EE"/>
          </w:rPr>
          <w:t>Item 6. Indemnification of Directors and Officers.</w:t>
        </w:r>
      </w:hyperlink>
    </w:p>
    <w:p>
      <w:pPr>
        <w:ind w:left="320"/>
        <w:spacing w:after="0" w:line="230"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Item 7. Exemptions from Registration Claimed.</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Item 8. Exhibits.</w:t>
        </w:r>
      </w:hyperlink>
    </w:p>
    <w:p>
      <w:pPr>
        <w:ind w:left="320"/>
        <w:spacing w:after="0" w:line="230"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Item 9. Undertakings.</w:t>
        </w:r>
      </w:hyperlink>
    </w:p>
    <w:p>
      <w:pPr>
        <w:spacing w:after="0" w:line="231" w:lineRule="auto"/>
        <w:rPr>
          <w:rFonts w:ascii="Times New Roman" w:cs="Times New Roman" w:eastAsia="Times New Roman" w:hAnsi="Times New Roman"/>
          <w:sz w:val="22"/>
          <w:szCs w:val="22"/>
          <w:u w:val="single" w:color="auto"/>
          <w:color w:val="0000EE"/>
        </w:rPr>
      </w:pPr>
      <w:hyperlink w:anchor="page7">
        <w:r>
          <w:rPr>
            <w:rFonts w:ascii="Times New Roman" w:cs="Times New Roman" w:eastAsia="Times New Roman" w:hAnsi="Times New Roman"/>
            <w:sz w:val="22"/>
            <w:szCs w:val="22"/>
            <w:u w:val="single" w:color="auto"/>
            <w:color w:val="0000EE"/>
          </w:rPr>
          <w:t>SIGNATURES</w:t>
        </w:r>
      </w:hyperlink>
    </w:p>
    <w:p>
      <w:pPr>
        <w:spacing w:after="0" w:line="231" w:lineRule="auto"/>
        <w:rPr>
          <w:rFonts w:ascii="Times New Roman" w:cs="Times New Roman" w:eastAsia="Times New Roman" w:hAnsi="Times New Roman"/>
          <w:sz w:val="22"/>
          <w:szCs w:val="22"/>
          <w:u w:val="single" w:color="auto"/>
          <w:color w:val="0000EE"/>
        </w:rPr>
      </w:pPr>
      <w:hyperlink w:anchor="page9">
        <w:r>
          <w:rPr>
            <w:rFonts w:ascii="Times New Roman" w:cs="Times New Roman" w:eastAsia="Times New Roman" w:hAnsi="Times New Roman"/>
            <w:sz w:val="22"/>
            <w:szCs w:val="22"/>
            <w:u w:val="single" w:color="auto"/>
            <w:color w:val="0000EE"/>
          </w:rPr>
          <w:t>EXHIBIT INDEX</w:t>
        </w:r>
      </w:hyperlink>
    </w:p>
    <w:p>
      <w:pPr>
        <w:spacing w:after="0" w:line="230" w:lineRule="auto"/>
        <w:rPr>
          <w:sz w:val="20"/>
          <w:szCs w:val="20"/>
          <w:color w:val="auto"/>
        </w:rPr>
      </w:pPr>
      <w:r>
        <w:rPr>
          <w:rFonts w:ascii="Times New Roman" w:cs="Times New Roman" w:eastAsia="Times New Roman" w:hAnsi="Times New Roman"/>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08" w:right="1440" w:bottom="1440" w:gutter="0" w:footer="0" w:header="0"/>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Marvell Technology Group Ltd. (the “Registrant”) acquired all of the issued and outstanding capital stock of Radlan Computer Communication Ltd. (“Radlan”) pursuant to a Share Purchase Agreement, among the Registrant and Radlan. The shares to be registered hereunder are issuable pursuant to options assumed by the Registrant that were originally granted under the Radlan Computer Communication Ltd. Key Employee Share Incentive Plan (2002), Radlan Computer Communication Ltd. Key Employee Share Incentive Plan (1998) and the Radlan Computer Communication Ltd. 2003 Stock Option Plan</w:t>
      </w:r>
      <w:r>
        <w:rPr>
          <w:rFonts w:ascii="Times New Roman" w:cs="Times New Roman" w:eastAsia="Times New Roman" w:hAnsi="Times New Roman"/>
          <w:sz w:val="18"/>
          <w:szCs w:val="18"/>
          <w:b w:val="1"/>
          <w:bCs w:val="1"/>
          <w:color w:val="auto"/>
        </w:rPr>
        <w:t>.</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INFORMATION REQUIRED IN THE SECTION 10(a) PROSPECTUS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1. Plan Information.</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 Registrant Information and Employee Plan Annual Information.</w:t>
      </w:r>
      <w:r>
        <w:rPr>
          <w:rFonts w:ascii="Times New Roman" w:cs="Times New Roman" w:eastAsia="Times New Roman" w:hAnsi="Times New Roman"/>
          <w:sz w:val="18"/>
          <w:szCs w:val="18"/>
          <w:color w:val="auto"/>
        </w:rPr>
        <w:t>*</w:t>
      </w:r>
    </w:p>
    <w:p>
      <w:pPr>
        <w:spacing w:after="0" w:line="227" w:lineRule="exact"/>
        <w:rPr>
          <w:sz w:val="20"/>
          <w:szCs w:val="20"/>
          <w:color w:val="auto"/>
        </w:rPr>
      </w:pPr>
    </w:p>
    <w:p>
      <w:pPr>
        <w:ind w:left="460" w:right="400" w:hanging="452"/>
        <w:spacing w:after="0" w:line="275" w:lineRule="auto"/>
        <w:tabs>
          <w:tab w:leader="none" w:pos="4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required by Part I to be contained in the Section 10(a) prospectus is omitted from the Registration Statement in accordance with Rule 428 under the Securities Act of 1933 and the Note to Part I of Form S-8.</w:t>
      </w:r>
    </w:p>
    <w:p>
      <w:pPr>
        <w:spacing w:after="0" w:line="17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225" w:lineRule="exact"/>
        <w:rPr>
          <w:sz w:val="20"/>
          <w:szCs w:val="20"/>
          <w:color w:val="auto"/>
        </w:rPr>
      </w:pPr>
    </w:p>
    <w:p>
      <w:pPr>
        <w:ind w:left="2980"/>
        <w:spacing w:after="0"/>
        <w:rPr>
          <w:sz w:val="20"/>
          <w:szCs w:val="20"/>
          <w:color w:val="auto"/>
        </w:rPr>
      </w:pPr>
      <w:r>
        <w:rPr>
          <w:rFonts w:ascii="Times New Roman" w:cs="Times New Roman" w:eastAsia="Times New Roman" w:hAnsi="Times New Roman"/>
          <w:sz w:val="18"/>
          <w:szCs w:val="18"/>
          <w:b w:val="1"/>
          <w:bCs w:val="1"/>
          <w:color w:val="auto"/>
        </w:rPr>
        <w:t>INFORMATION REQUIRED IN THE REGISTRATION STATEMENT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3. Incorporation of Certain Documents by Reference.</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documents filed by Registrant (File No. 0-30877) with the Securities and Exchange Commission are incorporated by reference in this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Registration Statement:</w:t>
      </w:r>
    </w:p>
    <w:p>
      <w:pPr>
        <w:spacing w:after="0" w:line="213" w:lineRule="exact"/>
        <w:rPr>
          <w:sz w:val="20"/>
          <w:szCs w:val="20"/>
          <w:color w:val="auto"/>
        </w:rPr>
      </w:pPr>
    </w:p>
    <w:p>
      <w:pPr>
        <w:ind w:left="520" w:hanging="292"/>
        <w:spacing w:after="0"/>
        <w:tabs>
          <w:tab w:leader="none" w:pos="5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Annual Report on Form 10-K for the fiscal year ended February 1, 2003;</w:t>
      </w:r>
    </w:p>
    <w:p>
      <w:pPr>
        <w:spacing w:after="0" w:line="225" w:lineRule="exact"/>
        <w:rPr>
          <w:rFonts w:ascii="Times New Roman" w:cs="Times New Roman" w:eastAsia="Times New Roman" w:hAnsi="Times New Roman"/>
          <w:sz w:val="18"/>
          <w:szCs w:val="18"/>
          <w:color w:val="auto"/>
        </w:rPr>
      </w:pPr>
    </w:p>
    <w:p>
      <w:pPr>
        <w:ind w:left="520" w:hanging="292"/>
        <w:spacing w:after="0"/>
        <w:tabs>
          <w:tab w:leader="none" w:pos="5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Current Report on Form 8-K filed under the Exchange Act on February 6, 2003;</w:t>
      </w:r>
    </w:p>
    <w:p>
      <w:pPr>
        <w:spacing w:after="0" w:line="225" w:lineRule="exact"/>
        <w:rPr>
          <w:rFonts w:ascii="Times New Roman" w:cs="Times New Roman" w:eastAsia="Times New Roman" w:hAnsi="Times New Roman"/>
          <w:sz w:val="18"/>
          <w:szCs w:val="18"/>
          <w:color w:val="auto"/>
        </w:rPr>
      </w:pPr>
    </w:p>
    <w:p>
      <w:pPr>
        <w:ind w:left="520" w:hanging="292"/>
        <w:spacing w:after="0"/>
        <w:tabs>
          <w:tab w:leader="none" w:pos="5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Quarterly Report on Form 10-Q filed under the Exchange Act for the fiscal quarter ended May 3, 2003;</w:t>
      </w:r>
    </w:p>
    <w:p>
      <w:pPr>
        <w:spacing w:after="0" w:line="225" w:lineRule="exact"/>
        <w:rPr>
          <w:rFonts w:ascii="Times New Roman" w:cs="Times New Roman" w:eastAsia="Times New Roman" w:hAnsi="Times New Roman"/>
          <w:sz w:val="18"/>
          <w:szCs w:val="18"/>
          <w:color w:val="auto"/>
        </w:rPr>
      </w:pPr>
    </w:p>
    <w:p>
      <w:pPr>
        <w:ind w:left="520" w:hanging="292"/>
        <w:spacing w:after="0"/>
        <w:tabs>
          <w:tab w:leader="none" w:pos="5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Current Report on Form 8-K filed under the Exchange Act on June 27, 2003; and</w:t>
      </w:r>
    </w:p>
    <w:p>
      <w:pPr>
        <w:spacing w:after="0" w:line="225" w:lineRule="exact"/>
        <w:rPr>
          <w:rFonts w:ascii="Times New Roman" w:cs="Times New Roman" w:eastAsia="Times New Roman" w:hAnsi="Times New Roman"/>
          <w:sz w:val="18"/>
          <w:szCs w:val="18"/>
          <w:color w:val="auto"/>
        </w:rPr>
      </w:pPr>
    </w:p>
    <w:p>
      <w:pPr>
        <w:ind w:firstLine="228"/>
        <w:spacing w:after="0" w:line="275" w:lineRule="auto"/>
        <w:tabs>
          <w:tab w:leader="none" w:pos="51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description of Registrant’s Common Stock contained in Registrant’s registration statement on Form 8-A, filed June 22, 2000 pursuant to Section 12(g) of the Securities Exchange Act of 1934 including any amendment or report filed for the purpose of updating such description.</w:t>
      </w:r>
    </w:p>
    <w:p>
      <w:pPr>
        <w:spacing w:after="0" w:line="174" w:lineRule="exact"/>
        <w:rPr>
          <w:sz w:val="20"/>
          <w:szCs w:val="20"/>
          <w:color w:val="auto"/>
        </w:rPr>
      </w:pPr>
    </w:p>
    <w:p>
      <w:pPr>
        <w:jc w:val="both"/>
        <w:ind w:right="100" w:firstLine="220"/>
        <w:spacing w:after="0" w:line="262" w:lineRule="auto"/>
        <w:rPr>
          <w:sz w:val="20"/>
          <w:szCs w:val="20"/>
          <w:color w:val="auto"/>
        </w:rPr>
      </w:pPr>
      <w:r>
        <w:rPr>
          <w:rFonts w:ascii="Times New Roman" w:cs="Times New Roman" w:eastAsia="Times New Roman" w:hAnsi="Times New Roman"/>
          <w:sz w:val="18"/>
          <w:szCs w:val="18"/>
          <w:color w:val="auto"/>
        </w:rPr>
        <w:t>In addition, all documents subsequently filed by the Registrant pursuant to Section 13(a), 13(c), 14 and 15(d) of the Securities Exchange Act of 1934,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4. Description of Securities.</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5. Interests of Named Experts and Counsel.</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6. Indemnification of Directors and Officers.</w:t>
      </w:r>
    </w:p>
    <w:p>
      <w:pPr>
        <w:spacing w:after="0" w:line="227" w:lineRule="exact"/>
        <w:rPr>
          <w:sz w:val="20"/>
          <w:szCs w:val="20"/>
          <w:color w:val="auto"/>
        </w:rPr>
      </w:pPr>
    </w:p>
    <w:p>
      <w:pPr>
        <w:ind w:right="280" w:firstLine="220"/>
        <w:spacing w:after="0" w:line="256" w:lineRule="auto"/>
        <w:rPr>
          <w:sz w:val="20"/>
          <w:szCs w:val="20"/>
          <w:color w:val="auto"/>
        </w:rPr>
      </w:pPr>
      <w:r>
        <w:rPr>
          <w:rFonts w:ascii="Times New Roman" w:cs="Times New Roman" w:eastAsia="Times New Roman" w:hAnsi="Times New Roman"/>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 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19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00" w:firstLine="216"/>
        <w:spacing w:after="0" w:line="262" w:lineRule="auto"/>
        <w:rPr>
          <w:sz w:val="20"/>
          <w:szCs w:val="20"/>
          <w:color w:val="auto"/>
        </w:rPr>
      </w:pPr>
      <w:r>
        <w:rPr>
          <w:rFonts w:ascii="Times New Roman" w:cs="Times New Roman" w:eastAsia="Times New Roman" w:hAnsi="Times New Roman"/>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186" w:lineRule="exact"/>
        <w:rPr>
          <w:sz w:val="20"/>
          <w:szCs w:val="20"/>
          <w:color w:val="auto"/>
        </w:rPr>
      </w:pPr>
    </w:p>
    <w:p>
      <w:pPr>
        <w:ind w:right="200" w:firstLine="216"/>
        <w:spacing w:after="0" w:line="258" w:lineRule="auto"/>
        <w:rPr>
          <w:sz w:val="20"/>
          <w:szCs w:val="20"/>
          <w:color w:val="auto"/>
        </w:rPr>
      </w:pPr>
      <w:r>
        <w:rPr>
          <w:rFonts w:ascii="Times New Roman" w:cs="Times New Roman" w:eastAsia="Times New Roman" w:hAnsi="Times New Roman"/>
          <w:sz w:val="18"/>
          <w:szCs w:val="18"/>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90" w:lineRule="exact"/>
        <w:rPr>
          <w:sz w:val="20"/>
          <w:szCs w:val="20"/>
          <w:color w:val="auto"/>
        </w:rPr>
      </w:pPr>
    </w:p>
    <w:p>
      <w:pPr>
        <w:ind w:firstLine="220"/>
        <w:spacing w:after="0" w:line="258" w:lineRule="auto"/>
        <w:rPr>
          <w:sz w:val="20"/>
          <w:szCs w:val="20"/>
          <w:color w:val="auto"/>
        </w:rPr>
      </w:pPr>
      <w:r>
        <w:rPr>
          <w:rFonts w:ascii="Times New Roman" w:cs="Times New Roman" w:eastAsia="Times New Roman" w:hAnsi="Times New Roman"/>
          <w:sz w:val="18"/>
          <w:szCs w:val="18"/>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90" w:lineRule="exact"/>
        <w:rPr>
          <w:sz w:val="20"/>
          <w:szCs w:val="20"/>
          <w:color w:val="auto"/>
        </w:rPr>
      </w:pPr>
    </w:p>
    <w:p>
      <w:pPr>
        <w:jc w:val="both"/>
        <w:ind w:right="80" w:firstLine="216"/>
        <w:spacing w:after="0" w:line="262" w:lineRule="auto"/>
        <w:rPr>
          <w:sz w:val="20"/>
          <w:szCs w:val="20"/>
          <w:color w:val="auto"/>
        </w:rPr>
      </w:pPr>
      <w:r>
        <w:rPr>
          <w:rFonts w:ascii="Times New Roman" w:cs="Times New Roman" w:eastAsia="Times New Roman" w:hAnsi="Times New Roman"/>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7. Exemptions from Registration Claimed.</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8. Exhibits.</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5.1</w:t>
            </w:r>
          </w:p>
        </w:tc>
        <w:tc>
          <w:tcPr>
            <w:tcW w:w="534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Opinion of Appleby Spurling &amp; Kempe.</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534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Consent of PricewaterhouseCoopers LLP, Independent Accountants.</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5340" w:type="dxa"/>
            <w:vAlign w:val="bottom"/>
          </w:tcPr>
          <w:p>
            <w:pPr>
              <w:ind w:left="300"/>
              <w:spacing w:after="0"/>
              <w:rPr>
                <w:sz w:val="20"/>
                <w:szCs w:val="20"/>
                <w:color w:val="auto"/>
              </w:rPr>
            </w:pPr>
            <w:r>
              <w:rPr>
                <w:rFonts w:ascii="Times New Roman" w:cs="Times New Roman" w:eastAsia="Times New Roman" w:hAnsi="Times New Roman"/>
                <w:sz w:val="18"/>
                <w:szCs w:val="18"/>
                <w:color w:val="auto"/>
                <w:w w:val="97"/>
              </w:rPr>
              <w:t>Consent of Appleby Spurling &amp; Kempe included in Exhibit 5.1 hereto).</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534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Power of Attorney (see signature page hereto).</w:t>
            </w:r>
          </w:p>
        </w:tc>
      </w:tr>
    </w:tbl>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 Undertakings.</w:t>
      </w:r>
    </w:p>
    <w:p>
      <w:pPr>
        <w:spacing w:after="0" w:line="227" w:lineRule="exact"/>
        <w:rPr>
          <w:sz w:val="20"/>
          <w:szCs w:val="20"/>
          <w:color w:val="auto"/>
        </w:rPr>
      </w:pPr>
    </w:p>
    <w:p>
      <w:pPr>
        <w:ind w:left="520" w:hanging="292"/>
        <w:spacing w:after="0"/>
        <w:tabs>
          <w:tab w:leader="none" w:pos="5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w:t>
      </w:r>
    </w:p>
    <w:p>
      <w:pPr>
        <w:spacing w:after="0" w:line="225" w:lineRule="exact"/>
        <w:rPr>
          <w:rFonts w:ascii="Times New Roman" w:cs="Times New Roman" w:eastAsia="Times New Roman" w:hAnsi="Times New Roman"/>
          <w:sz w:val="18"/>
          <w:szCs w:val="18"/>
          <w:color w:val="auto"/>
        </w:rPr>
      </w:pPr>
    </w:p>
    <w:p>
      <w:pPr>
        <w:ind w:left="820" w:hanging="241"/>
        <w:spacing w:after="0"/>
        <w:tabs>
          <w:tab w:leader="none" w:pos="820" w:val="left"/>
        </w:tabs>
        <w:numPr>
          <w:ilvl w:val="1"/>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during any period in which offers or sales are being made, a post-effective amendment to this Registration Statement:</w:t>
      </w:r>
    </w:p>
    <w:p>
      <w:pPr>
        <w:spacing w:after="0" w:line="225" w:lineRule="exact"/>
        <w:rPr>
          <w:rFonts w:ascii="Times New Roman" w:cs="Times New Roman" w:eastAsia="Times New Roman" w:hAnsi="Times New Roman"/>
          <w:sz w:val="18"/>
          <w:szCs w:val="18"/>
          <w:color w:val="auto"/>
        </w:rPr>
      </w:pPr>
    </w:p>
    <w:p>
      <w:pPr>
        <w:ind w:left="1120" w:hanging="204"/>
        <w:spacing w:after="0"/>
        <w:tabs>
          <w:tab w:leader="none" w:pos="1120" w:val="left"/>
        </w:tabs>
        <w:numPr>
          <w:ilvl w:val="2"/>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prospectus required by section 10(a)(3) of the Securities Act of 1933;</w:t>
      </w:r>
    </w:p>
    <w:p>
      <w:pPr>
        <w:spacing w:after="0" w:line="225" w:lineRule="exact"/>
        <w:rPr>
          <w:rFonts w:ascii="Times New Roman" w:cs="Times New Roman" w:eastAsia="Times New Roman" w:hAnsi="Times New Roman"/>
          <w:sz w:val="18"/>
          <w:szCs w:val="18"/>
          <w:color w:val="auto"/>
        </w:rPr>
      </w:pPr>
    </w:p>
    <w:p>
      <w:pPr>
        <w:ind w:left="700" w:right="100" w:firstLine="216"/>
        <w:spacing w:after="0" w:line="256" w:lineRule="auto"/>
        <w:tabs>
          <w:tab w:leader="none" w:pos="1175" w:val="left"/>
        </w:tabs>
        <w:numPr>
          <w:ilvl w:val="2"/>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w:t>
      </w:r>
    </w:p>
    <w:p>
      <w:pPr>
        <w:spacing w:after="0" w:line="19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5" w:right="279" w:bottom="1440" w:gutter="0" w:footer="0" w:header="0"/>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700" w:right="620"/>
        <w:spacing w:after="0" w:line="275" w:lineRule="auto"/>
        <w:rPr>
          <w:sz w:val="20"/>
          <w:szCs w:val="20"/>
          <w:color w:val="auto"/>
        </w:rPr>
      </w:pPr>
      <w:r>
        <w:rPr>
          <w:rFonts w:ascii="Times New Roman" w:cs="Times New Roman" w:eastAsia="Times New Roman" w:hAnsi="Times New Roman"/>
          <w:sz w:val="18"/>
          <w:szCs w:val="18"/>
          <w:color w:val="auto"/>
        </w:rPr>
        <w:t>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174" w:lineRule="exact"/>
        <w:rPr>
          <w:sz w:val="20"/>
          <w:szCs w:val="20"/>
          <w:color w:val="auto"/>
        </w:rPr>
      </w:pPr>
    </w:p>
    <w:p>
      <w:pPr>
        <w:ind w:left="700" w:right="40" w:firstLine="216"/>
        <w:spacing w:after="0" w:line="275" w:lineRule="auto"/>
        <w:tabs>
          <w:tab w:leader="none" w:pos="1223"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4" w:lineRule="exact"/>
        <w:rPr>
          <w:sz w:val="20"/>
          <w:szCs w:val="20"/>
          <w:color w:val="auto"/>
        </w:rPr>
      </w:pPr>
    </w:p>
    <w:p>
      <w:pPr>
        <w:ind w:firstLine="220"/>
        <w:spacing w:after="0" w:line="262" w:lineRule="auto"/>
        <w:rPr>
          <w:sz w:val="20"/>
          <w:szCs w:val="20"/>
          <w:color w:val="auto"/>
        </w:rPr>
      </w:pPr>
      <w:r>
        <w:rPr>
          <w:rFonts w:ascii="Times New Roman" w:cs="Times New Roman" w:eastAsia="Times New Roman" w:hAnsi="Times New Roman"/>
          <w:sz w:val="18"/>
          <w:szCs w:val="18"/>
          <w:color w:val="auto"/>
        </w:rPr>
        <w:t>Provided, however, that paragraphs (a)(1)(i) and (a)(1)(ii) do not apply if the registration statement is on Form S-3 or Form S-8, and the information required to be included in a post-effective amendment by those paragraphs is contained in periodic reports filed by the Registrant pursuant to section 13 or section 15(d) of the Securities Exchange Act of 1934 that are incorporated by reference in the registration statement.</w:t>
      </w:r>
    </w:p>
    <w:p>
      <w:pPr>
        <w:spacing w:after="0" w:line="186" w:lineRule="exact"/>
        <w:rPr>
          <w:sz w:val="20"/>
          <w:szCs w:val="20"/>
          <w:color w:val="auto"/>
        </w:rPr>
      </w:pPr>
    </w:p>
    <w:p>
      <w:pPr>
        <w:ind w:left="360" w:right="120" w:firstLine="219"/>
        <w:spacing w:after="0" w:line="262" w:lineRule="auto"/>
        <w:tabs>
          <w:tab w:leader="none" w:pos="825" w:val="left"/>
        </w:tabs>
        <w:numPr>
          <w:ilvl w:val="1"/>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86" w:lineRule="exact"/>
        <w:rPr>
          <w:rFonts w:ascii="Times New Roman" w:cs="Times New Roman" w:eastAsia="Times New Roman" w:hAnsi="Times New Roman"/>
          <w:sz w:val="18"/>
          <w:szCs w:val="18"/>
          <w:color w:val="auto"/>
        </w:rPr>
      </w:pPr>
    </w:p>
    <w:p>
      <w:pPr>
        <w:ind w:left="360" w:right="60" w:firstLine="219"/>
        <w:spacing w:after="0" w:line="275" w:lineRule="auto"/>
        <w:tabs>
          <w:tab w:leader="none" w:pos="825" w:val="left"/>
        </w:tabs>
        <w:numPr>
          <w:ilvl w:val="1"/>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from registration by means of a post-effective amendment any of the securities being registered which remain unsold at the termination of the offering.</w:t>
      </w:r>
    </w:p>
    <w:p>
      <w:pPr>
        <w:spacing w:after="0" w:line="173" w:lineRule="exact"/>
        <w:rPr>
          <w:rFonts w:ascii="Times New Roman" w:cs="Times New Roman" w:eastAsia="Times New Roman" w:hAnsi="Times New Roman"/>
          <w:sz w:val="18"/>
          <w:szCs w:val="18"/>
          <w:color w:val="auto"/>
        </w:rPr>
      </w:pPr>
    </w:p>
    <w:p>
      <w:pPr>
        <w:ind w:left="520" w:hanging="292"/>
        <w:spacing w:after="0"/>
        <w:tabs>
          <w:tab w:leader="none" w:pos="5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 that, for purposes of determining any liability under the Securities Act of 1933, each filing of the</w:t>
      </w:r>
    </w:p>
    <w:p>
      <w:pPr>
        <w:spacing w:after="0" w:line="21" w:lineRule="exact"/>
        <w:rPr>
          <w:rFonts w:ascii="Times New Roman" w:cs="Times New Roman" w:eastAsia="Times New Roman" w:hAnsi="Times New Roman"/>
          <w:sz w:val="18"/>
          <w:szCs w:val="18"/>
          <w:color w:val="auto"/>
        </w:rPr>
      </w:pPr>
    </w:p>
    <w:p>
      <w:pPr>
        <w:ind w:right="100"/>
        <w:spacing w:after="0" w:line="254"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Registrant’s annual report pursuant to section 13(a) or section 15(d) of the Securities Exchange Act of 1934 (and, where applicable, each filing of an employee benefit plan’s annual report pursuant to section 15(a)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91" w:lineRule="exact"/>
        <w:rPr>
          <w:rFonts w:ascii="Times New Roman" w:cs="Times New Roman" w:eastAsia="Times New Roman" w:hAnsi="Times New Roman"/>
          <w:sz w:val="18"/>
          <w:szCs w:val="18"/>
          <w:color w:val="auto"/>
        </w:rPr>
      </w:pPr>
    </w:p>
    <w:p>
      <w:pPr>
        <w:ind w:right="100" w:firstLine="228"/>
        <w:spacing w:after="0" w:line="291" w:lineRule="auto"/>
        <w:tabs>
          <w:tab w:leader="none" w:pos="502" w:val="left"/>
        </w:tabs>
        <w:numPr>
          <w:ilvl w:val="0"/>
          <w:numId w:val="7"/>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pacing w:after="0" w:line="16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5" w:right="279" w:bottom="1440" w:gutter="0" w:footer="0" w:header="0"/>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7" w:lineRule="exact"/>
        <w:rPr>
          <w:sz w:val="20"/>
          <w:szCs w:val="20"/>
          <w:color w:val="auto"/>
        </w:rPr>
      </w:pPr>
    </w:p>
    <w:p>
      <w:pPr>
        <w:ind w:right="40" w:firstLine="220"/>
        <w:spacing w:after="0" w:line="26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30th day of June, 2003.</w:t>
      </w:r>
    </w:p>
    <w:p>
      <w:pPr>
        <w:spacing w:after="0" w:line="200" w:lineRule="exact"/>
        <w:rPr>
          <w:sz w:val="20"/>
          <w:szCs w:val="20"/>
          <w:color w:val="auto"/>
        </w:rPr>
      </w:pPr>
    </w:p>
    <w:p>
      <w:pPr>
        <w:spacing w:after="0" w:line="230" w:lineRule="exact"/>
        <w:rPr>
          <w:sz w:val="20"/>
          <w:szCs w:val="20"/>
          <w:color w:val="auto"/>
        </w:rPr>
      </w:pPr>
    </w:p>
    <w:p>
      <w:pPr>
        <w:ind w:left="59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960"/>
        <w:spacing w:after="0"/>
        <w:tabs>
          <w:tab w:leader="none" w:pos="684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74930</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Sehat Sutardja</w:t>
      </w:r>
    </w:p>
    <w:p>
      <w:pPr>
        <w:spacing w:after="0" w:line="21"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9"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(Principal Executive Officer)</w:t>
      </w:r>
    </w:p>
    <w:p>
      <w:pPr>
        <w:spacing w:after="0" w:line="213" w:lineRule="exact"/>
        <w:rPr>
          <w:sz w:val="20"/>
          <w:szCs w:val="20"/>
          <w:color w:val="auto"/>
        </w:rPr>
      </w:pPr>
    </w:p>
    <w:p>
      <w:pPr>
        <w:ind w:right="480"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undersigned, the duly authorized representative of the Registrant in the United States, has signed this Registration Statement in the City of Sunnyvale, State of California, on the 30th day of June, 2003.</w:t>
      </w:r>
    </w:p>
    <w:p>
      <w:pPr>
        <w:spacing w:after="0" w:line="200" w:lineRule="exact"/>
        <w:rPr>
          <w:sz w:val="20"/>
          <w:szCs w:val="20"/>
          <w:color w:val="auto"/>
        </w:rPr>
      </w:pPr>
    </w:p>
    <w:p>
      <w:pPr>
        <w:spacing w:after="0" w:line="217" w:lineRule="exact"/>
        <w:rPr>
          <w:sz w:val="20"/>
          <w:szCs w:val="20"/>
          <w:color w:val="auto"/>
        </w:rPr>
      </w:pPr>
    </w:p>
    <w:p>
      <w:pPr>
        <w:ind w:left="5960"/>
        <w:spacing w:after="0"/>
        <w:tabs>
          <w:tab w:leader="none" w:pos="684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74930</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Dr. Sehat Sutardja</w:t>
      </w:r>
    </w:p>
    <w:p>
      <w:pPr>
        <w:spacing w:after="0" w:line="21"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POWER OF ATTORNEY</w:t>
      </w:r>
    </w:p>
    <w:p>
      <w:pPr>
        <w:spacing w:after="0" w:line="227" w:lineRule="exact"/>
        <w:rPr>
          <w:sz w:val="20"/>
          <w:szCs w:val="20"/>
          <w:color w:val="auto"/>
        </w:rPr>
      </w:pPr>
    </w:p>
    <w:p>
      <w:pPr>
        <w:ind w:right="140" w:firstLine="220"/>
        <w:spacing w:after="0" w:line="254" w:lineRule="auto"/>
        <w:rPr>
          <w:sz w:val="20"/>
          <w:szCs w:val="20"/>
          <w:color w:val="auto"/>
        </w:rPr>
      </w:pPr>
      <w:r>
        <w:rPr>
          <w:rFonts w:ascii="Times New Roman" w:cs="Times New Roman" w:eastAsia="Times New Roman" w:hAnsi="Times New Roman"/>
          <w:sz w:val="18"/>
          <w:szCs w:val="18"/>
          <w:color w:val="auto"/>
        </w:rPr>
        <w:t>KNOW ALL MEN BY THESE PRESENTS, that each person whose signature appears below constitutes and appoints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do or cause to be done by virtue hereof.</w:t>
      </w:r>
    </w:p>
    <w:p>
      <w:pPr>
        <w:spacing w:after="0" w:line="195" w:lineRule="exact"/>
        <w:rPr>
          <w:sz w:val="20"/>
          <w:szCs w:val="20"/>
          <w:color w:val="auto"/>
        </w:rPr>
      </w:pPr>
    </w:p>
    <w:p>
      <w:pPr>
        <w:ind w:right="240"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this Registration Statement has been signed by the following persons in the capacities and on the dates indicated.</w:t>
      </w:r>
    </w:p>
    <w:p>
      <w:pPr>
        <w:spacing w:after="0" w:line="200" w:lineRule="exact"/>
        <w:rPr>
          <w:sz w:val="20"/>
          <w:szCs w:val="20"/>
          <w:color w:val="auto"/>
        </w:rPr>
      </w:pPr>
    </w:p>
    <w:p>
      <w:pPr>
        <w:spacing w:after="0" w:line="215" w:lineRule="exact"/>
        <w:rPr>
          <w:sz w:val="20"/>
          <w:szCs w:val="20"/>
          <w:color w:val="auto"/>
        </w:rPr>
      </w:pPr>
    </w:p>
    <w:p>
      <w:pPr>
        <w:ind w:left="880"/>
        <w:spacing w:after="0"/>
        <w:tabs>
          <w:tab w:leader="none" w:pos="4320" w:val="left"/>
          <w:tab w:leader="none" w:pos="8880" w:val="left"/>
        </w:tabs>
        <w:rPr>
          <w:sz w:val="20"/>
          <w:szCs w:val="20"/>
          <w:color w:val="auto"/>
        </w:rPr>
      </w:pPr>
      <w:r>
        <w:rPr>
          <w:rFonts w:ascii="Times New Roman" w:cs="Times New Roman" w:eastAsia="Times New Roman" w:hAnsi="Times New Roman"/>
          <w:sz w:val="14"/>
          <w:szCs w:val="14"/>
          <w:b w:val="1"/>
          <w:bCs w:val="1"/>
          <w:color w:val="auto"/>
        </w:rPr>
        <w:t>Signature</w:t>
      </w:r>
      <w:r>
        <w:rPr>
          <w:sz w:val="20"/>
          <w:szCs w:val="20"/>
          <w:color w:val="auto"/>
        </w:rPr>
        <w:tab/>
      </w:r>
      <w:r>
        <w:rPr>
          <w:rFonts w:ascii="Times New Roman" w:cs="Times New Roman" w:eastAsia="Times New Roman" w:hAnsi="Times New Roman"/>
          <w:sz w:val="14"/>
          <w:szCs w:val="14"/>
          <w:b w:val="1"/>
          <w:bCs w:val="1"/>
          <w:color w:val="auto"/>
        </w:rPr>
        <w:t>Title</w:t>
      </w:r>
      <w:r>
        <w:rPr>
          <w:sz w:val="20"/>
          <w:szCs w:val="20"/>
          <w:color w:val="auto"/>
        </w:rPr>
        <w:tab/>
      </w:r>
      <w:r>
        <w:rPr>
          <w:rFonts w:ascii="Times New Roman" w:cs="Times New Roman" w:eastAsia="Times New Roman" w:hAnsi="Times New Roman"/>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71120</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Sehat Sutardja</w:t>
            </w:r>
          </w:p>
        </w:tc>
        <w:tc>
          <w:tcPr>
            <w:tcW w:w="3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Co-Chairman of the Board, President,</w:t>
            </w:r>
          </w:p>
        </w:tc>
        <w:tc>
          <w:tcPr>
            <w:tcW w:w="5960" w:type="dxa"/>
            <w:vAlign w:val="bottom"/>
          </w:tcPr>
          <w:p>
            <w:pPr>
              <w:ind w:left="1180"/>
              <w:spacing w:after="0"/>
              <w:rPr>
                <w:sz w:val="20"/>
                <w:szCs w:val="20"/>
                <w:color w:val="auto"/>
              </w:rPr>
            </w:pPr>
            <w:r>
              <w:rPr>
                <w:rFonts w:ascii="Times New Roman" w:cs="Times New Roman" w:eastAsia="Times New Roman" w:hAnsi="Times New Roman"/>
                <w:sz w:val="18"/>
                <w:szCs w:val="18"/>
                <w:color w:val="auto"/>
              </w:rPr>
              <w:t>June 30, 2003</w:t>
            </w:r>
          </w:p>
        </w:tc>
        <w:tc>
          <w:tcPr>
            <w:tcW w:w="0" w:type="dxa"/>
            <w:vAlign w:val="bottom"/>
          </w:tcPr>
          <w:p>
            <w:pPr>
              <w:spacing w:after="0"/>
              <w:rPr>
                <w:sz w:val="1"/>
                <w:szCs w:val="1"/>
                <w:color w:val="auto"/>
              </w:rPr>
            </w:pPr>
          </w:p>
        </w:tc>
      </w:tr>
      <w:tr>
        <w:trPr>
          <w:trHeight w:val="109"/>
        </w:trPr>
        <w:tc>
          <w:tcPr>
            <w:tcW w:w="2300" w:type="dxa"/>
            <w:vAlign w:val="bottom"/>
            <w:tcBorders>
              <w:bottom w:val="single" w:sz="8" w:color="808080"/>
            </w:tcBorders>
          </w:tcPr>
          <w:p>
            <w:pPr>
              <w:spacing w:after="0"/>
              <w:rPr>
                <w:sz w:val="9"/>
                <w:szCs w:val="9"/>
                <w:color w:val="auto"/>
              </w:rPr>
            </w:pPr>
          </w:p>
        </w:tc>
        <w:tc>
          <w:tcPr>
            <w:tcW w:w="3160" w:type="dxa"/>
            <w:vAlign w:val="bottom"/>
            <w:vMerge w:val="restart"/>
          </w:tcPr>
          <w:p>
            <w:pPr>
              <w:ind w:left="360"/>
              <w:spacing w:after="0"/>
              <w:rPr>
                <w:sz w:val="20"/>
                <w:szCs w:val="20"/>
                <w:color w:val="auto"/>
              </w:rPr>
            </w:pPr>
            <w:r>
              <w:rPr>
                <w:rFonts w:ascii="Times New Roman" w:cs="Times New Roman" w:eastAsia="Times New Roman" w:hAnsi="Times New Roman"/>
                <w:sz w:val="18"/>
                <w:szCs w:val="18"/>
                <w:color w:val="auto"/>
              </w:rPr>
              <w:t>and Chief Executive Officer</w:t>
            </w:r>
          </w:p>
        </w:tc>
        <w:tc>
          <w:tcPr>
            <w:tcW w:w="59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7"/>
        </w:trPr>
        <w:tc>
          <w:tcPr>
            <w:tcW w:w="23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Dr. Sehat Sutardja</w:t>
            </w:r>
          </w:p>
        </w:tc>
        <w:tc>
          <w:tcPr>
            <w:tcW w:w="3160" w:type="dxa"/>
            <w:vAlign w:val="bottom"/>
            <w:vMerge w:val="continue"/>
          </w:tcPr>
          <w:p>
            <w:pPr>
              <w:spacing w:after="0"/>
              <w:rPr>
                <w:sz w:val="7"/>
                <w:szCs w:val="7"/>
                <w:color w:val="auto"/>
              </w:rPr>
            </w:pPr>
          </w:p>
        </w:tc>
        <w:tc>
          <w:tcPr>
            <w:tcW w:w="59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300" w:type="dxa"/>
            <w:vAlign w:val="bottom"/>
            <w:vMerge w:val="continue"/>
          </w:tcPr>
          <w:p>
            <w:pPr>
              <w:spacing w:after="0"/>
              <w:rPr>
                <w:sz w:val="19"/>
                <w:szCs w:val="19"/>
                <w:color w:val="auto"/>
              </w:rPr>
            </w:pPr>
          </w:p>
        </w:tc>
        <w:tc>
          <w:tcPr>
            <w:tcW w:w="3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(Principal Executive Officer)</w:t>
            </w:r>
          </w:p>
        </w:tc>
        <w:tc>
          <w:tcPr>
            <w:tcW w:w="5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852"/>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George Hervey</w:t>
            </w:r>
          </w:p>
        </w:tc>
        <w:tc>
          <w:tcPr>
            <w:tcW w:w="3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Vice President of Finance and Chief</w:t>
            </w:r>
          </w:p>
        </w:tc>
        <w:tc>
          <w:tcPr>
            <w:tcW w:w="5960" w:type="dxa"/>
            <w:vAlign w:val="bottom"/>
          </w:tcPr>
          <w:p>
            <w:pPr>
              <w:ind w:left="1180"/>
              <w:spacing w:after="0"/>
              <w:rPr>
                <w:sz w:val="20"/>
                <w:szCs w:val="20"/>
                <w:color w:val="auto"/>
              </w:rPr>
            </w:pPr>
            <w:r>
              <w:rPr>
                <w:rFonts w:ascii="Times New Roman" w:cs="Times New Roman" w:eastAsia="Times New Roman" w:hAnsi="Times New Roman"/>
                <w:sz w:val="18"/>
                <w:szCs w:val="18"/>
                <w:color w:val="auto"/>
              </w:rPr>
              <w:t>June 30, 2003</w:t>
            </w:r>
          </w:p>
        </w:tc>
        <w:tc>
          <w:tcPr>
            <w:tcW w:w="0" w:type="dxa"/>
            <w:vAlign w:val="bottom"/>
          </w:tcPr>
          <w:p>
            <w:pPr>
              <w:spacing w:after="0"/>
              <w:rPr>
                <w:sz w:val="1"/>
                <w:szCs w:val="1"/>
                <w:color w:val="auto"/>
              </w:rPr>
            </w:pPr>
          </w:p>
        </w:tc>
      </w:tr>
      <w:tr>
        <w:trPr>
          <w:trHeight w:val="109"/>
        </w:trPr>
        <w:tc>
          <w:tcPr>
            <w:tcW w:w="2300" w:type="dxa"/>
            <w:vAlign w:val="bottom"/>
            <w:tcBorders>
              <w:bottom w:val="single" w:sz="8" w:color="808080"/>
            </w:tcBorders>
          </w:tcPr>
          <w:p>
            <w:pPr>
              <w:spacing w:after="0"/>
              <w:rPr>
                <w:sz w:val="9"/>
                <w:szCs w:val="9"/>
                <w:color w:val="auto"/>
              </w:rPr>
            </w:pPr>
          </w:p>
        </w:tc>
        <w:tc>
          <w:tcPr>
            <w:tcW w:w="3160" w:type="dxa"/>
            <w:vAlign w:val="bottom"/>
            <w:vMerge w:val="restart"/>
          </w:tcPr>
          <w:p>
            <w:pPr>
              <w:ind w:left="360"/>
              <w:spacing w:after="0"/>
              <w:rPr>
                <w:sz w:val="20"/>
                <w:szCs w:val="20"/>
                <w:color w:val="auto"/>
              </w:rPr>
            </w:pPr>
            <w:r>
              <w:rPr>
                <w:rFonts w:ascii="Times New Roman" w:cs="Times New Roman" w:eastAsia="Times New Roman" w:hAnsi="Times New Roman"/>
                <w:sz w:val="18"/>
                <w:szCs w:val="18"/>
                <w:color w:val="auto"/>
              </w:rPr>
              <w:t>Financial Officer (Principal Financial</w:t>
            </w:r>
          </w:p>
        </w:tc>
        <w:tc>
          <w:tcPr>
            <w:tcW w:w="59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7"/>
        </w:trPr>
        <w:tc>
          <w:tcPr>
            <w:tcW w:w="230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George Hervey</w:t>
            </w:r>
          </w:p>
        </w:tc>
        <w:tc>
          <w:tcPr>
            <w:tcW w:w="3160" w:type="dxa"/>
            <w:vAlign w:val="bottom"/>
            <w:vMerge w:val="continue"/>
          </w:tcPr>
          <w:p>
            <w:pPr>
              <w:spacing w:after="0"/>
              <w:rPr>
                <w:sz w:val="7"/>
                <w:szCs w:val="7"/>
                <w:color w:val="auto"/>
              </w:rPr>
            </w:pPr>
          </w:p>
        </w:tc>
        <w:tc>
          <w:tcPr>
            <w:tcW w:w="59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300" w:type="dxa"/>
            <w:vAlign w:val="bottom"/>
            <w:vMerge w:val="continue"/>
          </w:tcPr>
          <w:p>
            <w:pPr>
              <w:spacing w:after="0"/>
              <w:rPr>
                <w:sz w:val="19"/>
                <w:szCs w:val="19"/>
                <w:color w:val="auto"/>
              </w:rPr>
            </w:pPr>
          </w:p>
        </w:tc>
        <w:tc>
          <w:tcPr>
            <w:tcW w:w="3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and Accounting Officer)</w:t>
            </w:r>
          </w:p>
        </w:tc>
        <w:tc>
          <w:tcPr>
            <w:tcW w:w="5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Diosdado P. Banatao</w:t>
            </w:r>
          </w:p>
        </w:tc>
        <w:tc>
          <w:tcPr>
            <w:tcW w:w="3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Co-Chairman of the Board</w:t>
            </w:r>
          </w:p>
        </w:tc>
        <w:tc>
          <w:tcPr>
            <w:tcW w:w="5960" w:type="dxa"/>
            <w:vAlign w:val="bottom"/>
          </w:tcPr>
          <w:p>
            <w:pPr>
              <w:ind w:left="1180"/>
              <w:spacing w:after="0"/>
              <w:rPr>
                <w:sz w:val="20"/>
                <w:szCs w:val="20"/>
                <w:color w:val="auto"/>
              </w:rPr>
            </w:pPr>
            <w:r>
              <w:rPr>
                <w:rFonts w:ascii="Times New Roman" w:cs="Times New Roman" w:eastAsia="Times New Roman" w:hAnsi="Times New Roman"/>
                <w:sz w:val="18"/>
                <w:szCs w:val="18"/>
                <w:color w:val="auto"/>
              </w:rPr>
              <w:t>June 30, 2003</w:t>
            </w:r>
          </w:p>
        </w:tc>
        <w:tc>
          <w:tcPr>
            <w:tcW w:w="0" w:type="dxa"/>
            <w:vAlign w:val="bottom"/>
          </w:tcPr>
          <w:p>
            <w:pPr>
              <w:spacing w:after="0"/>
              <w:rPr>
                <w:sz w:val="1"/>
                <w:szCs w:val="1"/>
                <w:color w:val="auto"/>
              </w:rPr>
            </w:pPr>
          </w:p>
        </w:tc>
      </w:tr>
      <w:tr>
        <w:trPr>
          <w:trHeight w:val="97"/>
        </w:trPr>
        <w:tc>
          <w:tcPr>
            <w:tcW w:w="2300" w:type="dxa"/>
            <w:vAlign w:val="bottom"/>
            <w:tcBorders>
              <w:bottom w:val="single" w:sz="8" w:color="808080"/>
            </w:tcBorders>
          </w:tcPr>
          <w:p>
            <w:pPr>
              <w:spacing w:after="0"/>
              <w:rPr>
                <w:sz w:val="8"/>
                <w:szCs w:val="8"/>
                <w:color w:val="auto"/>
              </w:rPr>
            </w:pPr>
          </w:p>
        </w:tc>
        <w:tc>
          <w:tcPr>
            <w:tcW w:w="3160" w:type="dxa"/>
            <w:vAlign w:val="bottom"/>
          </w:tcPr>
          <w:p>
            <w:pPr>
              <w:spacing w:after="0"/>
              <w:rPr>
                <w:sz w:val="8"/>
                <w:szCs w:val="8"/>
                <w:color w:val="auto"/>
              </w:rPr>
            </w:pPr>
          </w:p>
        </w:tc>
        <w:tc>
          <w:tcPr>
            <w:tcW w:w="5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3160" w:type="dxa"/>
            <w:vAlign w:val="bottom"/>
          </w:tcPr>
          <w:p>
            <w:pPr>
              <w:spacing w:after="0"/>
              <w:rPr>
                <w:sz w:val="24"/>
                <w:szCs w:val="24"/>
                <w:color w:val="auto"/>
              </w:rPr>
            </w:pPr>
          </w:p>
        </w:tc>
        <w:tc>
          <w:tcPr>
            <w:tcW w:w="59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30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5960" w:type="dxa"/>
            <w:vAlign w:val="bottom"/>
          </w:tcPr>
          <w:p>
            <w:pPr>
              <w:jc w:val="right"/>
              <w:ind w:right="5512"/>
              <w:spacing w:after="0"/>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228"/>
        </w:trPr>
        <w:tc>
          <w:tcPr>
            <w:tcW w:w="2300" w:type="dxa"/>
            <w:vAlign w:val="bottom"/>
            <w:tcBorders>
              <w:bottom w:val="single" w:sz="8" w:color="808080"/>
            </w:tcBorders>
          </w:tcPr>
          <w:p>
            <w:pPr>
              <w:spacing w:after="0"/>
              <w:rPr>
                <w:sz w:val="19"/>
                <w:szCs w:val="19"/>
                <w:color w:val="auto"/>
              </w:rPr>
            </w:pPr>
          </w:p>
        </w:tc>
        <w:tc>
          <w:tcPr>
            <w:tcW w:w="3160" w:type="dxa"/>
            <w:vAlign w:val="bottom"/>
            <w:tcBorders>
              <w:bottom w:val="single" w:sz="8" w:color="808080"/>
            </w:tcBorders>
          </w:tcPr>
          <w:p>
            <w:pPr>
              <w:spacing w:after="0"/>
              <w:rPr>
                <w:sz w:val="19"/>
                <w:szCs w:val="19"/>
                <w:color w:val="auto"/>
              </w:rPr>
            </w:pPr>
          </w:p>
        </w:tc>
        <w:tc>
          <w:tcPr>
            <w:tcW w:w="59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ind w:left="880"/>
        <w:spacing w:after="0"/>
        <w:tabs>
          <w:tab w:leader="none" w:pos="4320" w:val="left"/>
          <w:tab w:leader="none" w:pos="8880" w:val="left"/>
        </w:tabs>
        <w:rPr>
          <w:sz w:val="20"/>
          <w:szCs w:val="20"/>
          <w:color w:val="auto"/>
        </w:rPr>
      </w:pPr>
      <w:r>
        <w:rPr>
          <w:rFonts w:ascii="Times New Roman" w:cs="Times New Roman" w:eastAsia="Times New Roman" w:hAnsi="Times New Roman"/>
          <w:sz w:val="14"/>
          <w:szCs w:val="14"/>
          <w:b w:val="1"/>
          <w:bCs w:val="1"/>
          <w:color w:val="auto"/>
        </w:rPr>
        <w:t>Signature</w:t>
      </w:r>
      <w:r>
        <w:rPr>
          <w:sz w:val="20"/>
          <w:szCs w:val="20"/>
          <w:color w:val="auto"/>
        </w:rPr>
        <w:tab/>
      </w:r>
      <w:r>
        <w:rPr>
          <w:rFonts w:ascii="Times New Roman" w:cs="Times New Roman" w:eastAsia="Times New Roman" w:hAnsi="Times New Roman"/>
          <w:sz w:val="14"/>
          <w:szCs w:val="14"/>
          <w:b w:val="1"/>
          <w:bCs w:val="1"/>
          <w:color w:val="auto"/>
        </w:rPr>
        <w:t>Title</w:t>
      </w:r>
      <w:r>
        <w:rPr>
          <w:sz w:val="20"/>
          <w:szCs w:val="20"/>
          <w:color w:val="auto"/>
        </w:rPr>
        <w:tab/>
      </w:r>
      <w:r>
        <w:rPr>
          <w:rFonts w:ascii="Times New Roman" w:cs="Times New Roman" w:eastAsia="Times New Roman" w:hAnsi="Times New Roman"/>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71120</wp:posOffset>
            </wp:positionV>
            <wp:extent cx="72466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Manuel Alba</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Manuel Alba</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Weili Dai</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Weili Dai</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4"/>
                <w:szCs w:val="24"/>
                <w:color w:val="auto"/>
              </w:rPr>
            </w:pP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Herbert Chang</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John M. Cioffi</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John M. Cioffi</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Paul R. Gray</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Paul R. Gray</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Pantas Sutardja</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Pantas Sutardja</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864"/>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 Ron Verdoorn</w:t>
            </w:r>
          </w:p>
        </w:tc>
        <w:tc>
          <w:tcPr>
            <w:tcW w:w="2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Director</w:t>
            </w:r>
          </w:p>
        </w:tc>
        <w:tc>
          <w:tcPr>
            <w:tcW w:w="7000" w:type="dxa"/>
            <w:vAlign w:val="bottom"/>
          </w:tcPr>
          <w:p>
            <w:pPr>
              <w:ind w:left="2220"/>
              <w:spacing w:after="0"/>
              <w:rPr>
                <w:sz w:val="20"/>
                <w:szCs w:val="20"/>
                <w:color w:val="auto"/>
              </w:rPr>
            </w:pPr>
            <w:r>
              <w:rPr>
                <w:rFonts w:ascii="Times New Roman" w:cs="Times New Roman" w:eastAsia="Times New Roman" w:hAnsi="Times New Roman"/>
                <w:sz w:val="18"/>
                <w:szCs w:val="18"/>
                <w:color w:val="auto"/>
              </w:rPr>
              <w:t>June 30, 2003</w:t>
            </w:r>
          </w:p>
        </w:tc>
      </w:tr>
      <w:tr>
        <w:trPr>
          <w:trHeight w:val="97"/>
        </w:trPr>
        <w:tc>
          <w:tcPr>
            <w:tcW w:w="2300" w:type="dxa"/>
            <w:vAlign w:val="bottom"/>
            <w:tcBorders>
              <w:bottom w:val="single" w:sz="8" w:color="808080"/>
            </w:tcBorders>
          </w:tcPr>
          <w:p>
            <w:pPr>
              <w:spacing w:after="0"/>
              <w:rPr>
                <w:sz w:val="8"/>
                <w:szCs w:val="8"/>
                <w:color w:val="auto"/>
              </w:rPr>
            </w:pPr>
          </w:p>
        </w:tc>
        <w:tc>
          <w:tcPr>
            <w:tcW w:w="2120" w:type="dxa"/>
            <w:vAlign w:val="bottom"/>
          </w:tcPr>
          <w:p>
            <w:pPr>
              <w:spacing w:after="0"/>
              <w:rPr>
                <w:sz w:val="8"/>
                <w:szCs w:val="8"/>
                <w:color w:val="auto"/>
              </w:rPr>
            </w:pPr>
          </w:p>
        </w:tc>
        <w:tc>
          <w:tcPr>
            <w:tcW w:w="7000" w:type="dxa"/>
            <w:vAlign w:val="bottom"/>
          </w:tcPr>
          <w:p>
            <w:pPr>
              <w:spacing w:after="0"/>
              <w:rPr>
                <w:sz w:val="8"/>
                <w:szCs w:val="8"/>
                <w:color w:val="auto"/>
              </w:rPr>
            </w:pPr>
          </w:p>
        </w:tc>
      </w:tr>
      <w:tr>
        <w:trPr>
          <w:trHeight w:val="28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Ron Verdoorn</w:t>
            </w:r>
          </w:p>
        </w:tc>
        <w:tc>
          <w:tcPr>
            <w:tcW w:w="2120" w:type="dxa"/>
            <w:vAlign w:val="bottom"/>
          </w:tcPr>
          <w:p>
            <w:pPr>
              <w:spacing w:after="0"/>
              <w:rPr>
                <w:sz w:val="24"/>
                <w:szCs w:val="24"/>
                <w:color w:val="auto"/>
              </w:rPr>
            </w:pPr>
          </w:p>
        </w:tc>
        <w:tc>
          <w:tcPr>
            <w:tcW w:w="7000" w:type="dxa"/>
            <w:vAlign w:val="bottom"/>
          </w:tcPr>
          <w:p>
            <w:pPr>
              <w:spacing w:after="0"/>
              <w:rPr>
                <w:sz w:val="24"/>
                <w:szCs w:val="24"/>
                <w:color w:val="auto"/>
              </w:rPr>
            </w:pPr>
          </w:p>
        </w:tc>
      </w:tr>
      <w:tr>
        <w:trPr>
          <w:trHeight w:val="432"/>
        </w:trPr>
        <w:tc>
          <w:tcPr>
            <w:tcW w:w="230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7000" w:type="dxa"/>
            <w:vAlign w:val="bottom"/>
          </w:tcPr>
          <w:p>
            <w:pPr>
              <w:ind w:left="1200"/>
              <w:spacing w:after="0"/>
              <w:rPr>
                <w:sz w:val="20"/>
                <w:szCs w:val="20"/>
                <w:color w:val="auto"/>
              </w:rPr>
            </w:pPr>
            <w:r>
              <w:rPr>
                <w:rFonts w:ascii="Times New Roman" w:cs="Times New Roman" w:eastAsia="Times New Roman" w:hAnsi="Times New Roman"/>
                <w:sz w:val="18"/>
                <w:szCs w:val="18"/>
                <w:color w:val="auto"/>
              </w:rPr>
              <w:t>-6-</w:t>
            </w:r>
          </w:p>
        </w:tc>
      </w:tr>
      <w:tr>
        <w:trPr>
          <w:trHeight w:val="228"/>
        </w:trPr>
        <w:tc>
          <w:tcPr>
            <w:tcW w:w="2300" w:type="dxa"/>
            <w:vAlign w:val="bottom"/>
            <w:tcBorders>
              <w:bottom w:val="single" w:sz="8" w:color="808080"/>
            </w:tcBorders>
          </w:tcPr>
          <w:p>
            <w:pPr>
              <w:spacing w:after="0"/>
              <w:rPr>
                <w:sz w:val="19"/>
                <w:szCs w:val="19"/>
                <w:color w:val="auto"/>
              </w:rPr>
            </w:pPr>
          </w:p>
        </w:tc>
        <w:tc>
          <w:tcPr>
            <w:tcW w:w="2120" w:type="dxa"/>
            <w:vAlign w:val="bottom"/>
            <w:tcBorders>
              <w:bottom w:val="single" w:sz="8" w:color="808080"/>
            </w:tcBorders>
          </w:tcPr>
          <w:p>
            <w:pPr>
              <w:spacing w:after="0"/>
              <w:rPr>
                <w:sz w:val="19"/>
                <w:szCs w:val="19"/>
                <w:color w:val="auto"/>
              </w:rPr>
            </w:pPr>
          </w:p>
        </w:tc>
        <w:tc>
          <w:tcPr>
            <w:tcW w:w="70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8" w:name="page9"/>
    <w:bookmarkEnd w:id="8"/>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20" w:type="dxa"/>
            <w:vAlign w:val="bottom"/>
          </w:tcPr>
          <w:p>
            <w:pPr>
              <w:spacing w:after="0"/>
              <w:rPr>
                <w:sz w:val="20"/>
                <w:szCs w:val="20"/>
                <w:color w:val="auto"/>
              </w:rPr>
            </w:pPr>
          </w:p>
        </w:tc>
        <w:tc>
          <w:tcPr>
            <w:tcW w:w="5780" w:type="dxa"/>
            <w:vAlign w:val="bottom"/>
          </w:tcPr>
          <w:p>
            <w:pPr>
              <w:ind w:left="4420"/>
              <w:spacing w:after="0"/>
              <w:rPr>
                <w:sz w:val="20"/>
                <w:szCs w:val="20"/>
                <w:color w:val="auto"/>
              </w:rPr>
            </w:pPr>
            <w:r>
              <w:rPr>
                <w:rFonts w:ascii="Times New Roman" w:cs="Times New Roman" w:eastAsia="Times New Roman" w:hAnsi="Times New Roman"/>
                <w:sz w:val="18"/>
                <w:szCs w:val="18"/>
                <w:b w:val="1"/>
                <w:bCs w:val="1"/>
                <w:color w:val="auto"/>
                <w:w w:val="96"/>
              </w:rPr>
              <w:t>EXHIBIT INDEX</w:t>
            </w:r>
          </w:p>
        </w:tc>
      </w:tr>
      <w:tr>
        <w:trPr>
          <w:trHeight w:val="891"/>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5.1</w:t>
            </w:r>
          </w:p>
        </w:tc>
        <w:tc>
          <w:tcPr>
            <w:tcW w:w="578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Opinion of Appleby Spurling &amp; Kempe.</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578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Consent of PricewaterhouseCoopers LLP, Independent Accountants.</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578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Consent of Appleby Spurling &amp; Kempe (included in Exhibit 5.1 hereto).</w:t>
            </w:r>
          </w:p>
        </w:tc>
      </w:tr>
      <w:tr>
        <w:trPr>
          <w:trHeight w:val="432"/>
        </w:trPr>
        <w:tc>
          <w:tcPr>
            <w:tcW w:w="62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5780" w:type="dxa"/>
            <w:vAlign w:val="bottom"/>
          </w:tcPr>
          <w:p>
            <w:pPr>
              <w:ind w:left="300"/>
              <w:spacing w:after="0"/>
              <w:rPr>
                <w:sz w:val="20"/>
                <w:szCs w:val="20"/>
                <w:color w:val="auto"/>
              </w:rPr>
            </w:pPr>
            <w:r>
              <w:rPr>
                <w:rFonts w:ascii="Times New Roman" w:cs="Times New Roman" w:eastAsia="Times New Roman" w:hAnsi="Times New Roman"/>
                <w:sz w:val="18"/>
                <w:szCs w:val="18"/>
                <w:color w:val="auto"/>
              </w:rPr>
              <w:t>Power of Attorney (see signature page hereto).</w:t>
            </w:r>
          </w:p>
        </w:tc>
      </w:tr>
      <w:tr>
        <w:trPr>
          <w:trHeight w:val="432"/>
        </w:trPr>
        <w:tc>
          <w:tcPr>
            <w:tcW w:w="620" w:type="dxa"/>
            <w:vAlign w:val="bottom"/>
          </w:tcPr>
          <w:p>
            <w:pPr>
              <w:spacing w:after="0"/>
              <w:rPr>
                <w:sz w:val="24"/>
                <w:szCs w:val="24"/>
                <w:color w:val="auto"/>
              </w:rPr>
            </w:pPr>
          </w:p>
        </w:tc>
        <w:tc>
          <w:tcPr>
            <w:tcW w:w="5780" w:type="dxa"/>
            <w:vAlign w:val="bottom"/>
          </w:tcPr>
          <w:p>
            <w:pPr>
              <w:ind w:left="5000"/>
              <w:spacing w:after="0"/>
              <w:rPr>
                <w:sz w:val="20"/>
                <w:szCs w:val="20"/>
                <w:color w:val="auto"/>
              </w:rPr>
            </w:pPr>
            <w:r>
              <w:rPr>
                <w:rFonts w:ascii="Times New Roman" w:cs="Times New Roman" w:eastAsia="Times New Roman" w:hAnsi="Times New Roman"/>
                <w:sz w:val="18"/>
                <w:szCs w:val="18"/>
                <w:color w:val="auto"/>
              </w:rPr>
              <w:t>-7-</w:t>
            </w:r>
          </w:p>
        </w:tc>
      </w:tr>
    </w:tbl>
    <w:p>
      <w:pPr>
        <w:sectPr>
          <w:pgSz w:w="11900" w:h="16838" w:orient="portrait"/>
          <w:cols w:equalWidth="0" w:num="1">
            <w:col w:w="10219"/>
          </w:cols>
          <w:pgMar w:left="240" w:top="415" w:right="1440" w:bottom="1440" w:gutter="0" w:footer="0" w:header="0"/>
        </w:sectPr>
      </w:pPr>
    </w:p>
    <w:bookmarkStart w:id="9" w:name="page10"/>
    <w:bookmarkEnd w:id="9"/>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ind w:left="5060"/>
        <w:spacing w:after="0"/>
        <w:rPr>
          <w:sz w:val="20"/>
          <w:szCs w:val="20"/>
          <w:color w:val="auto"/>
        </w:rPr>
      </w:pPr>
      <w:r>
        <w:rPr>
          <w:rFonts w:ascii="Courier New" w:cs="Courier New" w:eastAsia="Courier New" w:hAnsi="Courier New"/>
          <w:sz w:val="18"/>
          <w:szCs w:val="18"/>
          <w:color w:val="auto"/>
        </w:rPr>
        <w:t>JMVS/124194.11</w:t>
      </w:r>
    </w:p>
    <w:p>
      <w:pPr>
        <w:spacing w:after="0" w:line="31" w:lineRule="exact"/>
        <w:rPr>
          <w:sz w:val="20"/>
          <w:szCs w:val="20"/>
          <w:color w:val="auto"/>
        </w:rPr>
      </w:pPr>
    </w:p>
    <w:p>
      <w:pPr>
        <w:ind w:left="5060"/>
        <w:spacing w:after="0"/>
        <w:rPr>
          <w:sz w:val="20"/>
          <w:szCs w:val="20"/>
          <w:color w:val="auto"/>
        </w:rPr>
      </w:pPr>
      <w:r>
        <w:rPr>
          <w:rFonts w:ascii="Courier New" w:cs="Courier New" w:eastAsia="Courier New" w:hAnsi="Courier New"/>
          <w:sz w:val="16"/>
          <w:szCs w:val="16"/>
          <w:color w:val="auto"/>
        </w:rPr>
        <w:t>Direct Telephone: (441) 298 3240</w:t>
      </w:r>
    </w:p>
    <w:p>
      <w:pPr>
        <w:spacing w:after="0" w:line="21" w:lineRule="exact"/>
        <w:rPr>
          <w:sz w:val="20"/>
          <w:szCs w:val="20"/>
          <w:color w:val="auto"/>
        </w:rPr>
      </w:pPr>
    </w:p>
    <w:p>
      <w:pPr>
        <w:ind w:left="5060"/>
        <w:spacing w:after="0"/>
        <w:rPr>
          <w:sz w:val="20"/>
          <w:szCs w:val="20"/>
          <w:color w:val="auto"/>
        </w:rPr>
      </w:pPr>
      <w:r>
        <w:rPr>
          <w:rFonts w:ascii="Courier New" w:cs="Courier New" w:eastAsia="Courier New" w:hAnsi="Courier New"/>
          <w:sz w:val="18"/>
          <w:szCs w:val="18"/>
          <w:color w:val="auto"/>
        </w:rPr>
        <w:t>Direct e-mail: jvirgil@ask.bm</w:t>
      </w:r>
    </w:p>
    <w:p>
      <w:pPr>
        <w:spacing w:after="0" w:line="200" w:lineRule="exact"/>
        <w:rPr>
          <w:sz w:val="20"/>
          <w:szCs w:val="20"/>
          <w:color w:val="auto"/>
        </w:rPr>
      </w:pPr>
    </w:p>
    <w:p>
      <w:pPr>
        <w:spacing w:after="0" w:line="37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30 June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4th Floor, Windsor Place</w:t>
      </w:r>
    </w:p>
    <w:p>
      <w:pPr>
        <w:spacing w:after="0" w:line="238" w:lineRule="auto"/>
        <w:rPr>
          <w:sz w:val="20"/>
          <w:szCs w:val="20"/>
          <w:color w:val="auto"/>
        </w:rPr>
      </w:pPr>
      <w:r>
        <w:rPr>
          <w:rFonts w:ascii="Courier New" w:cs="Courier New" w:eastAsia="Courier New" w:hAnsi="Courier New"/>
          <w:sz w:val="18"/>
          <w:szCs w:val="18"/>
          <w:color w:val="auto"/>
        </w:rPr>
        <w:t>22 Queen Street</w:t>
      </w:r>
    </w:p>
    <w:p>
      <w:pPr>
        <w:spacing w:after="0"/>
        <w:rPr>
          <w:sz w:val="20"/>
          <w:szCs w:val="20"/>
          <w:color w:val="auto"/>
        </w:rPr>
      </w:pPr>
      <w:r>
        <w:rPr>
          <w:rFonts w:ascii="Courier New" w:cs="Courier New" w:eastAsia="Courier New" w:hAnsi="Courier New"/>
          <w:sz w:val="18"/>
          <w:szCs w:val="18"/>
          <w:color w:val="auto"/>
        </w:rPr>
        <w:t>P.O. Box HM 1179</w:t>
      </w:r>
    </w:p>
    <w:p>
      <w:pPr>
        <w:spacing w:after="0"/>
        <w:rPr>
          <w:sz w:val="20"/>
          <w:szCs w:val="20"/>
          <w:color w:val="auto"/>
        </w:rPr>
      </w:pPr>
      <w:r>
        <w:rPr>
          <w:rFonts w:ascii="Courier New" w:cs="Courier New" w:eastAsia="Courier New" w:hAnsi="Courier New"/>
          <w:sz w:val="18"/>
          <w:szCs w:val="18"/>
          <w:color w:val="auto"/>
        </w:rPr>
        <w:t>Hamilton HM EX, Bermuda</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ind w:right="1779"/>
        <w:spacing w:after="0" w:line="250" w:lineRule="auto"/>
        <w:rPr>
          <w:sz w:val="20"/>
          <w:szCs w:val="20"/>
          <w:color w:val="auto"/>
        </w:rPr>
      </w:pPr>
      <w:r>
        <w:rPr>
          <w:rFonts w:ascii="Courier New" w:cs="Courier New" w:eastAsia="Courier New" w:hAnsi="Courier New"/>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321,963 of the Company's common shares of par value US$0.002 per share issuable pursuant to options assumed by the Company that were originally granted under the Radlan Computer Communication Ltd. Key Employee Share Incentive Plan (1998), the Radlan Computer Communication Ltd. Key Employee Share Incentive Plan (2002) and the Radlan Computer Communication Ltd. 2003 Stock Option Plan (as amended) (together, the "Common Shares").</w:t>
      </w:r>
    </w:p>
    <w:p>
      <w:pPr>
        <w:spacing w:after="0" w:line="104"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1" w:lineRule="exact"/>
        <w:rPr>
          <w:sz w:val="20"/>
          <w:szCs w:val="20"/>
          <w:color w:val="auto"/>
        </w:rPr>
      </w:pPr>
    </w:p>
    <w:p>
      <w:pPr>
        <w:ind w:left="640" w:right="2199" w:hanging="632"/>
        <w:spacing w:after="0" w:line="265" w:lineRule="auto"/>
        <w:tabs>
          <w:tab w:leader="none" w:pos="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89"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1" w:lineRule="exact"/>
        <w:rPr>
          <w:rFonts w:ascii="Courier New" w:cs="Courier New" w:eastAsia="Courier New" w:hAnsi="Courier New"/>
          <w:sz w:val="18"/>
          <w:szCs w:val="18"/>
          <w:color w:val="auto"/>
        </w:rPr>
      </w:pPr>
    </w:p>
    <w:p>
      <w:pPr>
        <w:ind w:left="640" w:right="1779" w:hanging="632"/>
        <w:spacing w:after="0" w:line="292" w:lineRule="auto"/>
        <w:tabs>
          <w:tab w:leader="none" w:pos="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ectPr>
          <w:pgSz w:w="11900" w:h="16838" w:orient="portrait"/>
          <w:cols w:equalWidth="0" w:num="1">
            <w:col w:w="10219"/>
          </w:cols>
          <w:pgMar w:left="240" w:top="312" w:right="1440" w:bottom="1440" w:gutter="0" w:footer="0" w:header="0"/>
        </w:sectPr>
      </w:pPr>
    </w:p>
    <w:bookmarkStart w:id="10" w:name="page11"/>
    <w:bookmarkEnd w:id="10"/>
    <w:p>
      <w:pPr>
        <w:spacing w:after="0"/>
        <w:tabs>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30 June 2003</w:t>
      </w:r>
    </w:p>
    <w:p>
      <w:pPr>
        <w:spacing w:after="0" w:line="3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w:t>
      </w:r>
    </w:p>
    <w:p>
      <w:pPr>
        <w:spacing w:after="0" w:line="372" w:lineRule="exact"/>
        <w:rPr>
          <w:sz w:val="20"/>
          <w:szCs w:val="20"/>
          <w:color w:val="auto"/>
        </w:rPr>
      </w:pPr>
    </w:p>
    <w:p>
      <w:pPr>
        <w:ind w:left="640" w:right="1879" w:hanging="632"/>
        <w:spacing w:after="0" w:line="292"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pacing w:after="0" w:line="66" w:lineRule="exact"/>
        <w:rPr>
          <w:rFonts w:ascii="Courier New" w:cs="Courier New" w:eastAsia="Courier New" w:hAnsi="Courier New"/>
          <w:sz w:val="18"/>
          <w:szCs w:val="18"/>
          <w:color w:val="auto"/>
        </w:rPr>
      </w:pPr>
    </w:p>
    <w:p>
      <w:pPr>
        <w:ind w:left="640" w:right="2099" w:hanging="632"/>
        <w:spacing w:after="0" w:line="274"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81" w:lineRule="exact"/>
        <w:rPr>
          <w:rFonts w:ascii="Courier New" w:cs="Courier New" w:eastAsia="Courier New" w:hAnsi="Courier New"/>
          <w:sz w:val="18"/>
          <w:szCs w:val="18"/>
          <w:color w:val="auto"/>
        </w:rPr>
      </w:pPr>
    </w:p>
    <w:p>
      <w:pPr>
        <w:ind w:left="640" w:right="1999" w:hanging="632"/>
        <w:spacing w:after="0" w:line="287" w:lineRule="auto"/>
        <w:tabs>
          <w:tab w:leader="none" w:pos="6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Resolutions are in full force and effect and have not been rescinded, either in whole or in part, and accurately record the resolutions passed by the Board of Directors of the Company in meetings which were duly convened and at which a duly constituted quorum was present and voting throughout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75" w:lineRule="exact"/>
        <w:rPr>
          <w:rFonts w:ascii="Courier New" w:cs="Courier New" w:eastAsia="Courier New" w:hAnsi="Courier New"/>
          <w:sz w:val="16"/>
          <w:szCs w:val="16"/>
          <w:color w:val="auto"/>
        </w:rPr>
      </w:pPr>
    </w:p>
    <w:p>
      <w:pPr>
        <w:ind w:left="640" w:right="2199" w:hanging="632"/>
        <w:spacing w:after="0" w:line="292"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option award granted under the Plans relevant to this opinion (collectively, "Awards") constitute the legal, valid and binding obligations of the parties thereto, other than the Company;</w:t>
      </w:r>
    </w:p>
    <w:p>
      <w:pPr>
        <w:spacing w:after="0" w:line="66" w:lineRule="exact"/>
        <w:rPr>
          <w:rFonts w:ascii="Courier New" w:cs="Courier New" w:eastAsia="Courier New" w:hAnsi="Courier New"/>
          <w:sz w:val="18"/>
          <w:szCs w:val="18"/>
          <w:color w:val="auto"/>
        </w:rPr>
      </w:pPr>
    </w:p>
    <w:p>
      <w:pPr>
        <w:ind w:left="640" w:right="1999" w:hanging="632"/>
        <w:spacing w:after="0" w:line="274"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1" w:lineRule="exact"/>
        <w:rPr>
          <w:rFonts w:ascii="Courier New" w:cs="Courier New" w:eastAsia="Courier New" w:hAnsi="Courier New"/>
          <w:sz w:val="18"/>
          <w:szCs w:val="18"/>
          <w:color w:val="auto"/>
        </w:rPr>
      </w:pPr>
    </w:p>
    <w:p>
      <w:pPr>
        <w:ind w:left="640" w:right="1779" w:hanging="632"/>
        <w:spacing w:after="0" w:line="318" w:lineRule="auto"/>
        <w:tabs>
          <w:tab w:leader="none" w:pos="6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52" w:lineRule="exact"/>
        <w:rPr>
          <w:rFonts w:ascii="Courier New" w:cs="Courier New" w:eastAsia="Courier New" w:hAnsi="Courier New"/>
          <w:sz w:val="16"/>
          <w:szCs w:val="16"/>
          <w:color w:val="auto"/>
        </w:rPr>
      </w:pPr>
    </w:p>
    <w:p>
      <w:pPr>
        <w:ind w:left="640" w:right="1779" w:hanging="632"/>
        <w:spacing w:after="0" w:line="318" w:lineRule="auto"/>
        <w:tabs>
          <w:tab w:leader="none" w:pos="6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at the time of issue by the Share Incentive Committee of the Board of Directors of Radlan Computer Communications Ltd. (the "Radlan Committee") of any Award, such Radlan Committee was duly constituted having the necessary powers and authorities to issue Awards pursuant to the Plans;</w:t>
      </w:r>
    </w:p>
    <w:p>
      <w:pPr>
        <w:spacing w:after="0" w:line="52" w:lineRule="exact"/>
        <w:rPr>
          <w:rFonts w:ascii="Courier New" w:cs="Courier New" w:eastAsia="Courier New" w:hAnsi="Courier New"/>
          <w:sz w:val="16"/>
          <w:szCs w:val="16"/>
          <w:color w:val="auto"/>
        </w:rPr>
      </w:pPr>
    </w:p>
    <w:p>
      <w:pPr>
        <w:ind w:left="640" w:right="2099" w:hanging="632"/>
        <w:spacing w:after="0" w:line="265"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at the time of issue by the Stock Option Committee of the Board of Directors (the "Committee") of any Common Shares pursuant to any such Award, such Committee is a duly constituted committee of the Board of Directors of the Company having the necessary powers and authorities to issue Common Shares pursuant to the Plans;</w:t>
      </w:r>
    </w:p>
    <w:p>
      <w:pPr>
        <w:spacing w:after="0" w:line="89" w:lineRule="exact"/>
        <w:rPr>
          <w:rFonts w:ascii="Courier New" w:cs="Courier New" w:eastAsia="Courier New" w:hAnsi="Courier New"/>
          <w:sz w:val="18"/>
          <w:szCs w:val="18"/>
          <w:color w:val="auto"/>
        </w:rPr>
      </w:pPr>
    </w:p>
    <w:p>
      <w:pPr>
        <w:ind w:left="640" w:right="1779" w:hanging="632"/>
        <w:spacing w:after="0" w:line="265" w:lineRule="auto"/>
        <w:tabs>
          <w:tab w:leader="none" w:pos="6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approval of the issue of any Common Shares under Awards will be duly made either at a duly convened and quorate meeting of the Board of Directors of the Company, or at a duly convened and quorate meeting of the Committee in a manner complying with the terms of the Bye-laws of the Company then in force</w:t>
      </w:r>
    </w:p>
    <w:p>
      <w:pPr>
        <w:sectPr>
          <w:pgSz w:w="11900" w:h="16838" w:orient="portrait"/>
          <w:cols w:equalWidth="0" w:num="1">
            <w:col w:w="10219"/>
          </w:cols>
          <w:pgMar w:left="240" w:top="488" w:right="1440" w:bottom="1440" w:gutter="0" w:footer="0" w:header="0"/>
        </w:sectPr>
      </w:pPr>
    </w:p>
    <w:bookmarkStart w:id="11" w:name="page12"/>
    <w:bookmarkEnd w:id="11"/>
    <w:p>
      <w:pPr>
        <w:spacing w:after="0"/>
        <w:tabs>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30 June 2003</w:t>
      </w:r>
    </w:p>
    <w:p>
      <w:pPr>
        <w:spacing w:after="0" w:line="3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-3-</w:t>
      </w:r>
    </w:p>
    <w:p>
      <w:pPr>
        <w:spacing w:after="0" w:line="372" w:lineRule="exact"/>
        <w:rPr>
          <w:sz w:val="20"/>
          <w:szCs w:val="20"/>
          <w:color w:val="auto"/>
        </w:rPr>
      </w:pPr>
    </w:p>
    <w:p>
      <w:pPr>
        <w:ind w:left="640" w:right="2419"/>
        <w:spacing w:after="0" w:line="347" w:lineRule="auto"/>
        <w:rPr>
          <w:sz w:val="20"/>
          <w:szCs w:val="20"/>
          <w:color w:val="auto"/>
        </w:rPr>
      </w:pPr>
      <w:r>
        <w:rPr>
          <w:rFonts w:ascii="Courier New" w:cs="Courier New" w:eastAsia="Courier New" w:hAnsi="Courier New"/>
          <w:sz w:val="18"/>
          <w:szCs w:val="18"/>
          <w:color w:val="auto"/>
        </w:rPr>
        <w:t>and within the authority then given to the Committee by the Board of Directors of the Company;</w:t>
      </w:r>
    </w:p>
    <w:p>
      <w:pPr>
        <w:spacing w:after="0" w:line="18" w:lineRule="exact"/>
        <w:rPr>
          <w:sz w:val="20"/>
          <w:szCs w:val="20"/>
          <w:color w:val="auto"/>
        </w:rPr>
      </w:pPr>
    </w:p>
    <w:p>
      <w:pPr>
        <w:ind w:left="640" w:right="1779" w:hanging="632"/>
        <w:spacing w:after="0" w:line="265" w:lineRule="auto"/>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89" w:lineRule="exact"/>
        <w:rPr>
          <w:rFonts w:ascii="Courier New" w:cs="Courier New" w:eastAsia="Courier New" w:hAnsi="Courier New"/>
          <w:sz w:val="18"/>
          <w:szCs w:val="18"/>
          <w:color w:val="auto"/>
        </w:rPr>
      </w:pPr>
    </w:p>
    <w:p>
      <w:pPr>
        <w:ind w:left="640" w:right="1779" w:hanging="632"/>
        <w:spacing w:after="0" w:line="298" w:lineRule="auto"/>
        <w:tabs>
          <w:tab w:leader="none" w:pos="6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67" w:lineRule="exact"/>
        <w:rPr>
          <w:rFonts w:ascii="Courier New" w:cs="Courier New" w:eastAsia="Courier New" w:hAnsi="Courier New"/>
          <w:sz w:val="16"/>
          <w:szCs w:val="16"/>
          <w:color w:val="auto"/>
        </w:rPr>
      </w:pPr>
    </w:p>
    <w:p>
      <w:pPr>
        <w:ind w:left="640" w:right="2099" w:hanging="632"/>
        <w:spacing w:after="0" w:line="292" w:lineRule="auto"/>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66" w:lineRule="exact"/>
        <w:rPr>
          <w:rFonts w:ascii="Courier New" w:cs="Courier New" w:eastAsia="Courier New" w:hAnsi="Courier New"/>
          <w:sz w:val="18"/>
          <w:szCs w:val="18"/>
          <w:color w:val="auto"/>
        </w:rPr>
      </w:pPr>
    </w:p>
    <w:p>
      <w:pPr>
        <w:ind w:left="640" w:right="1999" w:hanging="632"/>
        <w:spacing w:after="0" w:line="265" w:lineRule="auto"/>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89" w:lineRule="exact"/>
        <w:rPr>
          <w:rFonts w:ascii="Courier New" w:cs="Courier New" w:eastAsia="Courier New" w:hAnsi="Courier New"/>
          <w:sz w:val="18"/>
          <w:szCs w:val="18"/>
          <w:color w:val="auto"/>
        </w:rPr>
      </w:pPr>
    </w:p>
    <w:p>
      <w:pPr>
        <w:ind w:left="640" w:right="2099" w:hanging="632"/>
        <w:spacing w:after="0" w:line="265" w:lineRule="auto"/>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1" w:lineRule="exact"/>
        <w:rPr>
          <w:sz w:val="20"/>
          <w:szCs w:val="20"/>
          <w:color w:val="auto"/>
        </w:rPr>
      </w:pPr>
    </w:p>
    <w:p>
      <w:pPr>
        <w:ind w:right="1779"/>
        <w:spacing w:after="0" w:line="256"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1" w:lineRule="exact"/>
        <w:rPr>
          <w:sz w:val="20"/>
          <w:szCs w:val="20"/>
          <w:color w:val="auto"/>
        </w:rPr>
      </w:pPr>
    </w:p>
    <w:p>
      <w:pPr>
        <w:ind w:left="640" w:right="1779" w:hanging="632"/>
        <w:spacing w:after="0" w:line="292" w:lineRule="auto"/>
        <w:tabs>
          <w:tab w:leader="none" w:pos="6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express no opinion as to any law other than Bermuda law and none of the opinions expressed herein relates to compliance with or matters governed by the</w:t>
      </w:r>
    </w:p>
    <w:p>
      <w:pPr>
        <w:sectPr>
          <w:pgSz w:w="11900" w:h="16838" w:orient="portrait"/>
          <w:cols w:equalWidth="0" w:num="1">
            <w:col w:w="10219"/>
          </w:cols>
          <w:pgMar w:left="240" w:top="488" w:right="1440" w:bottom="1440" w:gutter="0" w:footer="0" w:header="0"/>
        </w:sectPr>
      </w:pPr>
    </w:p>
    <w:bookmarkStart w:id="12" w:name="page13"/>
    <w:bookmarkEnd w:id="12"/>
    <w:p>
      <w:pPr>
        <w:spacing w:after="0"/>
        <w:tabs>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30 June 2003</w:t>
      </w:r>
    </w:p>
    <w:p>
      <w:pPr>
        <w:spacing w:after="0" w:line="3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-4-</w:t>
      </w:r>
    </w:p>
    <w:p>
      <w:pPr>
        <w:spacing w:after="0" w:line="372" w:lineRule="exact"/>
        <w:rPr>
          <w:sz w:val="20"/>
          <w:szCs w:val="20"/>
          <w:color w:val="auto"/>
        </w:rPr>
      </w:pPr>
    </w:p>
    <w:p>
      <w:pPr>
        <w:jc w:val="both"/>
        <w:ind w:left="640" w:right="2519"/>
        <w:spacing w:after="0" w:line="402" w:lineRule="auto"/>
        <w:rPr>
          <w:sz w:val="20"/>
          <w:szCs w:val="20"/>
          <w:color w:val="auto"/>
        </w:rPr>
      </w:pPr>
      <w:r>
        <w:rPr>
          <w:rFonts w:ascii="Courier New" w:cs="Courier New" w:eastAsia="Courier New" w:hAnsi="Courier New"/>
          <w:sz w:val="16"/>
          <w:szCs w:val="16"/>
          <w:color w:val="auto"/>
        </w:rPr>
        <w:t>laws of any jurisdiction except Bermuda. This opinion is limited to Bermuda law as applied by the courts of Bermuda at the date hereof.</w:t>
      </w:r>
    </w:p>
    <w:p>
      <w:pPr>
        <w:spacing w:after="0" w:line="1" w:lineRule="exact"/>
        <w:rPr>
          <w:sz w:val="20"/>
          <w:szCs w:val="20"/>
          <w:color w:val="auto"/>
        </w:rPr>
      </w:pPr>
    </w:p>
    <w:p>
      <w:pPr>
        <w:ind w:left="640" w:right="1779" w:hanging="632"/>
        <w:spacing w:after="0" w:line="252" w:lineRule="auto"/>
        <w:tabs>
          <w:tab w:leader="none" w:pos="6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98" w:lineRule="exact"/>
        <w:rPr>
          <w:rFonts w:ascii="Courier New" w:cs="Courier New" w:eastAsia="Courier New" w:hAnsi="Courier New"/>
          <w:sz w:val="18"/>
          <w:szCs w:val="18"/>
          <w:color w:val="auto"/>
        </w:rPr>
      </w:pPr>
    </w:p>
    <w:p>
      <w:pPr>
        <w:ind w:left="640" w:right="1999" w:hanging="632"/>
        <w:spacing w:after="0" w:line="292" w:lineRule="auto"/>
        <w:tabs>
          <w:tab w:leader="none" w:pos="6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66" w:lineRule="exact"/>
        <w:rPr>
          <w:rFonts w:ascii="Courier New" w:cs="Courier New" w:eastAsia="Courier New" w:hAnsi="Courier New"/>
          <w:sz w:val="18"/>
          <w:szCs w:val="18"/>
          <w:color w:val="auto"/>
        </w:rPr>
      </w:pPr>
    </w:p>
    <w:p>
      <w:pPr>
        <w:ind w:left="1280" w:right="1779" w:hanging="640"/>
        <w:spacing w:after="0" w:line="298" w:lineRule="auto"/>
        <w:tabs>
          <w:tab w:leader="none" w:pos="1280" w:val="left"/>
        </w:tabs>
        <w:numPr>
          <w:ilvl w:val="1"/>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67" w:lineRule="exact"/>
        <w:rPr>
          <w:rFonts w:ascii="Courier New" w:cs="Courier New" w:eastAsia="Courier New" w:hAnsi="Courier New"/>
          <w:sz w:val="16"/>
          <w:szCs w:val="16"/>
          <w:color w:val="auto"/>
        </w:rPr>
      </w:pPr>
    </w:p>
    <w:p>
      <w:pPr>
        <w:ind w:left="1280" w:right="1879" w:hanging="640"/>
        <w:spacing w:after="0" w:line="292" w:lineRule="auto"/>
        <w:tabs>
          <w:tab w:leader="none" w:pos="1280" w:val="left"/>
        </w:tabs>
        <w:numPr>
          <w:ilvl w:val="1"/>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66" w:lineRule="exact"/>
        <w:rPr>
          <w:rFonts w:ascii="Courier New" w:cs="Courier New" w:eastAsia="Courier New" w:hAnsi="Courier New"/>
          <w:sz w:val="18"/>
          <w:szCs w:val="18"/>
          <w:color w:val="auto"/>
        </w:rPr>
      </w:pPr>
    </w:p>
    <w:p>
      <w:pPr>
        <w:ind w:left="640" w:right="1879" w:hanging="632"/>
        <w:spacing w:after="0" w:line="292" w:lineRule="auto"/>
        <w:tabs>
          <w:tab w:leader="none" w:pos="6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Searches as referred to in the Schedule and have not enquired as to whether there has been any change since the date of the Searches.</w:t>
      </w: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1" w:lineRule="exact"/>
        <w:rPr>
          <w:sz w:val="20"/>
          <w:szCs w:val="20"/>
          <w:color w:val="auto"/>
        </w:rPr>
      </w:pPr>
    </w:p>
    <w:p>
      <w:pPr>
        <w:ind w:right="1779"/>
        <w:spacing w:after="0" w:line="298"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68" w:lineRule="exact"/>
        <w:rPr>
          <w:sz w:val="20"/>
          <w:szCs w:val="20"/>
          <w:color w:val="auto"/>
        </w:rPr>
      </w:pPr>
    </w:p>
    <w:p>
      <w:pPr>
        <w:ind w:right="2099"/>
        <w:spacing w:after="0" w:line="344"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Appleby Spurling &amp; Kempe</w:t>
      </w:r>
    </w:p>
    <w:p>
      <w:pPr>
        <w:sectPr>
          <w:pgSz w:w="11900" w:h="16838" w:orient="portrait"/>
          <w:cols w:equalWidth="0" w:num="1">
            <w:col w:w="10219"/>
          </w:cols>
          <w:pgMar w:left="240" w:top="488" w:right="1440" w:bottom="1440" w:gutter="0" w:footer="0" w:header="0"/>
        </w:sectPr>
      </w:pPr>
    </w:p>
    <w:bookmarkStart w:id="13" w:name="page14"/>
    <w:bookmarkEnd w:id="13"/>
    <w:p>
      <w:pPr>
        <w:spacing w:after="0"/>
        <w:tabs>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30 June 2003</w:t>
      </w:r>
    </w:p>
    <w:p>
      <w:pPr>
        <w:spacing w:after="0" w:line="200" w:lineRule="exact"/>
        <w:rPr>
          <w:sz w:val="20"/>
          <w:szCs w:val="20"/>
          <w:color w:val="auto"/>
        </w:rPr>
      </w:pPr>
    </w:p>
    <w:p>
      <w:pPr>
        <w:spacing w:after="0" w:line="20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SCHEDULE</w:t>
      </w:r>
    </w:p>
    <w:p>
      <w:pPr>
        <w:spacing w:after="0" w:line="201" w:lineRule="exact"/>
        <w:rPr>
          <w:sz w:val="20"/>
          <w:szCs w:val="20"/>
          <w:color w:val="auto"/>
        </w:rPr>
      </w:pPr>
    </w:p>
    <w:p>
      <w:pPr>
        <w:ind w:left="640" w:right="1879" w:hanging="632"/>
        <w:spacing w:after="0" w:line="292"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on 30 June 2003 (excluding the exhibits and excluding the documents incorporated by reference).</w:t>
      </w:r>
    </w:p>
    <w:p>
      <w:pPr>
        <w:spacing w:after="0" w:line="66" w:lineRule="exact"/>
        <w:rPr>
          <w:rFonts w:ascii="Courier New" w:cs="Courier New" w:eastAsia="Courier New" w:hAnsi="Courier New"/>
          <w:sz w:val="18"/>
          <w:szCs w:val="18"/>
          <w:color w:val="auto"/>
        </w:rPr>
      </w:pPr>
    </w:p>
    <w:p>
      <w:pPr>
        <w:ind w:left="640" w:right="2099" w:hanging="632"/>
        <w:spacing w:after="0" w:line="265"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each of Radlan Computer Communication Ltd. Key Employee Share Incentive Plan (1998), the Radlan Computer Communication Ltd. Key Employee Share Incentive Plan (2002) and the Radlan Computer Communication Ltd. 2003 Stock Option Plan (as amended) (together, the "Plans").</w:t>
      </w:r>
    </w:p>
    <w:p>
      <w:pPr>
        <w:spacing w:after="0" w:line="89" w:lineRule="exact"/>
        <w:rPr>
          <w:rFonts w:ascii="Courier New" w:cs="Courier New" w:eastAsia="Courier New" w:hAnsi="Courier New"/>
          <w:sz w:val="18"/>
          <w:szCs w:val="18"/>
          <w:color w:val="auto"/>
        </w:rPr>
      </w:pPr>
    </w:p>
    <w:p>
      <w:pPr>
        <w:jc w:val="both"/>
        <w:ind w:left="640" w:right="2199" w:hanging="632"/>
        <w:spacing w:after="0" w:line="402" w:lineRule="auto"/>
        <w:tabs>
          <w:tab w:leader="none" w:pos="6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Minutes of the meetings of the Board of Directors of the Company held on 9 January 2003 and 4 February 2003 (the "Resolutions")</w:t>
      </w:r>
    </w:p>
    <w:p>
      <w:pPr>
        <w:ind w:left="640" w:right="1779" w:hanging="632"/>
        <w:spacing w:after="0" w:line="274"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30 June 2003 (the "Company Search");</w:t>
      </w:r>
    </w:p>
    <w:p>
      <w:pPr>
        <w:spacing w:after="0" w:line="81" w:lineRule="exact"/>
        <w:rPr>
          <w:rFonts w:ascii="Courier New" w:cs="Courier New" w:eastAsia="Courier New" w:hAnsi="Courier New"/>
          <w:sz w:val="18"/>
          <w:szCs w:val="18"/>
          <w:color w:val="auto"/>
        </w:rPr>
      </w:pPr>
    </w:p>
    <w:p>
      <w:pPr>
        <w:ind w:left="640" w:right="2199" w:hanging="632"/>
        <w:spacing w:after="0" w:line="274"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30 June 2003 (the "Litigation Search");</w:t>
      </w:r>
    </w:p>
    <w:p>
      <w:pPr>
        <w:spacing w:after="0" w:line="81" w:lineRule="exact"/>
        <w:rPr>
          <w:rFonts w:ascii="Courier New" w:cs="Courier New" w:eastAsia="Courier New" w:hAnsi="Courier New"/>
          <w:sz w:val="18"/>
          <w:szCs w:val="18"/>
          <w:color w:val="auto"/>
        </w:rPr>
      </w:pPr>
    </w:p>
    <w:p>
      <w:pPr>
        <w:ind w:left="640" w:right="1779"/>
        <w:spacing w:after="0" w:line="34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18" w:lineRule="exact"/>
        <w:rPr>
          <w:rFonts w:ascii="Courier New" w:cs="Courier New" w:eastAsia="Courier New" w:hAnsi="Courier New"/>
          <w:sz w:val="18"/>
          <w:szCs w:val="18"/>
          <w:color w:val="auto"/>
        </w:rPr>
      </w:pPr>
    </w:p>
    <w:p>
      <w:pPr>
        <w:ind w:left="640" w:right="1879" w:hanging="632"/>
        <w:spacing w:after="0" w:line="292"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66" w:lineRule="exact"/>
        <w:rPr>
          <w:rFonts w:ascii="Courier New" w:cs="Courier New" w:eastAsia="Courier New" w:hAnsi="Courier New"/>
          <w:sz w:val="18"/>
          <w:szCs w:val="18"/>
          <w:color w:val="auto"/>
        </w:rPr>
      </w:pPr>
    </w:p>
    <w:p>
      <w:pPr>
        <w:ind w:left="640" w:right="1879" w:hanging="632"/>
        <w:spacing w:after="0" w:line="292" w:lineRule="auto"/>
        <w:tabs>
          <w:tab w:leader="none" w:pos="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permissions dated 31 May 2000 given by the Bermuda Monetary Authority under the Exchange Control Act (1972) and related regulations for the issue of shares in the capital of the Company.</w:t>
      </w:r>
    </w:p>
    <w:p>
      <w:pPr>
        <w:sectPr>
          <w:pgSz w:w="11900" w:h="16838" w:orient="portrait"/>
          <w:cols w:equalWidth="0" w:num="1">
            <w:col w:w="10219"/>
          </w:cols>
          <w:pgMar w:left="240" w:top="488" w:right="1440" w:bottom="1440" w:gutter="0" w:footer="0" w:header="0"/>
        </w:sectPr>
      </w:pPr>
    </w:p>
    <w:bookmarkStart w:id="14" w:name="page15"/>
    <w:bookmarkEnd w:id="14"/>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1"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February 26, 2003 relating to the financial statements of Marvell Technology Group Ltd., which appears in Marvell Technology Group Ltd.'s Annual Report on Form 10-K for the year ended February 1, 2003.</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June 27, 2003</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1)"/>
      <w:numFmt w:val="decimal"/>
      <w:start w:val="1"/>
    </w:lvl>
  </w:abstractNum>
  <w:abstractNum w:abstractNumId="1">
    <w:nsid w:val="79E2A9E3"/>
    <w:multiLevelType w:val="hybridMultilevel"/>
    <w:lvl w:ilvl="0">
      <w:lvlJc w:val="left"/>
      <w:lvlText w:val="•"/>
      <w:numFmt w:val="bullet"/>
      <w:start w:val="1"/>
    </w:lvl>
  </w:abstractNum>
  <w:abstractNum w:abstractNumId="2">
    <w:nsid w:val="7545E146"/>
    <w:multiLevelType w:val="hybridMultilevel"/>
    <w:lvl w:ilvl="0">
      <w:lvlJc w:val="left"/>
      <w:lvlText w:val="(%1)"/>
      <w:numFmt w:val="decimal"/>
      <w:start w:val="1"/>
    </w:lvl>
  </w:abstractNum>
  <w:abstractNum w:abstractNumId="3">
    <w:nsid w:val="515F007C"/>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4">
    <w:nsid w:val="5BD062C2"/>
    <w:multiLevelType w:val="hybridMultilevel"/>
    <w:lvl w:ilvl="0">
      <w:lvlJc w:val="left"/>
      <w:lvlText w:val="(%1)"/>
      <w:numFmt w:val="lowerRoman"/>
      <w:start w:val="3"/>
    </w:lvl>
  </w:abstractNum>
  <w:abstractNum w:abstractNumId="5">
    <w:nsid w:val="12200854"/>
    <w:multiLevelType w:val="hybridMultilevel"/>
    <w:lvl w:ilvl="0">
      <w:lvlJc w:val="left"/>
      <w:lvlText w:val="%1"/>
      <w:numFmt w:val="lowerLetter"/>
      <w:start w:val="1"/>
    </w:lvl>
    <w:lvl w:ilvl="1">
      <w:lvlJc w:val="left"/>
      <w:lvlText w:val="(%2)"/>
      <w:numFmt w:val="decimal"/>
      <w:start w:val="2"/>
    </w:lvl>
  </w:abstractNum>
  <w:abstractNum w:abstractNumId="6">
    <w:nsid w:val="4DB127F8"/>
    <w:multiLevelType w:val="hybridMultilevel"/>
    <w:lvl w:ilvl="0">
      <w:lvlJc w:val="left"/>
      <w:lvlText w:val="(%1)"/>
      <w:numFmt w:val="lowerLetter"/>
      <w:start w:val="2"/>
    </w:lvl>
    <w:lvl w:ilvl="1">
      <w:lvlJc w:val="left"/>
      <w:lvlText w:val="%2"/>
      <w:numFmt w:val="decimal"/>
      <w:start w:val="1"/>
    </w:lvl>
  </w:abstractNum>
  <w:abstractNum w:abstractNumId="7">
    <w:nsid w:val="216231B"/>
    <w:multiLevelType w:val="hybridMultilevel"/>
    <w:lvl w:ilvl="0">
      <w:lvlJc w:val="left"/>
      <w:lvlText w:val="%1)"/>
      <w:numFmt w:val="lowerLetter"/>
      <w:start w:val="1"/>
    </w:lvl>
  </w:abstractNum>
  <w:abstractNum w:abstractNumId="8">
    <w:nsid w:val="1F16E9E8"/>
    <w:multiLevelType w:val="hybridMultilevel"/>
    <w:lvl w:ilvl="0">
      <w:lvlJc w:val="left"/>
      <w:lvlText w:val="%1)"/>
      <w:numFmt w:val="lowerLetter"/>
      <w:start w:val="4"/>
    </w:lvl>
  </w:abstractNum>
  <w:abstractNum w:abstractNumId="9">
    <w:nsid w:val="1190CDE7"/>
    <w:multiLevelType w:val="hybridMultilevel"/>
    <w:lvl w:ilvl="0">
      <w:lvlJc w:val="left"/>
      <w:lvlText w:val="%1)"/>
      <w:numFmt w:val="lowerLetter"/>
      <w:start w:val="13"/>
    </w:lvl>
  </w:abstractNum>
  <w:abstractNum w:abstractNumId="10">
    <w:nsid w:val="66EF438D"/>
    <w:multiLevelType w:val="hybridMultilevel"/>
    <w:lvl w:ilvl="0">
      <w:lvlJc w:val="left"/>
      <w:lvlText w:val="(%1)"/>
      <w:numFmt w:val="lowerLetter"/>
      <w:start w:val="1"/>
    </w:lvl>
  </w:abstractNum>
  <w:abstractNum w:abstractNumId="11">
    <w:nsid w:val="140E0F76"/>
    <w:multiLevelType w:val="hybridMultilevel"/>
    <w:lvl w:ilvl="0">
      <w:lvlJc w:val="left"/>
      <w:lvlText w:val="(%1)"/>
      <w:numFmt w:val="lowerLetter"/>
      <w:start w:val="2"/>
    </w:lvl>
    <w:lvl w:ilvl="1">
      <w:lvlJc w:val="left"/>
      <w:lvlText w:val="(%2)"/>
      <w:numFmt w:val="lowerRoman"/>
      <w:start w:val="1"/>
    </w:lvl>
  </w:abstractNum>
  <w:abstractNum w:abstractNumId="12">
    <w:nsid w:val="3352255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2019-12-14T20:21:40Z</dcterms:created>
  <dcterms:modified xsi:type="dcterms:W3CDTF">2019-12-14T20:21:40Z</dcterms:modified>
</cp:coreProperties>
</file>