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61487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614870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07/02/2003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6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3340" w:type="dxa"/>
            <w:vAlign w:val="bottom"/>
            <w:gridSpan w:val="7"/>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  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6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4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4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38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4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ind w:left="760"/>
              <w:spacing w:after="0"/>
              <w:rPr>
                <w:sz w:val="20"/>
                <w:szCs w:val="20"/>
                <w:color w:val="auto"/>
              </w:rPr>
            </w:pPr>
            <w:r>
              <w:rPr>
                <w:rFonts w:ascii="Arial" w:cs="Arial" w:eastAsia="Arial" w:hAnsi="Arial"/>
                <w:sz w:val="18"/>
                <w:szCs w:val="18"/>
                <w:color w:val="0000FF"/>
              </w:rPr>
              <w:t>07/02/2003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ind w:left="220"/>
              <w:spacing w:after="0"/>
              <w:rPr>
                <w:sz w:val="20"/>
                <w:szCs w:val="20"/>
                <w:color w:val="auto"/>
              </w:rPr>
            </w:pPr>
            <w:r>
              <w:rPr>
                <w:rFonts w:ascii="Arial" w:cs="Arial" w:eastAsia="Arial" w:hAnsi="Arial"/>
                <w:sz w:val="18"/>
                <w:szCs w:val="18"/>
                <w:color w:val="0000FF"/>
                <w:w w:val="90"/>
              </w:rPr>
              <w:t>35,000</w:t>
            </w:r>
          </w:p>
        </w:tc>
        <w:tc>
          <w:tcPr>
            <w:tcW w:w="460" w:type="dxa"/>
            <w:vAlign w:val="bottom"/>
            <w:vMerge w:val="restart"/>
          </w:tcPr>
          <w:p>
            <w:pPr>
              <w:ind w:left="32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80" w:type="dxa"/>
            <w:vAlign w:val="bottom"/>
            <w:gridSpan w:val="2"/>
            <w:vMerge w:val="restart"/>
          </w:tcPr>
          <w:p>
            <w:pPr>
              <w:ind w:left="40"/>
              <w:spacing w:after="0"/>
              <w:rPr>
                <w:sz w:val="20"/>
                <w:szCs w:val="20"/>
                <w:color w:val="auto"/>
              </w:rPr>
            </w:pPr>
            <w:r>
              <w:rPr>
                <w:rFonts w:ascii="Arial" w:cs="Arial" w:eastAsia="Arial" w:hAnsi="Arial"/>
                <w:sz w:val="18"/>
                <w:szCs w:val="18"/>
                <w:color w:val="0000FF"/>
                <w:w w:val="95"/>
              </w:rPr>
              <w:t>37.0225</w:t>
            </w:r>
          </w:p>
        </w:tc>
        <w:tc>
          <w:tcPr>
            <w:tcW w:w="460" w:type="dxa"/>
            <w:vAlign w:val="bottom"/>
          </w:tcPr>
          <w:p>
            <w:pPr>
              <w:spacing w:after="0"/>
              <w:rPr>
                <w:sz w:val="18"/>
                <w:szCs w:val="18"/>
                <w:color w:val="auto"/>
              </w:rPr>
            </w:pPr>
          </w:p>
        </w:tc>
        <w:tc>
          <w:tcPr>
            <w:tcW w:w="780" w:type="dxa"/>
            <w:vAlign w:val="bottom"/>
            <w:vMerge w:val="restart"/>
          </w:tcPr>
          <w:p>
            <w:pPr>
              <w:ind w:left="20"/>
              <w:spacing w:after="0" w:line="386" w:lineRule="exact"/>
              <w:rPr>
                <w:sz w:val="20"/>
                <w:szCs w:val="20"/>
                <w:color w:val="auto"/>
              </w:rPr>
            </w:pPr>
            <w:r>
              <w:rPr>
                <w:rFonts w:ascii="Arial" w:cs="Arial" w:eastAsia="Arial" w:hAnsi="Arial"/>
                <w:sz w:val="35"/>
                <w:szCs w:val="35"/>
                <w:color w:val="0000FF"/>
                <w:vertAlign w:val="subscript"/>
              </w:rPr>
              <w:t>0</w:t>
            </w:r>
            <w:r>
              <w:rPr>
                <w:rFonts w:ascii="Arial" w:cs="Arial" w:eastAsia="Arial" w:hAnsi="Arial"/>
                <w:sz w:val="11"/>
                <w:szCs w:val="11"/>
                <w:color w:val="008000"/>
              </w:rPr>
              <w:t>(1)</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780" w:type="dxa"/>
            <w:vAlign w:val="bottom"/>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Inc.</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10"/>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50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Reporting Person also has indirect beneficial ownership in the following: 85,286 shares held by Investar Capital Inc., and 6,814 shares held by Spouse. The Reporting Person disclaims beneficial ownership of the shares held by his Spouse. In addition, Reporting Person also has direct beneficial ownership of 370,665 shares.</w:t>
      </w:r>
    </w:p>
    <w:p>
      <w:pPr>
        <w:spacing w:after="0" w:line="30" w:lineRule="exact"/>
        <w:rPr>
          <w:rFonts w:ascii="Arial" w:cs="Arial" w:eastAsia="Arial" w:hAnsi="Arial"/>
          <w:sz w:val="14"/>
          <w:szCs w:val="14"/>
          <w:color w:val="008000"/>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07/07/2003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2019-12-17T17:36:12Z</dcterms:created>
  <dcterms:modified xsi:type="dcterms:W3CDTF">2019-12-17T17:36:12Z</dcterms:modified>
</cp:coreProperties>
</file>