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38735"/>
                    </a:xfrm>
                    <a:prstGeom prst="rect">
                      <a:avLst/>
                    </a:prstGeom>
                    <a:noFill/>
                  </pic:spPr>
                </pic:pic>
              </a:graphicData>
            </a:graphic>
          </wp:anchor>
        </w:drawing>
      </w:r>
    </w:p>
    <w:p>
      <w:pPr>
        <w:spacing w:after="0" w:line="200" w:lineRule="exact"/>
        <w:rPr>
          <w:sz w:val="20"/>
          <w:szCs w:val="20"/>
          <w:color w:val="auto"/>
        </w:rPr>
      </w:pPr>
    </w:p>
    <w:p>
      <w:pPr>
        <w:spacing w:after="0" w:line="265" w:lineRule="exact"/>
        <w:rPr>
          <w:sz w:val="20"/>
          <w:szCs w:val="20"/>
          <w:color w:val="auto"/>
        </w:rPr>
      </w:pPr>
    </w:p>
    <w:p>
      <w:pPr>
        <w:jc w:val="center"/>
        <w:ind w:right="-1200"/>
        <w:spacing w:after="0"/>
        <w:rPr>
          <w:sz w:val="20"/>
          <w:szCs w:val="20"/>
          <w:color w:val="auto"/>
        </w:rPr>
      </w:pPr>
      <w:r>
        <w:rPr>
          <w:rFonts w:ascii="Arial" w:cs="Arial" w:eastAsia="Arial" w:hAnsi="Arial"/>
          <w:sz w:val="24"/>
          <w:szCs w:val="24"/>
          <w:b w:val="1"/>
          <w:bCs w:val="1"/>
          <w:color w:val="auto"/>
        </w:rPr>
        <w:t>SECURITIES AND EXCHANGE COMMISSION</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22"/>
          <w:szCs w:val="22"/>
          <w:b w:val="1"/>
          <w:bCs w:val="1"/>
          <w:color w:val="auto"/>
        </w:rPr>
        <w:t>Washington, D.C. 20549</w:t>
      </w:r>
    </w:p>
    <w:p>
      <w:pPr>
        <w:spacing w:after="0" w:line="192" w:lineRule="exact"/>
        <w:rPr>
          <w:sz w:val="20"/>
          <w:szCs w:val="20"/>
          <w:color w:val="auto"/>
        </w:rPr>
      </w:pPr>
    </w:p>
    <w:p>
      <w:pPr>
        <w:jc w:val="center"/>
        <w:ind w:right="-1200"/>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0"/>
          <w:szCs w:val="20"/>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0"/>
          <w:szCs w:val="20"/>
          <w:color w:val="auto"/>
        </w:rPr>
      </w:pPr>
    </w:p>
    <w:p>
      <w:pPr>
        <w:ind w:left="3660"/>
        <w:spacing w:after="0"/>
        <w:rPr>
          <w:sz w:val="20"/>
          <w:szCs w:val="20"/>
          <w:color w:val="auto"/>
        </w:rPr>
      </w:pPr>
      <w:r>
        <w:rPr>
          <w:rFonts w:ascii="Arial" w:cs="Arial" w:eastAsia="Arial" w:hAnsi="Arial"/>
          <w:sz w:val="22"/>
          <w:szCs w:val="22"/>
          <w:b w:val="1"/>
          <w:bCs w:val="1"/>
          <w:color w:val="auto"/>
        </w:rPr>
        <w:t>PURSUANT TO SECTION 13 OR 15(d) OF</w:t>
      </w:r>
    </w:p>
    <w:p>
      <w:pPr>
        <w:spacing w:after="0" w:line="14" w:lineRule="exact"/>
        <w:rPr>
          <w:sz w:val="20"/>
          <w:szCs w:val="20"/>
          <w:color w:val="auto"/>
        </w:rPr>
      </w:pPr>
    </w:p>
    <w:p>
      <w:pPr>
        <w:jc w:val="center"/>
        <w:ind w:right="-1200"/>
        <w:spacing w:after="0"/>
        <w:rPr>
          <w:sz w:val="20"/>
          <w:szCs w:val="20"/>
          <w:color w:val="auto"/>
        </w:rPr>
      </w:pPr>
      <w:r>
        <w:rPr>
          <w:rFonts w:ascii="Arial" w:cs="Arial" w:eastAsia="Arial" w:hAnsi="Arial"/>
          <w:sz w:val="22"/>
          <w:szCs w:val="22"/>
          <w:b w:val="1"/>
          <w:bCs w:val="1"/>
          <w:color w:val="auto"/>
        </w:rPr>
        <w:t>THE SECURITIES EXCHANGE ACT OF 1934</w:t>
      </w:r>
    </w:p>
    <w:p>
      <w:pPr>
        <w:spacing w:after="0" w:line="195"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August 28, 2003</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Date of report</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(Date of earliest event reported)</w:t>
      </w:r>
    </w:p>
    <w:p>
      <w:pPr>
        <w:spacing w:after="0" w:line="184" w:lineRule="exact"/>
        <w:rPr>
          <w:sz w:val="20"/>
          <w:szCs w:val="20"/>
          <w:color w:val="auto"/>
        </w:rPr>
      </w:pPr>
    </w:p>
    <w:p>
      <w:pPr>
        <w:jc w:val="right"/>
        <w:ind w:right="419"/>
        <w:spacing w:after="0"/>
        <w:rPr>
          <w:sz w:val="20"/>
          <w:szCs w:val="20"/>
          <w:color w:val="auto"/>
        </w:rPr>
      </w:pPr>
      <w:r>
        <w:rPr>
          <w:rFonts w:ascii="Arial" w:cs="Arial" w:eastAsia="Arial" w:hAnsi="Arial"/>
          <w:sz w:val="43"/>
          <w:szCs w:val="43"/>
          <w:b w:val="1"/>
          <w:bCs w:val="1"/>
          <w:color w:val="auto"/>
        </w:rPr>
        <w:t>MARVELL TECHNOLOGY GROUP LTD.</w:t>
      </w:r>
    </w:p>
    <w:p>
      <w:pPr>
        <w:spacing w:after="0" w:line="250" w:lineRule="exact"/>
        <w:rPr>
          <w:sz w:val="20"/>
          <w:szCs w:val="20"/>
          <w:color w:val="auto"/>
        </w:rPr>
      </w:pPr>
    </w:p>
    <w:p>
      <w:pPr>
        <w:ind w:left="3780"/>
        <w:spacing w:after="0"/>
        <w:rPr>
          <w:sz w:val="20"/>
          <w:szCs w:val="20"/>
          <w:color w:val="auto"/>
        </w:rPr>
      </w:pPr>
      <w:r>
        <w:rPr>
          <w:rFonts w:ascii="Arial" w:cs="Arial" w:eastAsia="Arial" w:hAnsi="Arial"/>
          <w:sz w:val="18"/>
          <w:szCs w:val="18"/>
          <w:b w:val="1"/>
          <w:bCs w:val="1"/>
          <w:color w:val="auto"/>
        </w:rPr>
        <w:t>(Exact name of registrant as specified in its charter)</w:t>
      </w:r>
    </w:p>
    <w:p>
      <w:pPr>
        <w:sectPr>
          <w:pgSz w:w="11900" w:h="16838" w:orient="portrait"/>
          <w:cols w:equalWidth="0" w:num="1">
            <w:col w:w="10219"/>
          </w:cols>
          <w:pgMar w:left="240" w:top="122" w:right="1440" w:bottom="1440" w:gutter="0" w:footer="0" w:header="0"/>
        </w:sectPr>
      </w:pPr>
    </w:p>
    <w:p>
      <w:pPr>
        <w:spacing w:after="0" w:line="252" w:lineRule="exact"/>
        <w:rPr>
          <w:sz w:val="20"/>
          <w:szCs w:val="20"/>
          <w:color w:val="auto"/>
        </w:rPr>
      </w:pPr>
    </w:p>
    <w:p>
      <w:pPr>
        <w:ind w:left="2540"/>
        <w:spacing w:after="0"/>
        <w:rPr>
          <w:sz w:val="20"/>
          <w:szCs w:val="20"/>
          <w:color w:val="auto"/>
        </w:rPr>
      </w:pPr>
      <w:r>
        <w:rPr>
          <w:rFonts w:ascii="Arial" w:cs="Arial" w:eastAsia="Arial" w:hAnsi="Arial"/>
          <w:sz w:val="18"/>
          <w:szCs w:val="18"/>
          <w:b w:val="1"/>
          <w:bCs w:val="1"/>
          <w:color w:val="auto"/>
        </w:rPr>
        <w:t>Bermuda</w:t>
      </w:r>
    </w:p>
    <w:p>
      <w:pPr>
        <w:spacing w:after="0" w:line="21" w:lineRule="exact"/>
        <w:rPr>
          <w:sz w:val="20"/>
          <w:szCs w:val="20"/>
          <w:color w:val="auto"/>
        </w:rPr>
      </w:pPr>
    </w:p>
    <w:p>
      <w:pPr>
        <w:ind w:left="1800"/>
        <w:spacing w:after="0"/>
        <w:rPr>
          <w:sz w:val="20"/>
          <w:szCs w:val="20"/>
          <w:color w:val="auto"/>
        </w:rPr>
      </w:pPr>
      <w:r>
        <w:rPr>
          <w:rFonts w:ascii="Arial" w:cs="Arial" w:eastAsia="Arial" w:hAnsi="Arial"/>
          <w:sz w:val="16"/>
          <w:szCs w:val="16"/>
          <w:b w:val="1"/>
          <w:bCs w:val="1"/>
          <w:color w:val="auto"/>
        </w:rPr>
        <w:t>(State or other jurisdiction of</w:t>
      </w:r>
    </w:p>
    <w:p>
      <w:pPr>
        <w:spacing w:after="0" w:line="32" w:lineRule="exact"/>
        <w:rPr>
          <w:sz w:val="20"/>
          <w:szCs w:val="20"/>
          <w:color w:val="auto"/>
        </w:rPr>
      </w:pPr>
    </w:p>
    <w:p>
      <w:pPr>
        <w:ind w:left="1760"/>
        <w:spacing w:after="0"/>
        <w:rPr>
          <w:sz w:val="20"/>
          <w:szCs w:val="20"/>
          <w:color w:val="auto"/>
        </w:rPr>
      </w:pPr>
      <w:r>
        <w:rPr>
          <w:rFonts w:ascii="Arial" w:cs="Arial" w:eastAsia="Arial" w:hAnsi="Arial"/>
          <w:sz w:val="15"/>
          <w:szCs w:val="15"/>
          <w:b w:val="1"/>
          <w:bCs w:val="1"/>
          <w:color w:val="auto"/>
        </w:rPr>
        <w:t>incorporation or organization)</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jc w:val="center"/>
        <w:ind w:right="280"/>
        <w:spacing w:after="0"/>
        <w:rPr>
          <w:sz w:val="20"/>
          <w:szCs w:val="20"/>
          <w:color w:val="auto"/>
        </w:rPr>
      </w:pPr>
      <w:r>
        <w:rPr>
          <w:rFonts w:ascii="Arial" w:cs="Arial" w:eastAsia="Arial" w:hAnsi="Arial"/>
          <w:sz w:val="18"/>
          <w:szCs w:val="18"/>
          <w:b w:val="1"/>
          <w:bCs w:val="1"/>
          <w:color w:val="auto"/>
        </w:rPr>
        <w:t>0-30877</w:t>
      </w:r>
    </w:p>
    <w:p>
      <w:pPr>
        <w:spacing w:after="0" w:line="21" w:lineRule="exact"/>
        <w:rPr>
          <w:sz w:val="20"/>
          <w:szCs w:val="20"/>
          <w:color w:val="auto"/>
        </w:rPr>
      </w:pPr>
    </w:p>
    <w:p>
      <w:pPr>
        <w:jc w:val="center"/>
        <w:ind w:right="280"/>
        <w:spacing w:after="0"/>
        <w:rPr>
          <w:sz w:val="20"/>
          <w:szCs w:val="20"/>
          <w:color w:val="auto"/>
        </w:rPr>
      </w:pPr>
      <w:r>
        <w:rPr>
          <w:rFonts w:ascii="Arial" w:cs="Arial" w:eastAsia="Arial" w:hAnsi="Arial"/>
          <w:sz w:val="15"/>
          <w:szCs w:val="15"/>
          <w:b w:val="1"/>
          <w:bCs w:val="1"/>
          <w:color w:val="auto"/>
        </w:rPr>
        <w:t>(Commission File</w:t>
      </w:r>
    </w:p>
    <w:p>
      <w:pPr>
        <w:spacing w:after="0" w:line="44" w:lineRule="exact"/>
        <w:rPr>
          <w:sz w:val="20"/>
          <w:szCs w:val="20"/>
          <w:color w:val="auto"/>
        </w:rPr>
      </w:pPr>
    </w:p>
    <w:p>
      <w:pPr>
        <w:jc w:val="center"/>
        <w:ind w:right="280"/>
        <w:spacing w:after="0"/>
        <w:rPr>
          <w:sz w:val="20"/>
          <w:szCs w:val="20"/>
          <w:color w:val="auto"/>
        </w:rPr>
      </w:pPr>
      <w:r>
        <w:rPr>
          <w:rFonts w:ascii="Arial" w:cs="Arial" w:eastAsia="Arial" w:hAnsi="Arial"/>
          <w:sz w:val="18"/>
          <w:szCs w:val="18"/>
          <w:b w:val="1"/>
          <w:bCs w:val="1"/>
          <w:color w:val="auto"/>
        </w:rPr>
        <w:t>Number)</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77-0481679</w:t>
      </w:r>
    </w:p>
    <w:p>
      <w:pPr>
        <w:spacing w:after="0" w:line="21" w:lineRule="exact"/>
        <w:rPr>
          <w:sz w:val="20"/>
          <w:szCs w:val="20"/>
          <w:color w:val="auto"/>
        </w:rPr>
      </w:pPr>
    </w:p>
    <w:p>
      <w:pPr>
        <w:jc w:val="center"/>
        <w:ind w:right="259"/>
        <w:spacing w:after="0"/>
        <w:rPr>
          <w:sz w:val="20"/>
          <w:szCs w:val="20"/>
          <w:color w:val="auto"/>
        </w:rPr>
      </w:pPr>
      <w:r>
        <w:rPr>
          <w:rFonts w:ascii="Arial" w:cs="Arial" w:eastAsia="Arial" w:hAnsi="Arial"/>
          <w:sz w:val="16"/>
          <w:szCs w:val="16"/>
          <w:b w:val="1"/>
          <w:bCs w:val="1"/>
          <w:color w:val="auto"/>
        </w:rPr>
        <w:t>(I.R.S. Employer Identification</w:t>
      </w:r>
    </w:p>
    <w:p>
      <w:pPr>
        <w:spacing w:after="0" w:line="32"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No.)</w:t>
      </w:r>
    </w:p>
    <w:p>
      <w:pPr>
        <w:spacing w:after="0" w:line="200" w:lineRule="exact"/>
        <w:rPr>
          <w:sz w:val="20"/>
          <w:szCs w:val="20"/>
          <w:color w:val="auto"/>
        </w:rPr>
      </w:pPr>
    </w:p>
    <w:p>
      <w:pPr>
        <w:sectPr>
          <w:pgSz w:w="11900" w:h="16838" w:orient="portrait"/>
          <w:cols w:equalWidth="0" w:num="3">
            <w:col w:w="4600" w:space="720"/>
            <w:col w:w="1600" w:space="720"/>
            <w:col w:w="2579"/>
          </w:cols>
          <w:pgMar w:left="240" w:top="122" w:right="1440" w:bottom="1440" w:gutter="0" w:footer="0" w:header="0"/>
          <w:type w:val="continuous"/>
        </w:sectPr>
      </w:pPr>
    </w:p>
    <w:p>
      <w:pPr>
        <w:spacing w:after="0" w:line="16"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4</w:t>
      </w:r>
      <w:r>
        <w:rPr>
          <w:rFonts w:ascii="Arial" w:cs="Arial" w:eastAsia="Arial" w:hAnsi="Arial"/>
          <w:sz w:val="14"/>
          <w:szCs w:val="14"/>
          <w:b w:val="1"/>
          <w:bCs w:val="1"/>
          <w:color w:val="auto"/>
        </w:rPr>
        <w:t>th</w:t>
      </w:r>
      <w:r>
        <w:rPr>
          <w:rFonts w:ascii="Arial" w:cs="Arial" w:eastAsia="Arial" w:hAnsi="Arial"/>
          <w:sz w:val="18"/>
          <w:szCs w:val="18"/>
          <w:b w:val="1"/>
          <w:bCs w:val="1"/>
          <w:color w:val="auto"/>
        </w:rPr>
        <w:t xml:space="preserve"> Floor</w:t>
      </w:r>
    </w:p>
    <w:p>
      <w:pPr>
        <w:spacing w:after="0" w:line="5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Windsor Place</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22 Queen Street</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6"/>
          <w:szCs w:val="16"/>
          <w:b w:val="1"/>
          <w:bCs w:val="1"/>
          <w:color w:val="auto"/>
        </w:rPr>
        <w:t>P.O. Box HM 1179</w:t>
      </w:r>
    </w:p>
    <w:p>
      <w:pPr>
        <w:spacing w:after="0" w:line="32" w:lineRule="exact"/>
        <w:rPr>
          <w:sz w:val="20"/>
          <w:szCs w:val="20"/>
          <w:color w:val="auto"/>
        </w:rPr>
      </w:pPr>
    </w:p>
    <w:p>
      <w:pPr>
        <w:jc w:val="center"/>
        <w:ind w:right="-1200"/>
        <w:spacing w:after="0"/>
        <w:rPr>
          <w:sz w:val="20"/>
          <w:szCs w:val="20"/>
          <w:color w:val="auto"/>
        </w:rPr>
      </w:pPr>
      <w:r>
        <w:rPr>
          <w:rFonts w:ascii="Arial" w:cs="Arial" w:eastAsia="Arial" w:hAnsi="Arial"/>
          <w:sz w:val="16"/>
          <w:szCs w:val="16"/>
          <w:b w:val="1"/>
          <w:bCs w:val="1"/>
          <w:color w:val="auto"/>
        </w:rPr>
        <w:t>Hamilton HM EX</w:t>
      </w:r>
    </w:p>
    <w:p>
      <w:pPr>
        <w:spacing w:after="0" w:line="32"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Bermuda</w:t>
      </w:r>
    </w:p>
    <w:p>
      <w:pPr>
        <w:sectPr>
          <w:pgSz w:w="11900" w:h="16838" w:orient="portrait"/>
          <w:cols w:equalWidth="0" w:num="1">
            <w:col w:w="10219"/>
          </w:cols>
          <w:pgMar w:left="240" w:top="122" w:right="1440" w:bottom="1440" w:gutter="0" w:footer="0" w:header="0"/>
          <w:type w:val="continuous"/>
        </w:sectPr>
      </w:pPr>
    </w:p>
    <w:p>
      <w:pPr>
        <w:spacing w:after="0" w:line="213" w:lineRule="exact"/>
        <w:rPr>
          <w:sz w:val="20"/>
          <w:szCs w:val="20"/>
          <w:color w:val="auto"/>
        </w:rPr>
      </w:pPr>
    </w:p>
    <w:p>
      <w:pPr>
        <w:jc w:val="center"/>
        <w:ind w:right="-1220"/>
        <w:spacing w:after="0"/>
        <w:rPr>
          <w:sz w:val="20"/>
          <w:szCs w:val="20"/>
          <w:color w:val="auto"/>
        </w:rPr>
      </w:pPr>
      <w:r>
        <w:rPr>
          <w:rFonts w:ascii="Arial" w:cs="Arial" w:eastAsia="Arial" w:hAnsi="Arial"/>
          <w:sz w:val="18"/>
          <w:szCs w:val="18"/>
          <w:b w:val="1"/>
          <w:bCs w:val="1"/>
          <w:color w:val="auto"/>
        </w:rPr>
        <w:t>(Address of principal executive offices) (Zip Code)</w:t>
      </w:r>
    </w:p>
    <w:p>
      <w:pPr>
        <w:spacing w:after="0" w:line="225" w:lineRule="exact"/>
        <w:rPr>
          <w:sz w:val="20"/>
          <w:szCs w:val="20"/>
          <w:color w:val="auto"/>
        </w:rPr>
      </w:pPr>
    </w:p>
    <w:p>
      <w:pPr>
        <w:jc w:val="center"/>
        <w:ind w:right="-1220"/>
        <w:spacing w:after="0"/>
        <w:rPr>
          <w:sz w:val="20"/>
          <w:szCs w:val="20"/>
          <w:color w:val="auto"/>
        </w:rPr>
      </w:pPr>
      <w:r>
        <w:rPr>
          <w:rFonts w:ascii="Arial" w:cs="Arial" w:eastAsia="Arial" w:hAnsi="Arial"/>
          <w:sz w:val="15"/>
          <w:szCs w:val="15"/>
          <w:b w:val="1"/>
          <w:bCs w:val="1"/>
          <w:color w:val="auto"/>
        </w:rPr>
        <w:t>Registrant’s telephone number, including area code: (441) 296-6395</w:t>
      </w:r>
    </w:p>
    <w:p>
      <w:pPr>
        <w:spacing w:after="0" w:line="260" w:lineRule="exact"/>
        <w:rPr>
          <w:sz w:val="20"/>
          <w:szCs w:val="20"/>
          <w:color w:val="auto"/>
        </w:rPr>
      </w:pPr>
    </w:p>
    <w:p>
      <w:pPr>
        <w:jc w:val="center"/>
        <w:ind w:right="-1220"/>
        <w:spacing w:after="0"/>
        <w:rPr>
          <w:sz w:val="20"/>
          <w:szCs w:val="20"/>
          <w:color w:val="auto"/>
        </w:rPr>
      </w:pPr>
      <w:r>
        <w:rPr>
          <w:rFonts w:ascii="Arial" w:cs="Arial" w:eastAsia="Arial" w:hAnsi="Arial"/>
          <w:sz w:val="18"/>
          <w:szCs w:val="18"/>
          <w:b w:val="1"/>
          <w:bCs w:val="1"/>
          <w:color w:val="auto"/>
        </w:rPr>
        <w:t>N/A</w:t>
      </w:r>
    </w:p>
    <w:p>
      <w:pPr>
        <w:spacing w:after="0" w:line="21" w:lineRule="exact"/>
        <w:rPr>
          <w:sz w:val="20"/>
          <w:szCs w:val="20"/>
          <w:color w:val="auto"/>
        </w:rPr>
      </w:pPr>
    </w:p>
    <w:p>
      <w:pPr>
        <w:jc w:val="center"/>
        <w:ind w:right="-1220"/>
        <w:spacing w:after="0"/>
        <w:rPr>
          <w:sz w:val="20"/>
          <w:szCs w:val="20"/>
          <w:color w:val="auto"/>
        </w:rPr>
      </w:pPr>
      <w:r>
        <w:rPr>
          <w:rFonts w:ascii="Arial" w:cs="Arial" w:eastAsia="Arial" w:hAnsi="Arial"/>
          <w:sz w:val="16"/>
          <w:szCs w:val="16"/>
          <w:b w:val="1"/>
          <w:bCs w:val="1"/>
          <w:color w:val="auto"/>
        </w:rPr>
        <w:t>(Former name and former address, if changed since last report)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130810</wp:posOffset>
            </wp:positionV>
            <wp:extent cx="7250430"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0430" cy="387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577215</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219"/>
          </w:cols>
          <w:pgMar w:left="240" w:top="122" w:right="1440" w:bottom="1440" w:gutter="0" w:footer="0" w:header="0"/>
          <w:type w:val="continuous"/>
        </w:sectPr>
      </w:pPr>
    </w:p>
    <w:bookmarkStart w:id="2" w:name="page3"/>
    <w:bookmarkEnd w:id="2"/>
    <w:p>
      <w:pPr>
        <w:ind w:left="3980"/>
        <w:spacing w:after="0"/>
        <w:rPr>
          <w:sz w:val="20"/>
          <w:szCs w:val="20"/>
          <w:color w:val="auto"/>
        </w:rPr>
      </w:pPr>
      <w:r>
        <w:rPr>
          <w:rFonts w:ascii="Arial" w:cs="Arial" w:eastAsia="Arial" w:hAnsi="Arial"/>
          <w:sz w:val="21"/>
          <w:szCs w:val="21"/>
          <w:b w:val="1"/>
          <w:bCs w:val="1"/>
          <w:u w:val="single" w:color="auto"/>
          <w:color w:val="auto"/>
        </w:rPr>
        <w:t>TABLE OF CONTENTS</w:t>
      </w:r>
    </w:p>
    <w:p>
      <w:pPr>
        <w:spacing w:after="0" w:line="224" w:lineRule="exact"/>
        <w:rPr>
          <w:sz w:val="20"/>
          <w:szCs w:val="20"/>
          <w:color w:val="auto"/>
        </w:rPr>
      </w:pPr>
    </w:p>
    <w:p>
      <w:pPr>
        <w:ind w:left="320"/>
        <w:spacing w:after="0"/>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5. Other Events and Regulation FD Disclosure</w:t>
        </w:r>
      </w:hyperlink>
    </w:p>
    <w:p>
      <w:pPr>
        <w:spacing w:after="0" w:line="8" w:lineRule="exact"/>
        <w:rPr>
          <w:sz w:val="20"/>
          <w:szCs w:val="20"/>
          <w:color w:val="auto"/>
        </w:rPr>
      </w:pPr>
    </w:p>
    <w:p>
      <w:pPr>
        <w:spacing w:after="0"/>
        <w:rPr>
          <w:rFonts w:ascii="Arial" w:cs="Arial" w:eastAsia="Arial" w:hAnsi="Arial"/>
          <w:sz w:val="22"/>
          <w:szCs w:val="22"/>
          <w:u w:val="single" w:color="auto"/>
          <w:color w:val="0000EE"/>
        </w:rPr>
      </w:pPr>
      <w:hyperlink w:anchor="page7">
        <w:r>
          <w:rPr>
            <w:rFonts w:ascii="Arial" w:cs="Arial" w:eastAsia="Arial" w:hAnsi="Arial"/>
            <w:sz w:val="22"/>
            <w:szCs w:val="22"/>
            <w:u w:val="single" w:color="auto"/>
            <w:color w:val="0000EE"/>
          </w:rPr>
          <w:t>SIGNATURE</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5. Other Events and Regulation FD Disclosure</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On August 21, 2003, Marvell® Technology Group Ltd. reported financial results for its second fiscal quarter ended August 2, 2003.</w:t>
      </w:r>
    </w:p>
    <w:p>
      <w:pPr>
        <w:spacing w:after="0" w:line="225" w:lineRule="exact"/>
        <w:rPr>
          <w:sz w:val="20"/>
          <w:szCs w:val="20"/>
          <w:color w:val="auto"/>
        </w:rPr>
      </w:pPr>
    </w:p>
    <w:p>
      <w:pPr>
        <w:ind w:right="160" w:firstLine="220"/>
        <w:spacing w:after="0" w:line="256" w:lineRule="auto"/>
        <w:rPr>
          <w:sz w:val="20"/>
          <w:szCs w:val="20"/>
          <w:color w:val="auto"/>
        </w:rPr>
      </w:pPr>
      <w:r>
        <w:rPr>
          <w:rFonts w:ascii="Arial" w:cs="Arial" w:eastAsia="Arial" w:hAnsi="Arial"/>
          <w:sz w:val="18"/>
          <w:szCs w:val="18"/>
          <w:color w:val="auto"/>
        </w:rPr>
        <w:t>Net revenue for the second quarter of fiscal 2004 was $192.9 million, an increase of 61% over net revenue of $119.7 million for the second quarter of fiscal 2003 and a 15% sequential increase from net revenue of $168.3 million for the first quarter of fiscal 2004. Net income under generally accepted accounting principles (GAAP) was $9.4 million, or $0.07 per share (diluted), for the second quarter of fiscal 2004, compared with net loss under GAAP of $9.3 million, or $0.08 per share (diluted), for the second quarter of fiscal 2003.</w:t>
      </w:r>
    </w:p>
    <w:p>
      <w:pPr>
        <w:spacing w:after="0" w:line="197" w:lineRule="exact"/>
        <w:rPr>
          <w:sz w:val="20"/>
          <w:szCs w:val="20"/>
          <w:color w:val="auto"/>
        </w:rPr>
      </w:pPr>
    </w:p>
    <w:p>
      <w:pPr>
        <w:jc w:val="both"/>
        <w:ind w:firstLine="220"/>
        <w:spacing w:after="0" w:line="259" w:lineRule="auto"/>
        <w:rPr>
          <w:sz w:val="20"/>
          <w:szCs w:val="20"/>
          <w:color w:val="auto"/>
        </w:rPr>
      </w:pPr>
      <w:r>
        <w:rPr>
          <w:rFonts w:ascii="Arial" w:cs="Arial" w:eastAsia="Arial" w:hAnsi="Arial"/>
          <w:sz w:val="18"/>
          <w:szCs w:val="18"/>
          <w:color w:val="auto"/>
        </w:rPr>
        <w:t>Net revenue for the six months ended August 2, 2003 was $361.1 million, an increase of 65% over net revenue of $218.5 million for six months ended August 3, 2002. Net income under GAAP was $13.8 million, or $0.10 per share (diluted), for the six months ended August 2, 2003, compared with net loss under GAAP of $40.3 million, or $0.34 per share (diluted), for the six months ended August 3, 2002.</w:t>
      </w:r>
    </w:p>
    <w:p>
      <w:pPr>
        <w:spacing w:after="0" w:line="194" w:lineRule="exact"/>
        <w:rPr>
          <w:sz w:val="20"/>
          <w:szCs w:val="20"/>
          <w:color w:val="auto"/>
        </w:rPr>
      </w:pPr>
    </w:p>
    <w:p>
      <w:pPr>
        <w:ind w:right="160" w:firstLine="216"/>
        <w:spacing w:after="0" w:line="268" w:lineRule="auto"/>
        <w:rPr>
          <w:sz w:val="20"/>
          <w:szCs w:val="20"/>
          <w:color w:val="auto"/>
        </w:rPr>
      </w:pPr>
      <w:r>
        <w:rPr>
          <w:rFonts w:ascii="Arial" w:cs="Arial" w:eastAsia="Arial" w:hAnsi="Arial"/>
          <w:sz w:val="18"/>
          <w:szCs w:val="18"/>
          <w:color w:val="auto"/>
        </w:rPr>
        <w:t>The consolidated statement of operations (unaudited) for the three months ended August 2, 2002 and 2003 and for the six months ended August 2, 2002 and 2003 as well as the consolidated balance sheets (unaudited) as of August 2, 2003 and as of February 1, 2003 follow.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395605</wp:posOffset>
            </wp:positionV>
            <wp:extent cx="725043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58"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300" w:type="dxa"/>
            <w:vAlign w:val="bottom"/>
          </w:tcPr>
          <w:p>
            <w:pPr>
              <w:spacing w:after="0"/>
              <w:rPr>
                <w:sz w:val="15"/>
                <w:szCs w:val="15"/>
                <w:color w:val="auto"/>
              </w:rPr>
            </w:pPr>
          </w:p>
        </w:tc>
        <w:tc>
          <w:tcPr>
            <w:tcW w:w="50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400" w:type="dxa"/>
            <w:vAlign w:val="bottom"/>
            <w:gridSpan w:val="6"/>
          </w:tcPr>
          <w:p>
            <w:pPr>
              <w:jc w:val="right"/>
              <w:ind w:right="72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00" w:type="dxa"/>
            <w:vAlign w:val="bottom"/>
            <w:gridSpan w:val="5"/>
          </w:tcPr>
          <w:p>
            <w:pPr>
              <w:jc w:val="right"/>
              <w:ind w:right="920"/>
              <w:spacing w:after="0"/>
              <w:rPr>
                <w:sz w:val="20"/>
                <w:szCs w:val="20"/>
                <w:color w:val="auto"/>
              </w:rPr>
            </w:pPr>
            <w:r>
              <w:rPr>
                <w:rFonts w:ascii="Arial" w:cs="Arial" w:eastAsia="Arial" w:hAnsi="Arial"/>
                <w:sz w:val="14"/>
                <w:szCs w:val="14"/>
                <w:b w:val="1"/>
                <w:bCs w:val="1"/>
                <w:color w:val="auto"/>
                <w:w w:val="87"/>
              </w:rPr>
              <w:t>Six Months Ended</w:t>
            </w: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300" w:type="dxa"/>
            <w:vAlign w:val="bottom"/>
          </w:tcPr>
          <w:p>
            <w:pPr>
              <w:spacing w:after="0"/>
              <w:rPr>
                <w:sz w:val="8"/>
                <w:szCs w:val="8"/>
                <w:color w:val="auto"/>
              </w:rPr>
            </w:pPr>
          </w:p>
        </w:tc>
        <w:tc>
          <w:tcPr>
            <w:tcW w:w="50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300" w:type="dxa"/>
            <w:vAlign w:val="bottom"/>
          </w:tcPr>
          <w:p>
            <w:pPr>
              <w:spacing w:after="0"/>
              <w:rPr>
                <w:sz w:val="20"/>
                <w:szCs w:val="20"/>
                <w:color w:val="auto"/>
              </w:rPr>
            </w:pPr>
          </w:p>
        </w:tc>
        <w:tc>
          <w:tcPr>
            <w:tcW w:w="50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940" w:type="dxa"/>
            <w:vAlign w:val="bottom"/>
            <w:gridSpan w:val="2"/>
          </w:tcPr>
          <w:p>
            <w:pPr>
              <w:ind w:left="40"/>
              <w:spacing w:after="0"/>
              <w:rPr>
                <w:sz w:val="20"/>
                <w:szCs w:val="20"/>
                <w:color w:val="auto"/>
              </w:rPr>
            </w:pPr>
            <w:r>
              <w:rPr>
                <w:rFonts w:ascii="Arial" w:cs="Arial" w:eastAsia="Arial" w:hAnsi="Arial"/>
                <w:sz w:val="14"/>
                <w:szCs w:val="14"/>
                <w:b w:val="1"/>
                <w:bCs w:val="1"/>
                <w:color w:val="auto"/>
              </w:rPr>
              <w:t>August 2,</w:t>
            </w:r>
          </w:p>
        </w:tc>
        <w:tc>
          <w:tcPr>
            <w:tcW w:w="2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7"/>
              </w:rPr>
              <w:t>August 3,</w:t>
            </w:r>
          </w:p>
        </w:tc>
        <w:tc>
          <w:tcPr>
            <w:tcW w:w="2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00" w:type="dxa"/>
            <w:vAlign w:val="bottom"/>
            <w:gridSpan w:val="2"/>
          </w:tcPr>
          <w:p>
            <w:pPr>
              <w:ind w:left="40"/>
              <w:spacing w:after="0"/>
              <w:rPr>
                <w:sz w:val="20"/>
                <w:szCs w:val="20"/>
                <w:color w:val="auto"/>
              </w:rPr>
            </w:pPr>
            <w:r>
              <w:rPr>
                <w:rFonts w:ascii="Arial" w:cs="Arial" w:eastAsia="Arial" w:hAnsi="Arial"/>
                <w:sz w:val="14"/>
                <w:szCs w:val="14"/>
                <w:b w:val="1"/>
                <w:bCs w:val="1"/>
                <w:color w:val="auto"/>
                <w:w w:val="84"/>
              </w:rPr>
              <w:t>August 2,</w:t>
            </w:r>
          </w:p>
        </w:tc>
        <w:tc>
          <w:tcPr>
            <w:tcW w:w="3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4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90"/>
              </w:rPr>
              <w:t>August 3,</w:t>
            </w: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4"/>
        </w:trPr>
        <w:tc>
          <w:tcPr>
            <w:tcW w:w="300" w:type="dxa"/>
            <w:vAlign w:val="bottom"/>
          </w:tcPr>
          <w:p>
            <w:pPr>
              <w:spacing w:after="0"/>
              <w:rPr>
                <w:sz w:val="15"/>
                <w:szCs w:val="15"/>
                <w:color w:val="auto"/>
              </w:rPr>
            </w:pPr>
          </w:p>
        </w:tc>
        <w:tc>
          <w:tcPr>
            <w:tcW w:w="50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580" w:type="dxa"/>
            <w:vAlign w:val="bottom"/>
          </w:tcPr>
          <w:p>
            <w:pPr>
              <w:jc w:val="right"/>
              <w:ind w:right="35"/>
              <w:spacing w:after="0"/>
              <w:rPr>
                <w:sz w:val="20"/>
                <w:szCs w:val="20"/>
                <w:color w:val="auto"/>
              </w:rPr>
            </w:pPr>
            <w:r>
              <w:rPr>
                <w:rFonts w:ascii="Arial" w:cs="Arial" w:eastAsia="Arial" w:hAnsi="Arial"/>
                <w:sz w:val="14"/>
                <w:szCs w:val="14"/>
                <w:b w:val="1"/>
                <w:bCs w:val="1"/>
                <w:color w:val="auto"/>
              </w:rPr>
              <w:t>2003</w:t>
            </w:r>
          </w:p>
        </w:tc>
        <w:tc>
          <w:tcPr>
            <w:tcW w:w="3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60" w:type="dxa"/>
            <w:vAlign w:val="bottom"/>
          </w:tcPr>
          <w:p>
            <w:pPr>
              <w:jc w:val="right"/>
              <w:ind w:right="34"/>
              <w:spacing w:after="0"/>
              <w:rPr>
                <w:sz w:val="20"/>
                <w:szCs w:val="20"/>
                <w:color w:val="auto"/>
              </w:rPr>
            </w:pPr>
            <w:r>
              <w:rPr>
                <w:rFonts w:ascii="Arial" w:cs="Arial" w:eastAsia="Arial" w:hAnsi="Arial"/>
                <w:sz w:val="14"/>
                <w:szCs w:val="14"/>
                <w:b w:val="1"/>
                <w:bCs w:val="1"/>
                <w:color w:val="auto"/>
              </w:rPr>
              <w:t>2002</w:t>
            </w:r>
          </w:p>
        </w:tc>
        <w:tc>
          <w:tcPr>
            <w:tcW w:w="3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rPr>
              <w:t>2003</w:t>
            </w:r>
          </w:p>
        </w:tc>
        <w:tc>
          <w:tcPr>
            <w:tcW w:w="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00" w:type="dxa"/>
            <w:vAlign w:val="bottom"/>
          </w:tcPr>
          <w:p>
            <w:pPr>
              <w:jc w:val="right"/>
              <w:ind w:right="54"/>
              <w:spacing w:after="0"/>
              <w:rPr>
                <w:sz w:val="20"/>
                <w:szCs w:val="20"/>
                <w:color w:val="auto"/>
              </w:rPr>
            </w:pPr>
            <w:r>
              <w:rPr>
                <w:rFonts w:ascii="Arial" w:cs="Arial" w:eastAsia="Arial" w:hAnsi="Arial"/>
                <w:sz w:val="14"/>
                <w:szCs w:val="14"/>
                <w:b w:val="1"/>
                <w:bCs w:val="1"/>
                <w:color w:val="auto"/>
              </w:rPr>
              <w:t>2002</w:t>
            </w:r>
          </w:p>
        </w:tc>
        <w:tc>
          <w:tcPr>
            <w:tcW w:w="4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300" w:type="dxa"/>
            <w:vAlign w:val="bottom"/>
          </w:tcPr>
          <w:p>
            <w:pPr>
              <w:spacing w:after="0"/>
              <w:rPr>
                <w:sz w:val="8"/>
                <w:szCs w:val="8"/>
                <w:color w:val="auto"/>
              </w:rPr>
            </w:pPr>
          </w:p>
        </w:tc>
        <w:tc>
          <w:tcPr>
            <w:tcW w:w="50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00" w:type="dxa"/>
            <w:vAlign w:val="bottom"/>
            <w:vMerge w:val="restart"/>
          </w:tcPr>
          <w:p>
            <w:pPr>
              <w:spacing w:after="0"/>
              <w:rPr>
                <w:sz w:val="8"/>
                <w:szCs w:val="8"/>
                <w:color w:val="auto"/>
              </w:rPr>
            </w:pPr>
          </w:p>
        </w:tc>
        <w:tc>
          <w:tcPr>
            <w:tcW w:w="50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300" w:type="dxa"/>
            <w:vAlign w:val="bottom"/>
            <w:vMerge w:val="continue"/>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2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192,854</w:t>
            </w:r>
          </w:p>
        </w:tc>
        <w:tc>
          <w:tcPr>
            <w:tcW w:w="360" w:type="dxa"/>
            <w:vAlign w:val="bottom"/>
            <w:shd w:val="clear" w:color="auto" w:fill="EEEEEE"/>
          </w:tcPr>
          <w:p>
            <w:pPr>
              <w:spacing w:after="0"/>
              <w:rPr>
                <w:sz w:val="18"/>
                <w:szCs w:val="18"/>
                <w:color w:val="auto"/>
              </w:rPr>
            </w:pPr>
          </w:p>
        </w:tc>
        <w:tc>
          <w:tcPr>
            <w:tcW w:w="56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119,694</w:t>
            </w:r>
          </w:p>
        </w:tc>
        <w:tc>
          <w:tcPr>
            <w:tcW w:w="34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361,137</w:t>
            </w:r>
          </w:p>
        </w:tc>
        <w:tc>
          <w:tcPr>
            <w:tcW w:w="20" w:type="dxa"/>
            <w:vAlign w:val="bottom"/>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218,494</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00" w:type="dxa"/>
            <w:vAlign w:val="bottom"/>
          </w:tcPr>
          <w:p>
            <w:pPr>
              <w:spacing w:after="0"/>
              <w:rPr>
                <w:sz w:val="19"/>
                <w:szCs w:val="19"/>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Cost of goods sold</w:t>
            </w:r>
          </w:p>
        </w:tc>
        <w:tc>
          <w:tcPr>
            <w:tcW w:w="2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88,944</w:t>
            </w:r>
          </w:p>
        </w:tc>
        <w:tc>
          <w:tcPr>
            <w:tcW w:w="3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56,033</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165,057</w:t>
            </w:r>
          </w:p>
        </w:tc>
        <w:tc>
          <w:tcPr>
            <w:tcW w:w="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99,813</w:t>
            </w:r>
          </w:p>
        </w:tc>
        <w:tc>
          <w:tcPr>
            <w:tcW w:w="4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300" w:type="dxa"/>
            <w:vAlign w:val="bottom"/>
          </w:tcPr>
          <w:p>
            <w:pPr>
              <w:spacing w:after="0"/>
              <w:rPr>
                <w:sz w:val="8"/>
                <w:szCs w:val="8"/>
                <w:color w:val="auto"/>
              </w:rPr>
            </w:pPr>
          </w:p>
        </w:tc>
        <w:tc>
          <w:tcPr>
            <w:tcW w:w="50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00" w:type="dxa"/>
            <w:vAlign w:val="bottom"/>
            <w:vMerge w:val="restart"/>
          </w:tcPr>
          <w:p>
            <w:pPr>
              <w:spacing w:after="0"/>
              <w:rPr>
                <w:sz w:val="8"/>
                <w:szCs w:val="8"/>
                <w:color w:val="auto"/>
              </w:rPr>
            </w:pPr>
          </w:p>
        </w:tc>
        <w:tc>
          <w:tcPr>
            <w:tcW w:w="50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300" w:type="dxa"/>
            <w:vAlign w:val="bottom"/>
            <w:vMerge w:val="continue"/>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Arial" w:cs="Arial" w:eastAsia="Arial" w:hAnsi="Arial"/>
                <w:sz w:val="18"/>
                <w:szCs w:val="18"/>
                <w:color w:val="auto"/>
              </w:rPr>
              <w:t>Gross profit</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103,910</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63,661</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196,080</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118,681</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Operating expenses:</w:t>
            </w:r>
          </w:p>
        </w:tc>
        <w:tc>
          <w:tcPr>
            <w:tcW w:w="2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5000" w:type="dxa"/>
            <w:vAlign w:val="bottom"/>
            <w:shd w:val="clear" w:color="auto" w:fill="EEEEEE"/>
          </w:tcPr>
          <w:p>
            <w:pPr>
              <w:ind w:left="240"/>
              <w:spacing w:after="0"/>
              <w:rPr>
                <w:sz w:val="20"/>
                <w:szCs w:val="20"/>
                <w:color w:val="auto"/>
              </w:rPr>
            </w:pPr>
            <w:r>
              <w:rPr>
                <w:rFonts w:ascii="Arial" w:cs="Arial" w:eastAsia="Arial" w:hAnsi="Arial"/>
                <w:sz w:val="18"/>
                <w:szCs w:val="18"/>
                <w:color w:val="auto"/>
              </w:rPr>
              <w:t>Research and development</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52,252</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33,599</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98,891</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64,208</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5000" w:type="dxa"/>
            <w:vAlign w:val="bottom"/>
          </w:tcPr>
          <w:p>
            <w:pPr>
              <w:ind w:left="240"/>
              <w:spacing w:after="0"/>
              <w:rPr>
                <w:sz w:val="20"/>
                <w:szCs w:val="20"/>
                <w:color w:val="auto"/>
              </w:rPr>
            </w:pPr>
            <w:r>
              <w:rPr>
                <w:rFonts w:ascii="Arial" w:cs="Arial" w:eastAsia="Arial" w:hAnsi="Arial"/>
                <w:sz w:val="18"/>
                <w:szCs w:val="18"/>
                <w:color w:val="auto"/>
              </w:rPr>
              <w:t>Selling and marketing</w:t>
            </w: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14,783</w:t>
            </w: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12,321</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30,246</w:t>
            </w:r>
          </w:p>
        </w:tc>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23,333</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5000" w:type="dxa"/>
            <w:vAlign w:val="bottom"/>
            <w:shd w:val="clear" w:color="auto" w:fill="EEEEEE"/>
          </w:tcPr>
          <w:p>
            <w:pPr>
              <w:ind w:left="240"/>
              <w:spacing w:after="0"/>
              <w:rPr>
                <w:sz w:val="20"/>
                <w:szCs w:val="20"/>
                <w:color w:val="auto"/>
              </w:rPr>
            </w:pPr>
            <w:r>
              <w:rPr>
                <w:rFonts w:ascii="Arial" w:cs="Arial" w:eastAsia="Arial" w:hAnsi="Arial"/>
                <w:sz w:val="18"/>
                <w:szCs w:val="18"/>
                <w:color w:val="auto"/>
              </w:rPr>
              <w:t>General and administrative</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4,351</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3,523</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7,931</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7,165</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5000" w:type="dxa"/>
            <w:vAlign w:val="bottom"/>
          </w:tcPr>
          <w:p>
            <w:pPr>
              <w:ind w:left="240"/>
              <w:spacing w:after="0"/>
              <w:rPr>
                <w:sz w:val="20"/>
                <w:szCs w:val="20"/>
                <w:color w:val="auto"/>
              </w:rPr>
            </w:pPr>
            <w:r>
              <w:rPr>
                <w:rFonts w:ascii="Arial" w:cs="Arial" w:eastAsia="Arial" w:hAnsi="Arial"/>
                <w:sz w:val="18"/>
                <w:szCs w:val="18"/>
                <w:color w:val="auto"/>
              </w:rPr>
              <w:t>Amortization of stock-based compensation</w:t>
            </w: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1,020</w:t>
            </w: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2,192</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1,678</w:t>
            </w:r>
          </w:p>
        </w:tc>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4,474</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5000" w:type="dxa"/>
            <w:vAlign w:val="bottom"/>
            <w:shd w:val="clear" w:color="auto" w:fill="EEEEEE"/>
          </w:tcPr>
          <w:p>
            <w:pPr>
              <w:ind w:left="240"/>
              <w:spacing w:after="0"/>
              <w:rPr>
                <w:sz w:val="20"/>
                <w:szCs w:val="20"/>
                <w:color w:val="auto"/>
              </w:rPr>
            </w:pPr>
            <w:r>
              <w:rPr>
                <w:rFonts w:ascii="Arial" w:cs="Arial" w:eastAsia="Arial" w:hAnsi="Arial"/>
                <w:sz w:val="18"/>
                <w:szCs w:val="18"/>
                <w:color w:val="auto"/>
              </w:rPr>
              <w:t>Amortization of acquired intangible assets</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19,560</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21,323</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39,008</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42,646</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00" w:type="dxa"/>
            <w:vAlign w:val="bottom"/>
          </w:tcPr>
          <w:p>
            <w:pPr>
              <w:spacing w:after="0"/>
              <w:rPr>
                <w:sz w:val="19"/>
                <w:szCs w:val="19"/>
                <w:color w:val="auto"/>
              </w:rPr>
            </w:pPr>
          </w:p>
        </w:tc>
        <w:tc>
          <w:tcPr>
            <w:tcW w:w="5000" w:type="dxa"/>
            <w:vAlign w:val="bottom"/>
          </w:tcPr>
          <w:p>
            <w:pPr>
              <w:ind w:left="240"/>
              <w:spacing w:after="0"/>
              <w:rPr>
                <w:sz w:val="20"/>
                <w:szCs w:val="20"/>
                <w:color w:val="auto"/>
              </w:rPr>
            </w:pPr>
            <w:r>
              <w:rPr>
                <w:rFonts w:ascii="Arial" w:cs="Arial" w:eastAsia="Arial" w:hAnsi="Arial"/>
                <w:sz w:val="18"/>
                <w:szCs w:val="18"/>
                <w:color w:val="auto"/>
              </w:rPr>
              <w:t>Facilities consolidation charge</w:t>
            </w:r>
          </w:p>
        </w:tc>
        <w:tc>
          <w:tcPr>
            <w:tcW w:w="280" w:type="dxa"/>
            <w:vAlign w:val="bottom"/>
          </w:tcPr>
          <w:p>
            <w:pPr>
              <w:spacing w:after="0"/>
              <w:rPr>
                <w:sz w:val="19"/>
                <w:szCs w:val="19"/>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0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17,799</w:t>
            </w:r>
          </w:p>
        </w:tc>
        <w:tc>
          <w:tcPr>
            <w:tcW w:w="4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300" w:type="dxa"/>
            <w:vAlign w:val="bottom"/>
          </w:tcPr>
          <w:p>
            <w:pPr>
              <w:spacing w:after="0"/>
              <w:rPr>
                <w:sz w:val="8"/>
                <w:szCs w:val="8"/>
                <w:color w:val="auto"/>
              </w:rPr>
            </w:pPr>
          </w:p>
        </w:tc>
        <w:tc>
          <w:tcPr>
            <w:tcW w:w="50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00" w:type="dxa"/>
            <w:vAlign w:val="bottom"/>
          </w:tcPr>
          <w:p>
            <w:pPr>
              <w:spacing w:after="0"/>
              <w:rPr>
                <w:sz w:val="8"/>
                <w:szCs w:val="8"/>
                <w:color w:val="auto"/>
              </w:rPr>
            </w:pPr>
          </w:p>
        </w:tc>
        <w:tc>
          <w:tcPr>
            <w:tcW w:w="50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5000" w:type="dxa"/>
            <w:vAlign w:val="bottom"/>
            <w:shd w:val="clear" w:color="auto" w:fill="EEEEEE"/>
          </w:tcPr>
          <w:p>
            <w:pPr>
              <w:ind w:left="520"/>
              <w:spacing w:after="0"/>
              <w:rPr>
                <w:sz w:val="20"/>
                <w:szCs w:val="20"/>
                <w:color w:val="auto"/>
              </w:rPr>
            </w:pPr>
            <w:r>
              <w:rPr>
                <w:rFonts w:ascii="Arial" w:cs="Arial" w:eastAsia="Arial" w:hAnsi="Arial"/>
                <w:sz w:val="18"/>
                <w:szCs w:val="18"/>
                <w:color w:val="auto"/>
              </w:rPr>
              <w:t>Total operating expenses</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91,966</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72,958</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177,754</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159,625</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30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300" w:type="dxa"/>
            <w:vAlign w:val="bottom"/>
            <w:gridSpan w:val="2"/>
          </w:tcPr>
          <w:p>
            <w:pPr>
              <w:ind w:left="300"/>
              <w:spacing w:after="0"/>
              <w:rPr>
                <w:sz w:val="20"/>
                <w:szCs w:val="20"/>
                <w:color w:val="auto"/>
              </w:rPr>
            </w:pPr>
            <w:r>
              <w:rPr>
                <w:rFonts w:ascii="Arial" w:cs="Arial" w:eastAsia="Arial" w:hAnsi="Arial"/>
                <w:sz w:val="18"/>
                <w:szCs w:val="18"/>
                <w:color w:val="auto"/>
              </w:rPr>
              <w:t>Operating income (loss)</w:t>
            </w: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11,944</w:t>
            </w:r>
          </w:p>
        </w:tc>
        <w:tc>
          <w:tcPr>
            <w:tcW w:w="3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(9,297)</w:t>
            </w: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18,326</w:t>
            </w: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w w:val="92"/>
              </w:rPr>
              <w:t>(40,944)</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00" w:type="dxa"/>
            <w:vAlign w:val="bottom"/>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Arial" w:cs="Arial" w:eastAsia="Arial" w:hAnsi="Arial"/>
                <w:sz w:val="18"/>
                <w:szCs w:val="18"/>
                <w:color w:val="auto"/>
              </w:rPr>
              <w:t>Interest and other income, net</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1,569</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1,906</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2,880</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4,045</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30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300" w:type="dxa"/>
            <w:vAlign w:val="bottom"/>
            <w:gridSpan w:val="2"/>
          </w:tcPr>
          <w:p>
            <w:pPr>
              <w:ind w:left="300"/>
              <w:spacing w:after="0"/>
              <w:rPr>
                <w:sz w:val="20"/>
                <w:szCs w:val="20"/>
                <w:color w:val="auto"/>
              </w:rPr>
            </w:pPr>
            <w:r>
              <w:rPr>
                <w:rFonts w:ascii="Arial" w:cs="Arial" w:eastAsia="Arial" w:hAnsi="Arial"/>
                <w:sz w:val="18"/>
                <w:szCs w:val="18"/>
                <w:color w:val="auto"/>
              </w:rPr>
              <w:t>Income (loss) before income taxes</w:t>
            </w: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13,513</w:t>
            </w:r>
          </w:p>
        </w:tc>
        <w:tc>
          <w:tcPr>
            <w:tcW w:w="3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(7,391)</w:t>
            </w: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21,206</w:t>
            </w: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w w:val="92"/>
              </w:rPr>
              <w:t>(36,899)</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00" w:type="dxa"/>
            <w:vAlign w:val="bottom"/>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Arial" w:cs="Arial" w:eastAsia="Arial" w:hAnsi="Arial"/>
                <w:sz w:val="18"/>
                <w:szCs w:val="18"/>
                <w:color w:val="auto"/>
              </w:rPr>
              <w:t>Provision for income taxes</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4,091</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1,935</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7,427</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3,361</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30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960" w:type="dxa"/>
            <w:vAlign w:val="bottom"/>
            <w:gridSpan w:val="3"/>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300" w:type="dxa"/>
            <w:vAlign w:val="bottom"/>
            <w:gridSpan w:val="2"/>
          </w:tcPr>
          <w:p>
            <w:pPr>
              <w:ind w:left="300"/>
              <w:spacing w:after="0"/>
              <w:rPr>
                <w:sz w:val="20"/>
                <w:szCs w:val="20"/>
                <w:color w:val="auto"/>
              </w:rPr>
            </w:pPr>
            <w:r>
              <w:rPr>
                <w:rFonts w:ascii="Arial" w:cs="Arial" w:eastAsia="Arial" w:hAnsi="Arial"/>
                <w:sz w:val="18"/>
                <w:szCs w:val="18"/>
                <w:color w:val="auto"/>
              </w:rPr>
              <w:t>Net income (loss)</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9,422</w:t>
            </w:r>
          </w:p>
        </w:tc>
        <w:tc>
          <w:tcPr>
            <w:tcW w:w="360" w:type="dxa"/>
            <w:vAlign w:val="bottom"/>
          </w:tcPr>
          <w:p>
            <w:pPr>
              <w:spacing w:after="0"/>
              <w:rPr>
                <w:sz w:val="24"/>
                <w:szCs w:val="24"/>
                <w:color w:val="auto"/>
              </w:rPr>
            </w:pP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(9,326)</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13,779</w:t>
            </w:r>
          </w:p>
        </w:tc>
        <w:tc>
          <w:tcPr>
            <w:tcW w:w="20" w:type="dxa"/>
            <w:vAlign w:val="bottom"/>
          </w:tcPr>
          <w:p>
            <w:pPr>
              <w:spacing w:after="0"/>
              <w:rPr>
                <w:sz w:val="24"/>
                <w:szCs w:val="24"/>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w w:val="92"/>
              </w:rPr>
              <w:t>(40,260)</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300" w:type="dxa"/>
            <w:vAlign w:val="bottom"/>
          </w:tcPr>
          <w:p>
            <w:pPr>
              <w:spacing w:after="0"/>
              <w:rPr>
                <w:sz w:val="9"/>
                <w:szCs w:val="9"/>
                <w:color w:val="auto"/>
              </w:rPr>
            </w:pPr>
          </w:p>
        </w:tc>
        <w:tc>
          <w:tcPr>
            <w:tcW w:w="500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300" w:type="dxa"/>
            <w:vAlign w:val="bottom"/>
          </w:tcPr>
          <w:p>
            <w:pPr>
              <w:spacing w:after="0"/>
              <w:rPr>
                <w:sz w:val="5"/>
                <w:szCs w:val="5"/>
                <w:color w:val="auto"/>
              </w:rPr>
            </w:pPr>
          </w:p>
        </w:tc>
        <w:tc>
          <w:tcPr>
            <w:tcW w:w="500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300" w:type="dxa"/>
            <w:vAlign w:val="bottom"/>
            <w:vMerge w:val="restart"/>
          </w:tcPr>
          <w:p>
            <w:pPr>
              <w:spacing w:after="0"/>
              <w:rPr>
                <w:sz w:val="9"/>
                <w:szCs w:val="9"/>
                <w:color w:val="auto"/>
              </w:rPr>
            </w:pPr>
          </w:p>
        </w:tc>
        <w:tc>
          <w:tcPr>
            <w:tcW w:w="500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300" w:type="dxa"/>
            <w:vAlign w:val="bottom"/>
            <w:vMerge w:val="continue"/>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2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0.08</w:t>
            </w:r>
          </w:p>
        </w:tc>
        <w:tc>
          <w:tcPr>
            <w:tcW w:w="360" w:type="dxa"/>
            <w:vAlign w:val="bottom"/>
            <w:shd w:val="clear" w:color="auto" w:fill="EEEEEE"/>
          </w:tcPr>
          <w:p>
            <w:pPr>
              <w:spacing w:after="0"/>
              <w:rPr>
                <w:sz w:val="18"/>
                <w:szCs w:val="18"/>
                <w:color w:val="auto"/>
              </w:rPr>
            </w:pPr>
          </w:p>
        </w:tc>
        <w:tc>
          <w:tcPr>
            <w:tcW w:w="56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(0.08)</w:t>
            </w: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0.11</w:t>
            </w:r>
          </w:p>
        </w:tc>
        <w:tc>
          <w:tcPr>
            <w:tcW w:w="20" w:type="dxa"/>
            <w:vAlign w:val="bottom"/>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(0.34)</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30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900" w:type="dxa"/>
            <w:vAlign w:val="bottom"/>
            <w:gridSpan w:val="2"/>
          </w:tcPr>
          <w:p>
            <w:pPr>
              <w:spacing w:after="0"/>
              <w:rPr>
                <w:sz w:val="9"/>
                <w:szCs w:val="9"/>
                <w:color w:val="auto"/>
              </w:rPr>
            </w:pPr>
          </w:p>
        </w:tc>
        <w:tc>
          <w:tcPr>
            <w:tcW w:w="56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960" w:type="dxa"/>
            <w:vAlign w:val="bottom"/>
            <w:gridSpan w:val="3"/>
          </w:tcPr>
          <w:p>
            <w:pPr>
              <w:spacing w:after="0"/>
              <w:rPr>
                <w:sz w:val="9"/>
                <w:szCs w:val="9"/>
                <w:color w:val="auto"/>
              </w:rPr>
            </w:pPr>
          </w:p>
        </w:tc>
        <w:tc>
          <w:tcPr>
            <w:tcW w:w="104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300" w:type="dxa"/>
            <w:vAlign w:val="bottom"/>
            <w:gridSpan w:val="2"/>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560" w:type="dxa"/>
            <w:vAlign w:val="bottom"/>
            <w:tcBorders>
              <w:right w:val="single" w:sz="8" w:color="808080"/>
            </w:tcBorders>
            <w:gridSpan w:val="2"/>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560" w:type="dxa"/>
            <w:vAlign w:val="bottom"/>
            <w:gridSpan w:val="2"/>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0" w:type="dxa"/>
            <w:vAlign w:val="bottom"/>
          </w:tcPr>
          <w:p>
            <w:pPr>
              <w:spacing w:after="0"/>
              <w:rPr>
                <w:sz w:val="5"/>
                <w:szCs w:val="5"/>
                <w:color w:val="auto"/>
              </w:rPr>
            </w:pPr>
          </w:p>
        </w:tc>
        <w:tc>
          <w:tcPr>
            <w:tcW w:w="960" w:type="dxa"/>
            <w:vAlign w:val="bottom"/>
            <w:gridSpan w:val="3"/>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5300" w:type="dxa"/>
            <w:vAlign w:val="bottom"/>
            <w:gridSpan w:val="2"/>
          </w:tcPr>
          <w:p>
            <w:pPr>
              <w:ind w:left="300"/>
              <w:spacing w:after="0"/>
              <w:rPr>
                <w:sz w:val="20"/>
                <w:szCs w:val="20"/>
                <w:color w:val="auto"/>
              </w:rPr>
            </w:pPr>
            <w:r>
              <w:rPr>
                <w:rFonts w:ascii="Arial" w:cs="Arial" w:eastAsia="Arial" w:hAnsi="Arial"/>
                <w:sz w:val="18"/>
                <w:szCs w:val="18"/>
                <w:color w:val="auto"/>
              </w:rPr>
              <w:t>Diluted net income (loss) per share</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0.07</w:t>
            </w:r>
          </w:p>
        </w:tc>
        <w:tc>
          <w:tcPr>
            <w:tcW w:w="360" w:type="dxa"/>
            <w:vAlign w:val="bottom"/>
          </w:tcPr>
          <w:p>
            <w:pPr>
              <w:spacing w:after="0"/>
              <w:rPr>
                <w:sz w:val="24"/>
                <w:szCs w:val="24"/>
                <w:color w:val="auto"/>
              </w:rPr>
            </w:pP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(0.08)</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0.10</w:t>
            </w:r>
          </w:p>
        </w:tc>
        <w:tc>
          <w:tcPr>
            <w:tcW w:w="20" w:type="dxa"/>
            <w:vAlign w:val="bottom"/>
          </w:tcPr>
          <w:p>
            <w:pPr>
              <w:spacing w:after="0"/>
              <w:rPr>
                <w:sz w:val="24"/>
                <w:szCs w:val="24"/>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(0.34)</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300" w:type="dxa"/>
            <w:vAlign w:val="bottom"/>
          </w:tcPr>
          <w:p>
            <w:pPr>
              <w:spacing w:after="0"/>
              <w:rPr>
                <w:sz w:val="9"/>
                <w:szCs w:val="9"/>
                <w:color w:val="auto"/>
              </w:rPr>
            </w:pPr>
          </w:p>
        </w:tc>
        <w:tc>
          <w:tcPr>
            <w:tcW w:w="500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300" w:type="dxa"/>
            <w:vAlign w:val="bottom"/>
          </w:tcPr>
          <w:p>
            <w:pPr>
              <w:spacing w:after="0"/>
              <w:rPr>
                <w:sz w:val="5"/>
                <w:szCs w:val="5"/>
                <w:color w:val="auto"/>
              </w:rPr>
            </w:pPr>
          </w:p>
        </w:tc>
        <w:tc>
          <w:tcPr>
            <w:tcW w:w="500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0" w:type="dxa"/>
            <w:vAlign w:val="bottom"/>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300" w:type="dxa"/>
            <w:vAlign w:val="bottom"/>
            <w:vMerge w:val="restart"/>
          </w:tcPr>
          <w:p>
            <w:pPr>
              <w:spacing w:after="0"/>
              <w:rPr>
                <w:sz w:val="9"/>
                <w:szCs w:val="9"/>
                <w:color w:val="auto"/>
              </w:rPr>
            </w:pPr>
          </w:p>
        </w:tc>
        <w:tc>
          <w:tcPr>
            <w:tcW w:w="500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300" w:type="dxa"/>
            <w:vAlign w:val="bottom"/>
            <w:vMerge w:val="continue"/>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Arial" w:cs="Arial" w:eastAsia="Arial" w:hAnsi="Arial"/>
                <w:sz w:val="18"/>
                <w:szCs w:val="18"/>
                <w:color w:val="auto"/>
              </w:rPr>
              <w:t>Weighted average shares — basic</w:t>
            </w: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123,667</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118,886</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122,502</w:t>
            </w:r>
          </w:p>
        </w:tc>
        <w:tc>
          <w:tcPr>
            <w:tcW w:w="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118,487</w:t>
            </w:r>
          </w:p>
        </w:tc>
        <w:tc>
          <w:tcPr>
            <w:tcW w:w="44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30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300" w:type="dxa"/>
            <w:vAlign w:val="bottom"/>
            <w:gridSpan w:val="2"/>
          </w:tcPr>
          <w:p>
            <w:pPr>
              <w:ind w:left="300"/>
              <w:spacing w:after="0"/>
              <w:rPr>
                <w:sz w:val="20"/>
                <w:szCs w:val="20"/>
                <w:color w:val="auto"/>
              </w:rPr>
            </w:pPr>
            <w:r>
              <w:rPr>
                <w:rFonts w:ascii="Arial" w:cs="Arial" w:eastAsia="Arial" w:hAnsi="Arial"/>
                <w:sz w:val="18"/>
                <w:szCs w:val="18"/>
                <w:color w:val="auto"/>
              </w:rPr>
              <w:t>Weighted average shares — diluted</w:t>
            </w: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136,804</w:t>
            </w:r>
          </w:p>
        </w:tc>
        <w:tc>
          <w:tcPr>
            <w:tcW w:w="3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82"/>
              </w:rPr>
              <w:t>118,886</w:t>
            </w: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133,188</w:t>
            </w: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6"/>
              </w:rPr>
              <w:t>118,487</w:t>
            </w: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300" w:type="dxa"/>
            <w:vAlign w:val="bottom"/>
          </w:tcPr>
          <w:p>
            <w:pPr>
              <w:spacing w:after="0"/>
              <w:rPr>
                <w:sz w:val="9"/>
                <w:szCs w:val="9"/>
                <w:color w:val="auto"/>
              </w:rPr>
            </w:pPr>
          </w:p>
        </w:tc>
        <w:tc>
          <w:tcPr>
            <w:tcW w:w="500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2"/>
        </w:trPr>
        <w:tc>
          <w:tcPr>
            <w:tcW w:w="300" w:type="dxa"/>
            <w:vAlign w:val="bottom"/>
          </w:tcPr>
          <w:p>
            <w:pPr>
              <w:spacing w:after="0"/>
              <w:rPr>
                <w:sz w:val="24"/>
                <w:szCs w:val="24"/>
                <w:color w:val="auto"/>
              </w:rPr>
            </w:pPr>
          </w:p>
        </w:tc>
        <w:tc>
          <w:tcPr>
            <w:tcW w:w="50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jc w:val="right"/>
              <w:ind w:right="315"/>
              <w:spacing w:after="0"/>
              <w:rPr>
                <w:sz w:val="20"/>
                <w:szCs w:val="20"/>
                <w:color w:val="auto"/>
              </w:rPr>
            </w:pPr>
            <w:r>
              <w:rPr>
                <w:rFonts w:ascii="Arial" w:cs="Arial" w:eastAsia="Arial" w:hAnsi="Arial"/>
                <w:sz w:val="18"/>
                <w:szCs w:val="18"/>
                <w:color w:val="auto"/>
              </w:rPr>
              <w:t>3</w:t>
            </w:r>
          </w:p>
        </w:tc>
        <w:tc>
          <w:tcPr>
            <w:tcW w:w="3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300" w:type="dxa"/>
            <w:vAlign w:val="bottom"/>
            <w:tcBorders>
              <w:bottom w:val="single" w:sz="8" w:color="808080"/>
            </w:tcBorders>
          </w:tcPr>
          <w:p>
            <w:pPr>
              <w:spacing w:after="0"/>
              <w:rPr>
                <w:sz w:val="19"/>
                <w:szCs w:val="19"/>
                <w:color w:val="auto"/>
              </w:rPr>
            </w:pPr>
          </w:p>
        </w:tc>
        <w:tc>
          <w:tcPr>
            <w:tcW w:w="500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580" w:type="dxa"/>
            <w:vAlign w:val="bottom"/>
            <w:tcBorders>
              <w:bottom w:val="single" w:sz="8" w:color="808080"/>
            </w:tcBorders>
          </w:tcPr>
          <w:p>
            <w:pPr>
              <w:spacing w:after="0"/>
              <w:rPr>
                <w:sz w:val="19"/>
                <w:szCs w:val="19"/>
                <w:color w:val="auto"/>
              </w:rPr>
            </w:pPr>
          </w:p>
        </w:tc>
        <w:tc>
          <w:tcPr>
            <w:tcW w:w="36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580" w:type="dxa"/>
            <w:vAlign w:val="bottom"/>
            <w:tcBorders>
              <w:bottom w:val="single" w:sz="8" w:color="808080"/>
            </w:tcBorders>
          </w:tcPr>
          <w:p>
            <w:pPr>
              <w:spacing w:after="0"/>
              <w:rPr>
                <w:sz w:val="19"/>
                <w:szCs w:val="19"/>
                <w:color w:val="auto"/>
              </w:rPr>
            </w:pPr>
          </w:p>
        </w:tc>
        <w:tc>
          <w:tcPr>
            <w:tcW w:w="2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360" w:type="dxa"/>
            <w:vAlign w:val="bottom"/>
            <w:tcBorders>
              <w:bottom w:val="single" w:sz="8" w:color="808080"/>
            </w:tcBorders>
          </w:tcPr>
          <w:p>
            <w:pPr>
              <w:spacing w:after="0"/>
              <w:rPr>
                <w:sz w:val="19"/>
                <w:szCs w:val="19"/>
                <w:color w:val="auto"/>
              </w:rPr>
            </w:pPr>
          </w:p>
        </w:tc>
        <w:tc>
          <w:tcPr>
            <w:tcW w:w="600" w:type="dxa"/>
            <w:vAlign w:val="bottom"/>
            <w:tcBorders>
              <w:bottom w:val="single" w:sz="8" w:color="808080"/>
            </w:tcBorders>
          </w:tcPr>
          <w:p>
            <w:pPr>
              <w:spacing w:after="0"/>
              <w:rPr>
                <w:sz w:val="19"/>
                <w:szCs w:val="19"/>
                <w:color w:val="auto"/>
              </w:rPr>
            </w:pPr>
          </w:p>
        </w:tc>
        <w:tc>
          <w:tcPr>
            <w:tcW w:w="44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4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440" w:type="dxa"/>
            <w:vAlign w:val="bottom"/>
          </w:tcPr>
          <w:p>
            <w:pPr>
              <w:spacing w:after="0"/>
              <w:rPr>
                <w:sz w:val="14"/>
                <w:szCs w:val="14"/>
                <w:color w:val="auto"/>
              </w:rPr>
            </w:pPr>
          </w:p>
        </w:tc>
        <w:tc>
          <w:tcPr>
            <w:tcW w:w="388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12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97"/>
              </w:rPr>
              <w:t>August 2,</w:t>
            </w:r>
          </w:p>
        </w:tc>
        <w:tc>
          <w:tcPr>
            <w:tcW w:w="3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12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92"/>
              </w:rPr>
              <w:t>February 1,</w:t>
            </w: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1440" w:type="dxa"/>
            <w:vAlign w:val="bottom"/>
          </w:tcPr>
          <w:p>
            <w:pPr>
              <w:spacing w:after="0"/>
              <w:rPr>
                <w:sz w:val="15"/>
                <w:szCs w:val="15"/>
                <w:color w:val="auto"/>
              </w:rPr>
            </w:pPr>
          </w:p>
        </w:tc>
        <w:tc>
          <w:tcPr>
            <w:tcW w:w="388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00" w:type="dxa"/>
            <w:vAlign w:val="bottom"/>
          </w:tcPr>
          <w:p>
            <w:pPr>
              <w:jc w:val="right"/>
              <w:ind w:right="94"/>
              <w:spacing w:after="0"/>
              <w:rPr>
                <w:sz w:val="20"/>
                <w:szCs w:val="20"/>
                <w:color w:val="auto"/>
              </w:rPr>
            </w:pPr>
            <w:r>
              <w:rPr>
                <w:rFonts w:ascii="Arial" w:cs="Arial" w:eastAsia="Arial" w:hAnsi="Arial"/>
                <w:sz w:val="14"/>
                <w:szCs w:val="14"/>
                <w:b w:val="1"/>
                <w:bCs w:val="1"/>
                <w:color w:val="auto"/>
              </w:rPr>
              <w:t>2003</w:t>
            </w:r>
          </w:p>
        </w:tc>
        <w:tc>
          <w:tcPr>
            <w:tcW w:w="4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00" w:type="dxa"/>
            <w:vAlign w:val="bottom"/>
          </w:tcPr>
          <w:p>
            <w:pPr>
              <w:jc w:val="right"/>
              <w:ind w:right="94"/>
              <w:spacing w:after="0"/>
              <w:rPr>
                <w:sz w:val="20"/>
                <w:szCs w:val="20"/>
                <w:color w:val="auto"/>
              </w:rPr>
            </w:pPr>
            <w:r>
              <w:rPr>
                <w:rFonts w:ascii="Arial" w:cs="Arial" w:eastAsia="Arial" w:hAnsi="Arial"/>
                <w:sz w:val="14"/>
                <w:szCs w:val="14"/>
                <w:b w:val="1"/>
                <w:bCs w:val="1"/>
                <w:color w:val="auto"/>
              </w:rPr>
              <w:t>2003</w:t>
            </w:r>
          </w:p>
        </w:tc>
        <w:tc>
          <w:tcPr>
            <w:tcW w:w="42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9"/>
        </w:trPr>
        <w:tc>
          <w:tcPr>
            <w:tcW w:w="1440" w:type="dxa"/>
            <w:vAlign w:val="bottom"/>
          </w:tcPr>
          <w:p>
            <w:pPr>
              <w:spacing w:after="0"/>
              <w:rPr>
                <w:sz w:val="9"/>
                <w:szCs w:val="9"/>
                <w:color w:val="auto"/>
              </w:rPr>
            </w:pPr>
          </w:p>
        </w:tc>
        <w:tc>
          <w:tcPr>
            <w:tcW w:w="3880" w:type="dxa"/>
            <w:vAlign w:val="bottom"/>
          </w:tcPr>
          <w:p>
            <w:pPr>
              <w:spacing w:after="0"/>
              <w:rPr>
                <w:sz w:val="9"/>
                <w:szCs w:val="9"/>
                <w:color w:val="auto"/>
              </w:rPr>
            </w:pPr>
          </w:p>
        </w:tc>
        <w:tc>
          <w:tcPr>
            <w:tcW w:w="1300" w:type="dxa"/>
            <w:vAlign w:val="bottom"/>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1440" w:type="dxa"/>
            <w:vAlign w:val="bottom"/>
          </w:tcPr>
          <w:p>
            <w:pPr>
              <w:spacing w:after="0"/>
              <w:rPr>
                <w:sz w:val="8"/>
                <w:szCs w:val="8"/>
                <w:color w:val="auto"/>
              </w:rPr>
            </w:pPr>
          </w:p>
        </w:tc>
        <w:tc>
          <w:tcPr>
            <w:tcW w:w="3880" w:type="dxa"/>
            <w:vAlign w:val="bottom"/>
          </w:tcPr>
          <w:p>
            <w:pPr>
              <w:spacing w:after="0"/>
              <w:rPr>
                <w:sz w:val="8"/>
                <w:szCs w:val="8"/>
                <w:color w:val="auto"/>
              </w:rPr>
            </w:pPr>
          </w:p>
        </w:tc>
        <w:tc>
          <w:tcPr>
            <w:tcW w:w="130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36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1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Assets:</w:t>
            </w:r>
          </w:p>
        </w:tc>
        <w:tc>
          <w:tcPr>
            <w:tcW w:w="130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tcPr>
          <w:p>
            <w:pPr>
              <w:spacing w:after="0"/>
              <w:rPr>
                <w:sz w:val="20"/>
                <w:szCs w:val="20"/>
                <w:color w:val="auto"/>
              </w:rPr>
            </w:pPr>
            <w:r>
              <w:rPr>
                <w:rFonts w:ascii="Arial" w:cs="Arial" w:eastAsia="Arial" w:hAnsi="Arial"/>
                <w:sz w:val="18"/>
                <w:szCs w:val="18"/>
                <w:color w:val="auto"/>
              </w:rPr>
              <w:t>Current assets:</w:t>
            </w:r>
          </w:p>
        </w:tc>
        <w:tc>
          <w:tcPr>
            <w:tcW w:w="1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Cash and cash equivalents</w:t>
            </w:r>
          </w:p>
        </w:tc>
        <w:tc>
          <w:tcPr>
            <w:tcW w:w="168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208,733</w:t>
            </w:r>
          </w:p>
        </w:tc>
        <w:tc>
          <w:tcPr>
            <w:tcW w:w="42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125,316</w:t>
            </w:r>
          </w:p>
        </w:tc>
        <w:tc>
          <w:tcPr>
            <w:tcW w:w="420" w:type="dxa"/>
            <w:vAlign w:val="bottom"/>
            <w:shd w:val="clear" w:color="auto" w:fill="EEEEEE"/>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tcPr>
          <w:p>
            <w:pPr>
              <w:ind w:left="340"/>
              <w:spacing w:after="0"/>
              <w:rPr>
                <w:sz w:val="20"/>
                <w:szCs w:val="20"/>
                <w:color w:val="auto"/>
              </w:rPr>
            </w:pPr>
            <w:r>
              <w:rPr>
                <w:rFonts w:ascii="Arial" w:cs="Arial" w:eastAsia="Arial" w:hAnsi="Arial"/>
                <w:sz w:val="18"/>
                <w:szCs w:val="18"/>
                <w:color w:val="auto"/>
              </w:rPr>
              <w:t>Short-term investments</w:t>
            </w:r>
          </w:p>
        </w:tc>
        <w:tc>
          <w:tcPr>
            <w:tcW w:w="1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135,247</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139,912</w:t>
            </w:r>
          </w:p>
        </w:tc>
        <w:tc>
          <w:tcPr>
            <w:tcW w:w="42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Accounts receivable, net</w:t>
            </w:r>
          </w:p>
        </w:tc>
        <w:tc>
          <w:tcPr>
            <w:tcW w:w="130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102,925</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86,175</w:t>
            </w:r>
          </w:p>
        </w:tc>
        <w:tc>
          <w:tcPr>
            <w:tcW w:w="420" w:type="dxa"/>
            <w:vAlign w:val="bottom"/>
            <w:shd w:val="clear" w:color="auto" w:fill="EEEEEE"/>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tcPr>
          <w:p>
            <w:pPr>
              <w:ind w:left="340"/>
              <w:spacing w:after="0"/>
              <w:rPr>
                <w:sz w:val="20"/>
                <w:szCs w:val="20"/>
                <w:color w:val="auto"/>
              </w:rPr>
            </w:pPr>
            <w:r>
              <w:rPr>
                <w:rFonts w:ascii="Arial" w:cs="Arial" w:eastAsia="Arial" w:hAnsi="Arial"/>
                <w:sz w:val="18"/>
                <w:szCs w:val="18"/>
                <w:color w:val="auto"/>
              </w:rPr>
              <w:t>Inventory, net</w:t>
            </w:r>
          </w:p>
        </w:tc>
        <w:tc>
          <w:tcPr>
            <w:tcW w:w="1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60,377</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39,712</w:t>
            </w:r>
          </w:p>
        </w:tc>
        <w:tc>
          <w:tcPr>
            <w:tcW w:w="42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Prepaid expenses and other current assets</w:t>
            </w:r>
          </w:p>
        </w:tc>
        <w:tc>
          <w:tcPr>
            <w:tcW w:w="130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22,226</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19,979</w:t>
            </w:r>
          </w:p>
        </w:tc>
        <w:tc>
          <w:tcPr>
            <w:tcW w:w="420" w:type="dxa"/>
            <w:vAlign w:val="bottom"/>
            <w:shd w:val="clear" w:color="auto" w:fill="EEEEEE"/>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1440" w:type="dxa"/>
            <w:vAlign w:val="bottom"/>
          </w:tcPr>
          <w:p>
            <w:pPr>
              <w:spacing w:after="0"/>
              <w:rPr>
                <w:sz w:val="9"/>
                <w:szCs w:val="9"/>
                <w:color w:val="auto"/>
              </w:rPr>
            </w:pPr>
          </w:p>
        </w:tc>
        <w:tc>
          <w:tcPr>
            <w:tcW w:w="3880" w:type="dxa"/>
            <w:vAlign w:val="bottom"/>
          </w:tcPr>
          <w:p>
            <w:pPr>
              <w:spacing w:after="0"/>
              <w:rPr>
                <w:sz w:val="9"/>
                <w:szCs w:val="9"/>
                <w:color w:val="auto"/>
              </w:rPr>
            </w:pPr>
          </w:p>
        </w:tc>
        <w:tc>
          <w:tcPr>
            <w:tcW w:w="130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1440" w:type="dxa"/>
            <w:vAlign w:val="bottom"/>
          </w:tcPr>
          <w:p>
            <w:pPr>
              <w:spacing w:after="0"/>
              <w:rPr>
                <w:sz w:val="24"/>
                <w:szCs w:val="24"/>
                <w:color w:val="auto"/>
              </w:rPr>
            </w:pPr>
          </w:p>
        </w:tc>
        <w:tc>
          <w:tcPr>
            <w:tcW w:w="3880" w:type="dxa"/>
            <w:vAlign w:val="bottom"/>
          </w:tcPr>
          <w:p>
            <w:pPr>
              <w:ind w:left="700"/>
              <w:spacing w:after="0"/>
              <w:rPr>
                <w:sz w:val="20"/>
                <w:szCs w:val="20"/>
                <w:color w:val="auto"/>
              </w:rPr>
            </w:pPr>
            <w:r>
              <w:rPr>
                <w:rFonts w:ascii="Arial" w:cs="Arial" w:eastAsia="Arial" w:hAnsi="Arial"/>
                <w:sz w:val="18"/>
                <w:szCs w:val="18"/>
                <w:color w:val="auto"/>
              </w:rPr>
              <w:t>Total current assets</w:t>
            </w:r>
          </w:p>
        </w:tc>
        <w:tc>
          <w:tcPr>
            <w:tcW w:w="13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529,508</w:t>
            </w:r>
          </w:p>
        </w:tc>
        <w:tc>
          <w:tcPr>
            <w:tcW w:w="4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411,094</w:t>
            </w:r>
          </w:p>
        </w:tc>
        <w:tc>
          <w:tcPr>
            <w:tcW w:w="42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1440" w:type="dxa"/>
            <w:vAlign w:val="bottom"/>
          </w:tcPr>
          <w:p>
            <w:pPr>
              <w:spacing w:after="0"/>
              <w:rPr>
                <w:sz w:val="18"/>
                <w:szCs w:val="18"/>
                <w:color w:val="auto"/>
              </w:rPr>
            </w:pPr>
          </w:p>
        </w:tc>
        <w:tc>
          <w:tcPr>
            <w:tcW w:w="3880" w:type="dxa"/>
            <w:vAlign w:val="bottom"/>
            <w:shd w:val="clear" w:color="auto" w:fill="EEEEEE"/>
          </w:tcPr>
          <w:p>
            <w:pPr>
              <w:spacing w:after="0"/>
              <w:rPr>
                <w:sz w:val="20"/>
                <w:szCs w:val="20"/>
                <w:color w:val="auto"/>
              </w:rPr>
            </w:pPr>
            <w:r>
              <w:rPr>
                <w:rFonts w:ascii="Arial" w:cs="Arial" w:eastAsia="Arial" w:hAnsi="Arial"/>
                <w:sz w:val="18"/>
                <w:szCs w:val="18"/>
                <w:color w:val="auto"/>
              </w:rPr>
              <w:t>Property and equipment, net</w:t>
            </w:r>
          </w:p>
        </w:tc>
        <w:tc>
          <w:tcPr>
            <w:tcW w:w="130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71,549</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69,246</w:t>
            </w:r>
          </w:p>
        </w:tc>
        <w:tc>
          <w:tcPr>
            <w:tcW w:w="420" w:type="dxa"/>
            <w:vAlign w:val="bottom"/>
            <w:shd w:val="clear" w:color="auto" w:fill="EEEEEE"/>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tcPr>
          <w:p>
            <w:pPr>
              <w:spacing w:after="0"/>
              <w:rPr>
                <w:sz w:val="20"/>
                <w:szCs w:val="20"/>
                <w:color w:val="auto"/>
              </w:rPr>
            </w:pPr>
            <w:r>
              <w:rPr>
                <w:rFonts w:ascii="Arial" w:cs="Arial" w:eastAsia="Arial" w:hAnsi="Arial"/>
                <w:sz w:val="18"/>
                <w:szCs w:val="18"/>
                <w:color w:val="auto"/>
              </w:rPr>
              <w:t>Goodwill and acquired intangible assets</w:t>
            </w:r>
          </w:p>
        </w:tc>
        <w:tc>
          <w:tcPr>
            <w:tcW w:w="1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1,613,101</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1,570,643</w:t>
            </w:r>
          </w:p>
        </w:tc>
        <w:tc>
          <w:tcPr>
            <w:tcW w:w="42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shd w:val="clear" w:color="auto" w:fill="EEEEEE"/>
          </w:tcPr>
          <w:p>
            <w:pPr>
              <w:spacing w:after="0"/>
              <w:rPr>
                <w:sz w:val="20"/>
                <w:szCs w:val="20"/>
                <w:color w:val="auto"/>
              </w:rPr>
            </w:pPr>
            <w:r>
              <w:rPr>
                <w:rFonts w:ascii="Arial" w:cs="Arial" w:eastAsia="Arial" w:hAnsi="Arial"/>
                <w:sz w:val="18"/>
                <w:szCs w:val="18"/>
                <w:color w:val="auto"/>
              </w:rPr>
              <w:t>Other noncurrent assets</w:t>
            </w:r>
          </w:p>
        </w:tc>
        <w:tc>
          <w:tcPr>
            <w:tcW w:w="130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40,366</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49,313</w:t>
            </w:r>
          </w:p>
        </w:tc>
        <w:tc>
          <w:tcPr>
            <w:tcW w:w="420" w:type="dxa"/>
            <w:vAlign w:val="bottom"/>
            <w:shd w:val="clear" w:color="auto" w:fill="EEEEEE"/>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1440" w:type="dxa"/>
            <w:vAlign w:val="bottom"/>
          </w:tcPr>
          <w:p>
            <w:pPr>
              <w:spacing w:after="0"/>
              <w:rPr>
                <w:sz w:val="9"/>
                <w:szCs w:val="9"/>
                <w:color w:val="auto"/>
              </w:rPr>
            </w:pPr>
          </w:p>
        </w:tc>
        <w:tc>
          <w:tcPr>
            <w:tcW w:w="3880" w:type="dxa"/>
            <w:vAlign w:val="bottom"/>
          </w:tcPr>
          <w:p>
            <w:pPr>
              <w:spacing w:after="0"/>
              <w:rPr>
                <w:sz w:val="9"/>
                <w:szCs w:val="9"/>
                <w:color w:val="auto"/>
              </w:rPr>
            </w:pPr>
          </w:p>
        </w:tc>
        <w:tc>
          <w:tcPr>
            <w:tcW w:w="1680" w:type="dxa"/>
            <w:vAlign w:val="bottom"/>
            <w:gridSpan w:val="2"/>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740" w:type="dxa"/>
            <w:vAlign w:val="bottom"/>
            <w:gridSpan w:val="2"/>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1440" w:type="dxa"/>
            <w:vAlign w:val="bottom"/>
          </w:tcPr>
          <w:p>
            <w:pPr>
              <w:spacing w:after="0"/>
              <w:rPr>
                <w:sz w:val="24"/>
                <w:szCs w:val="24"/>
                <w:color w:val="auto"/>
              </w:rPr>
            </w:pPr>
          </w:p>
        </w:tc>
        <w:tc>
          <w:tcPr>
            <w:tcW w:w="3880" w:type="dxa"/>
            <w:vAlign w:val="bottom"/>
          </w:tcPr>
          <w:p>
            <w:pPr>
              <w:ind w:left="700"/>
              <w:spacing w:after="0"/>
              <w:rPr>
                <w:sz w:val="20"/>
                <w:szCs w:val="20"/>
                <w:color w:val="auto"/>
              </w:rPr>
            </w:pPr>
            <w:r>
              <w:rPr>
                <w:rFonts w:ascii="Arial" w:cs="Arial" w:eastAsia="Arial" w:hAnsi="Arial"/>
                <w:sz w:val="18"/>
                <w:szCs w:val="18"/>
                <w:color w:val="auto"/>
              </w:rPr>
              <w:t>Total assets</w:t>
            </w:r>
          </w:p>
        </w:tc>
        <w:tc>
          <w:tcPr>
            <w:tcW w:w="16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2,254,524</w:t>
            </w:r>
          </w:p>
        </w:tc>
        <w:tc>
          <w:tcPr>
            <w:tcW w:w="420" w:type="dxa"/>
            <w:vAlign w:val="bottom"/>
          </w:tcPr>
          <w:p>
            <w:pPr>
              <w:spacing w:after="0"/>
              <w:rPr>
                <w:sz w:val="24"/>
                <w:szCs w:val="24"/>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2,100,296</w:t>
            </w:r>
          </w:p>
        </w:tc>
        <w:tc>
          <w:tcPr>
            <w:tcW w:w="42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1440" w:type="dxa"/>
            <w:vAlign w:val="bottom"/>
          </w:tcPr>
          <w:p>
            <w:pPr>
              <w:spacing w:after="0"/>
              <w:rPr>
                <w:sz w:val="9"/>
                <w:szCs w:val="9"/>
                <w:color w:val="auto"/>
              </w:rPr>
            </w:pPr>
          </w:p>
        </w:tc>
        <w:tc>
          <w:tcPr>
            <w:tcW w:w="3880" w:type="dxa"/>
            <w:vAlign w:val="bottom"/>
          </w:tcPr>
          <w:p>
            <w:pPr>
              <w:spacing w:after="0"/>
              <w:rPr>
                <w:sz w:val="9"/>
                <w:szCs w:val="9"/>
                <w:color w:val="auto"/>
              </w:rPr>
            </w:pPr>
          </w:p>
        </w:tc>
        <w:tc>
          <w:tcPr>
            <w:tcW w:w="130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440" w:type="dxa"/>
            <w:vAlign w:val="bottom"/>
          </w:tcPr>
          <w:p>
            <w:pPr>
              <w:spacing w:after="0"/>
              <w:rPr>
                <w:sz w:val="5"/>
                <w:szCs w:val="5"/>
                <w:color w:val="auto"/>
              </w:rPr>
            </w:pPr>
          </w:p>
        </w:tc>
        <w:tc>
          <w:tcPr>
            <w:tcW w:w="3880" w:type="dxa"/>
            <w:vAlign w:val="bottom"/>
          </w:tcPr>
          <w:p>
            <w:pPr>
              <w:spacing w:after="0"/>
              <w:rPr>
                <w:sz w:val="5"/>
                <w:szCs w:val="5"/>
                <w:color w:val="auto"/>
              </w:rPr>
            </w:pPr>
          </w:p>
        </w:tc>
        <w:tc>
          <w:tcPr>
            <w:tcW w:w="130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360" w:type="dxa"/>
            <w:vAlign w:val="bottom"/>
          </w:tcPr>
          <w:p>
            <w:pPr>
              <w:spacing w:after="0"/>
              <w:rPr>
                <w:sz w:val="5"/>
                <w:szCs w:val="5"/>
                <w:color w:val="auto"/>
              </w:rPr>
            </w:pPr>
          </w:p>
        </w:tc>
        <w:tc>
          <w:tcPr>
            <w:tcW w:w="38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14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1440" w:type="dxa"/>
            <w:vAlign w:val="bottom"/>
          </w:tcPr>
          <w:p>
            <w:pPr>
              <w:spacing w:after="0"/>
              <w:rPr>
                <w:sz w:val="9"/>
                <w:szCs w:val="9"/>
                <w:color w:val="auto"/>
              </w:rPr>
            </w:pPr>
          </w:p>
        </w:tc>
        <w:tc>
          <w:tcPr>
            <w:tcW w:w="3880" w:type="dxa"/>
            <w:vAlign w:val="bottom"/>
          </w:tcPr>
          <w:p>
            <w:pPr>
              <w:spacing w:after="0"/>
              <w:rPr>
                <w:sz w:val="9"/>
                <w:szCs w:val="9"/>
                <w:color w:val="auto"/>
              </w:rPr>
            </w:pPr>
          </w:p>
        </w:tc>
        <w:tc>
          <w:tcPr>
            <w:tcW w:w="130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130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tcPr>
          <w:p>
            <w:pPr>
              <w:spacing w:after="0"/>
              <w:rPr>
                <w:sz w:val="20"/>
                <w:szCs w:val="20"/>
                <w:color w:val="auto"/>
              </w:rPr>
            </w:pPr>
            <w:r>
              <w:rPr>
                <w:rFonts w:ascii="Arial" w:cs="Arial" w:eastAsia="Arial" w:hAnsi="Arial"/>
                <w:sz w:val="18"/>
                <w:szCs w:val="18"/>
                <w:color w:val="auto"/>
              </w:rPr>
              <w:t>Current liabilities:</w:t>
            </w:r>
          </w:p>
        </w:tc>
        <w:tc>
          <w:tcPr>
            <w:tcW w:w="1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Accounts payable</w:t>
            </w:r>
          </w:p>
        </w:tc>
        <w:tc>
          <w:tcPr>
            <w:tcW w:w="168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77,924</w:t>
            </w:r>
          </w:p>
        </w:tc>
        <w:tc>
          <w:tcPr>
            <w:tcW w:w="42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47,672</w:t>
            </w:r>
          </w:p>
        </w:tc>
        <w:tc>
          <w:tcPr>
            <w:tcW w:w="420" w:type="dxa"/>
            <w:vAlign w:val="bottom"/>
            <w:shd w:val="clear" w:color="auto" w:fill="EEEEEE"/>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tcPr>
          <w:p>
            <w:pPr>
              <w:ind w:left="340"/>
              <w:spacing w:after="0"/>
              <w:rPr>
                <w:sz w:val="20"/>
                <w:szCs w:val="20"/>
                <w:color w:val="auto"/>
              </w:rPr>
            </w:pPr>
            <w:r>
              <w:rPr>
                <w:rFonts w:ascii="Arial" w:cs="Arial" w:eastAsia="Arial" w:hAnsi="Arial"/>
                <w:sz w:val="18"/>
                <w:szCs w:val="18"/>
                <w:color w:val="auto"/>
              </w:rPr>
              <w:t>Accrued liabilities</w:t>
            </w:r>
          </w:p>
        </w:tc>
        <w:tc>
          <w:tcPr>
            <w:tcW w:w="1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64,268</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26,955</w:t>
            </w:r>
          </w:p>
        </w:tc>
        <w:tc>
          <w:tcPr>
            <w:tcW w:w="42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Income taxes payable</w:t>
            </w:r>
          </w:p>
        </w:tc>
        <w:tc>
          <w:tcPr>
            <w:tcW w:w="130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7,467</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2,247</w:t>
            </w:r>
          </w:p>
        </w:tc>
        <w:tc>
          <w:tcPr>
            <w:tcW w:w="420" w:type="dxa"/>
            <w:vAlign w:val="bottom"/>
            <w:shd w:val="clear" w:color="auto" w:fill="EEEEEE"/>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tcPr>
          <w:p>
            <w:pPr>
              <w:ind w:left="340"/>
              <w:spacing w:after="0"/>
              <w:rPr>
                <w:sz w:val="20"/>
                <w:szCs w:val="20"/>
                <w:color w:val="auto"/>
              </w:rPr>
            </w:pPr>
            <w:r>
              <w:rPr>
                <w:rFonts w:ascii="Arial" w:cs="Arial" w:eastAsia="Arial" w:hAnsi="Arial"/>
                <w:sz w:val="18"/>
                <w:szCs w:val="18"/>
                <w:color w:val="auto"/>
              </w:rPr>
              <w:t>Deferred income</w:t>
            </w:r>
          </w:p>
        </w:tc>
        <w:tc>
          <w:tcPr>
            <w:tcW w:w="1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12,373</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12,481</w:t>
            </w:r>
          </w:p>
        </w:tc>
        <w:tc>
          <w:tcPr>
            <w:tcW w:w="42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Current portion of capital lease obligations</w:t>
            </w:r>
          </w:p>
        </w:tc>
        <w:tc>
          <w:tcPr>
            <w:tcW w:w="130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6,850</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5,019</w:t>
            </w:r>
          </w:p>
        </w:tc>
        <w:tc>
          <w:tcPr>
            <w:tcW w:w="420" w:type="dxa"/>
            <w:vAlign w:val="bottom"/>
            <w:shd w:val="clear" w:color="auto" w:fill="EEEEEE"/>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1440" w:type="dxa"/>
            <w:vAlign w:val="bottom"/>
          </w:tcPr>
          <w:p>
            <w:pPr>
              <w:spacing w:after="0"/>
              <w:rPr>
                <w:sz w:val="9"/>
                <w:szCs w:val="9"/>
                <w:color w:val="auto"/>
              </w:rPr>
            </w:pPr>
          </w:p>
        </w:tc>
        <w:tc>
          <w:tcPr>
            <w:tcW w:w="3880" w:type="dxa"/>
            <w:vAlign w:val="bottom"/>
          </w:tcPr>
          <w:p>
            <w:pPr>
              <w:spacing w:after="0"/>
              <w:rPr>
                <w:sz w:val="9"/>
                <w:szCs w:val="9"/>
                <w:color w:val="auto"/>
              </w:rPr>
            </w:pPr>
          </w:p>
        </w:tc>
        <w:tc>
          <w:tcPr>
            <w:tcW w:w="130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1440" w:type="dxa"/>
            <w:vAlign w:val="bottom"/>
          </w:tcPr>
          <w:p>
            <w:pPr>
              <w:spacing w:after="0"/>
              <w:rPr>
                <w:sz w:val="24"/>
                <w:szCs w:val="24"/>
                <w:color w:val="auto"/>
              </w:rPr>
            </w:pPr>
          </w:p>
        </w:tc>
        <w:tc>
          <w:tcPr>
            <w:tcW w:w="3880" w:type="dxa"/>
            <w:vAlign w:val="bottom"/>
          </w:tcPr>
          <w:p>
            <w:pPr>
              <w:ind w:left="700"/>
              <w:spacing w:after="0"/>
              <w:rPr>
                <w:sz w:val="20"/>
                <w:szCs w:val="20"/>
                <w:color w:val="auto"/>
              </w:rPr>
            </w:pPr>
            <w:r>
              <w:rPr>
                <w:rFonts w:ascii="Arial" w:cs="Arial" w:eastAsia="Arial" w:hAnsi="Arial"/>
                <w:sz w:val="18"/>
                <w:szCs w:val="18"/>
                <w:color w:val="auto"/>
              </w:rPr>
              <w:t>Total current liabilities</w:t>
            </w:r>
          </w:p>
        </w:tc>
        <w:tc>
          <w:tcPr>
            <w:tcW w:w="13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168,882</w:t>
            </w:r>
          </w:p>
        </w:tc>
        <w:tc>
          <w:tcPr>
            <w:tcW w:w="4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94,374</w:t>
            </w:r>
          </w:p>
        </w:tc>
        <w:tc>
          <w:tcPr>
            <w:tcW w:w="42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1440" w:type="dxa"/>
            <w:vAlign w:val="bottom"/>
          </w:tcPr>
          <w:p>
            <w:pPr>
              <w:spacing w:after="0"/>
              <w:rPr>
                <w:sz w:val="18"/>
                <w:szCs w:val="18"/>
                <w:color w:val="auto"/>
              </w:rPr>
            </w:pPr>
          </w:p>
        </w:tc>
        <w:tc>
          <w:tcPr>
            <w:tcW w:w="3880" w:type="dxa"/>
            <w:vAlign w:val="bottom"/>
            <w:shd w:val="clear" w:color="auto" w:fill="EEEEEE"/>
          </w:tcPr>
          <w:p>
            <w:pPr>
              <w:spacing w:after="0"/>
              <w:rPr>
                <w:sz w:val="20"/>
                <w:szCs w:val="20"/>
                <w:color w:val="auto"/>
              </w:rPr>
            </w:pPr>
            <w:r>
              <w:rPr>
                <w:rFonts w:ascii="Arial" w:cs="Arial" w:eastAsia="Arial" w:hAnsi="Arial"/>
                <w:sz w:val="18"/>
                <w:szCs w:val="18"/>
                <w:color w:val="auto"/>
              </w:rPr>
              <w:t>Capital lease obligations</w:t>
            </w:r>
          </w:p>
        </w:tc>
        <w:tc>
          <w:tcPr>
            <w:tcW w:w="130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12,491</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13,755</w:t>
            </w:r>
          </w:p>
        </w:tc>
        <w:tc>
          <w:tcPr>
            <w:tcW w:w="420" w:type="dxa"/>
            <w:vAlign w:val="bottom"/>
            <w:shd w:val="clear" w:color="auto" w:fill="EEEEEE"/>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440" w:type="dxa"/>
            <w:vAlign w:val="bottom"/>
          </w:tcPr>
          <w:p>
            <w:pPr>
              <w:spacing w:after="0"/>
              <w:rPr>
                <w:sz w:val="19"/>
                <w:szCs w:val="19"/>
                <w:color w:val="auto"/>
              </w:rPr>
            </w:pPr>
          </w:p>
        </w:tc>
        <w:tc>
          <w:tcPr>
            <w:tcW w:w="388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13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43,596</w:t>
            </w:r>
          </w:p>
        </w:tc>
        <w:tc>
          <w:tcPr>
            <w:tcW w:w="4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42,029</w:t>
            </w:r>
          </w:p>
        </w:tc>
        <w:tc>
          <w:tcPr>
            <w:tcW w:w="420" w:type="dxa"/>
            <w:vAlign w:val="bottom"/>
          </w:tcPr>
          <w:p>
            <w:pPr>
              <w:spacing w:after="0"/>
              <w:rPr>
                <w:sz w:val="19"/>
                <w:szCs w:val="19"/>
                <w:color w:val="auto"/>
              </w:rPr>
            </w:pPr>
          </w:p>
        </w:tc>
        <w:tc>
          <w:tcPr>
            <w:tcW w:w="1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1440" w:type="dxa"/>
            <w:vAlign w:val="bottom"/>
          </w:tcPr>
          <w:p>
            <w:pPr>
              <w:spacing w:after="0"/>
              <w:rPr>
                <w:sz w:val="8"/>
                <w:szCs w:val="8"/>
                <w:color w:val="auto"/>
              </w:rPr>
            </w:pPr>
          </w:p>
        </w:tc>
        <w:tc>
          <w:tcPr>
            <w:tcW w:w="3880" w:type="dxa"/>
            <w:vAlign w:val="bottom"/>
          </w:tcPr>
          <w:p>
            <w:pPr>
              <w:spacing w:after="0"/>
              <w:rPr>
                <w:sz w:val="8"/>
                <w:szCs w:val="8"/>
                <w:color w:val="auto"/>
              </w:rPr>
            </w:pPr>
          </w:p>
        </w:tc>
        <w:tc>
          <w:tcPr>
            <w:tcW w:w="130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36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1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1440" w:type="dxa"/>
            <w:vAlign w:val="bottom"/>
          </w:tcPr>
          <w:p>
            <w:pPr>
              <w:spacing w:after="0"/>
              <w:rPr>
                <w:sz w:val="8"/>
                <w:szCs w:val="8"/>
                <w:color w:val="auto"/>
              </w:rPr>
            </w:pPr>
          </w:p>
        </w:tc>
        <w:tc>
          <w:tcPr>
            <w:tcW w:w="3880" w:type="dxa"/>
            <w:vAlign w:val="bottom"/>
          </w:tcPr>
          <w:p>
            <w:pPr>
              <w:spacing w:after="0"/>
              <w:rPr>
                <w:sz w:val="8"/>
                <w:szCs w:val="8"/>
                <w:color w:val="auto"/>
              </w:rPr>
            </w:pPr>
          </w:p>
        </w:tc>
        <w:tc>
          <w:tcPr>
            <w:tcW w:w="130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36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1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shd w:val="clear" w:color="auto" w:fill="EEEEEE"/>
          </w:tcPr>
          <w:p>
            <w:pPr>
              <w:ind w:left="700"/>
              <w:spacing w:after="0"/>
              <w:rPr>
                <w:sz w:val="20"/>
                <w:szCs w:val="20"/>
                <w:color w:val="auto"/>
              </w:rPr>
            </w:pPr>
            <w:r>
              <w:rPr>
                <w:rFonts w:ascii="Arial" w:cs="Arial" w:eastAsia="Arial" w:hAnsi="Arial"/>
                <w:sz w:val="18"/>
                <w:szCs w:val="18"/>
                <w:color w:val="auto"/>
              </w:rPr>
              <w:t>Total liabilities</w:t>
            </w:r>
          </w:p>
        </w:tc>
        <w:tc>
          <w:tcPr>
            <w:tcW w:w="130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224,969</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150,158</w:t>
            </w:r>
          </w:p>
        </w:tc>
        <w:tc>
          <w:tcPr>
            <w:tcW w:w="420" w:type="dxa"/>
            <w:vAlign w:val="bottom"/>
            <w:shd w:val="clear" w:color="auto" w:fill="EEEEEE"/>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1440" w:type="dxa"/>
            <w:vAlign w:val="bottom"/>
          </w:tcPr>
          <w:p>
            <w:pPr>
              <w:spacing w:after="0"/>
              <w:rPr>
                <w:sz w:val="9"/>
                <w:szCs w:val="9"/>
                <w:color w:val="auto"/>
              </w:rPr>
            </w:pPr>
          </w:p>
        </w:tc>
        <w:tc>
          <w:tcPr>
            <w:tcW w:w="3880" w:type="dxa"/>
            <w:vAlign w:val="bottom"/>
            <w:vMerge w:val="restart"/>
          </w:tcPr>
          <w:p>
            <w:pPr>
              <w:spacing w:after="0"/>
              <w:rPr>
                <w:sz w:val="20"/>
                <w:szCs w:val="20"/>
                <w:color w:val="auto"/>
              </w:rPr>
            </w:pPr>
            <w:r>
              <w:rPr>
                <w:rFonts w:ascii="Arial" w:cs="Arial" w:eastAsia="Arial" w:hAnsi="Arial"/>
                <w:sz w:val="18"/>
                <w:szCs w:val="18"/>
                <w:color w:val="auto"/>
              </w:rPr>
              <w:t>Shareholders’ equity:</w:t>
            </w:r>
          </w:p>
        </w:tc>
        <w:tc>
          <w:tcPr>
            <w:tcW w:w="130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1440" w:type="dxa"/>
            <w:vAlign w:val="bottom"/>
          </w:tcPr>
          <w:p>
            <w:pPr>
              <w:spacing w:after="0"/>
              <w:rPr>
                <w:sz w:val="24"/>
                <w:szCs w:val="24"/>
                <w:color w:val="auto"/>
              </w:rPr>
            </w:pPr>
          </w:p>
        </w:tc>
        <w:tc>
          <w:tcPr>
            <w:tcW w:w="3880" w:type="dxa"/>
            <w:vAlign w:val="bottom"/>
            <w:vMerge w:val="continue"/>
          </w:tcPr>
          <w:p>
            <w:pPr>
              <w:spacing w:after="0"/>
              <w:rPr>
                <w:sz w:val="24"/>
                <w:szCs w:val="24"/>
                <w:color w:val="auto"/>
              </w:rPr>
            </w:pPr>
          </w:p>
        </w:tc>
        <w:tc>
          <w:tcPr>
            <w:tcW w:w="13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1440" w:type="dxa"/>
            <w:vAlign w:val="bottom"/>
          </w:tcPr>
          <w:p>
            <w:pPr>
              <w:spacing w:after="0"/>
              <w:rPr>
                <w:sz w:val="18"/>
                <w:szCs w:val="18"/>
                <w:color w:val="auto"/>
              </w:rPr>
            </w:pPr>
          </w:p>
        </w:tc>
        <w:tc>
          <w:tcPr>
            <w:tcW w:w="38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Common stock</w:t>
            </w:r>
          </w:p>
        </w:tc>
        <w:tc>
          <w:tcPr>
            <w:tcW w:w="130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251</w:t>
            </w:r>
          </w:p>
        </w:tc>
        <w:tc>
          <w:tcPr>
            <w:tcW w:w="4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243</w:t>
            </w:r>
          </w:p>
        </w:tc>
        <w:tc>
          <w:tcPr>
            <w:tcW w:w="420" w:type="dxa"/>
            <w:vAlign w:val="bottom"/>
            <w:shd w:val="clear" w:color="auto" w:fill="EEEEEE"/>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tcPr>
          <w:p>
            <w:pPr>
              <w:ind w:left="340"/>
              <w:spacing w:after="0"/>
              <w:rPr>
                <w:sz w:val="20"/>
                <w:szCs w:val="20"/>
                <w:color w:val="auto"/>
              </w:rPr>
            </w:pPr>
            <w:r>
              <w:rPr>
                <w:rFonts w:ascii="Arial" w:cs="Arial" w:eastAsia="Arial" w:hAnsi="Arial"/>
                <w:sz w:val="18"/>
                <w:szCs w:val="18"/>
                <w:color w:val="auto"/>
              </w:rPr>
              <w:t>Additional paid-in capital</w:t>
            </w:r>
          </w:p>
        </w:tc>
        <w:tc>
          <w:tcPr>
            <w:tcW w:w="1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2,744,205</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2,674,095</w:t>
            </w:r>
          </w:p>
        </w:tc>
        <w:tc>
          <w:tcPr>
            <w:tcW w:w="42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Deferred stock-based compensation</w:t>
            </w:r>
          </w:p>
        </w:tc>
        <w:tc>
          <w:tcPr>
            <w:tcW w:w="130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112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(9,313)</w:t>
            </w: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12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(5,899)</w:t>
            </w: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tcPr>
          <w:p>
            <w:pPr>
              <w:ind w:left="340"/>
              <w:spacing w:after="0"/>
              <w:rPr>
                <w:sz w:val="20"/>
                <w:szCs w:val="20"/>
                <w:color w:val="auto"/>
              </w:rPr>
            </w:pPr>
            <w:r>
              <w:rPr>
                <w:rFonts w:ascii="Arial" w:cs="Arial" w:eastAsia="Arial" w:hAnsi="Arial"/>
                <w:sz w:val="18"/>
                <w:szCs w:val="18"/>
                <w:color w:val="auto"/>
              </w:rPr>
              <w:t>Accumulated other comprehensive income</w:t>
            </w:r>
          </w:p>
        </w:tc>
        <w:tc>
          <w:tcPr>
            <w:tcW w:w="1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922</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1,988</w:t>
            </w:r>
          </w:p>
        </w:tc>
        <w:tc>
          <w:tcPr>
            <w:tcW w:w="42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Accumulated deficit</w:t>
            </w:r>
          </w:p>
        </w:tc>
        <w:tc>
          <w:tcPr>
            <w:tcW w:w="130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112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w w:val="95"/>
              </w:rPr>
              <w:t>(706,510)</w:t>
            </w:r>
          </w:p>
        </w:tc>
        <w:tc>
          <w:tcPr>
            <w:tcW w:w="3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12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w w:val="95"/>
              </w:rPr>
              <w:t>(720,289)</w:t>
            </w: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1440" w:type="dxa"/>
            <w:vAlign w:val="bottom"/>
          </w:tcPr>
          <w:p>
            <w:pPr>
              <w:spacing w:after="0"/>
              <w:rPr>
                <w:sz w:val="9"/>
                <w:szCs w:val="9"/>
                <w:color w:val="auto"/>
              </w:rPr>
            </w:pPr>
          </w:p>
        </w:tc>
        <w:tc>
          <w:tcPr>
            <w:tcW w:w="3880" w:type="dxa"/>
            <w:vAlign w:val="bottom"/>
          </w:tcPr>
          <w:p>
            <w:pPr>
              <w:spacing w:after="0"/>
              <w:rPr>
                <w:sz w:val="9"/>
                <w:szCs w:val="9"/>
                <w:color w:val="auto"/>
              </w:rPr>
            </w:pPr>
          </w:p>
        </w:tc>
        <w:tc>
          <w:tcPr>
            <w:tcW w:w="130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1440" w:type="dxa"/>
            <w:vAlign w:val="bottom"/>
          </w:tcPr>
          <w:p>
            <w:pPr>
              <w:spacing w:after="0"/>
              <w:rPr>
                <w:sz w:val="24"/>
                <w:szCs w:val="24"/>
                <w:color w:val="auto"/>
              </w:rPr>
            </w:pPr>
          </w:p>
        </w:tc>
        <w:tc>
          <w:tcPr>
            <w:tcW w:w="3880" w:type="dxa"/>
            <w:vAlign w:val="bottom"/>
          </w:tcPr>
          <w:p>
            <w:pPr>
              <w:ind w:left="700"/>
              <w:spacing w:after="0"/>
              <w:rPr>
                <w:sz w:val="20"/>
                <w:szCs w:val="20"/>
                <w:color w:val="auto"/>
              </w:rPr>
            </w:pPr>
            <w:r>
              <w:rPr>
                <w:rFonts w:ascii="Arial" w:cs="Arial" w:eastAsia="Arial" w:hAnsi="Arial"/>
                <w:sz w:val="18"/>
                <w:szCs w:val="18"/>
                <w:color w:val="auto"/>
              </w:rPr>
              <w:t>Total shareholders’ equity</w:t>
            </w:r>
          </w:p>
        </w:tc>
        <w:tc>
          <w:tcPr>
            <w:tcW w:w="13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2,029,555</w:t>
            </w:r>
          </w:p>
        </w:tc>
        <w:tc>
          <w:tcPr>
            <w:tcW w:w="4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1,950,138</w:t>
            </w:r>
          </w:p>
        </w:tc>
        <w:tc>
          <w:tcPr>
            <w:tcW w:w="42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1440" w:type="dxa"/>
            <w:vAlign w:val="bottom"/>
          </w:tcPr>
          <w:p>
            <w:pPr>
              <w:spacing w:after="0"/>
              <w:rPr>
                <w:sz w:val="9"/>
                <w:szCs w:val="9"/>
                <w:color w:val="auto"/>
              </w:rPr>
            </w:pPr>
          </w:p>
        </w:tc>
        <w:tc>
          <w:tcPr>
            <w:tcW w:w="3880" w:type="dxa"/>
            <w:vAlign w:val="bottom"/>
          </w:tcPr>
          <w:p>
            <w:pPr>
              <w:spacing w:after="0"/>
              <w:rPr>
                <w:sz w:val="9"/>
                <w:szCs w:val="9"/>
                <w:color w:val="auto"/>
              </w:rPr>
            </w:pPr>
          </w:p>
        </w:tc>
        <w:tc>
          <w:tcPr>
            <w:tcW w:w="130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1440" w:type="dxa"/>
            <w:vAlign w:val="bottom"/>
          </w:tcPr>
          <w:p>
            <w:pPr>
              <w:spacing w:after="0"/>
              <w:rPr>
                <w:sz w:val="8"/>
                <w:szCs w:val="8"/>
                <w:color w:val="auto"/>
              </w:rPr>
            </w:pPr>
          </w:p>
        </w:tc>
        <w:tc>
          <w:tcPr>
            <w:tcW w:w="3880" w:type="dxa"/>
            <w:vAlign w:val="bottom"/>
          </w:tcPr>
          <w:p>
            <w:pPr>
              <w:spacing w:after="0"/>
              <w:rPr>
                <w:sz w:val="8"/>
                <w:szCs w:val="8"/>
                <w:color w:val="auto"/>
              </w:rPr>
            </w:pPr>
          </w:p>
        </w:tc>
        <w:tc>
          <w:tcPr>
            <w:tcW w:w="130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36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1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3880" w:type="dxa"/>
            <w:vAlign w:val="bottom"/>
            <w:shd w:val="clear" w:color="auto" w:fill="EEEEEE"/>
          </w:tcPr>
          <w:p>
            <w:pPr>
              <w:ind w:left="700"/>
              <w:spacing w:after="0"/>
              <w:rPr>
                <w:sz w:val="20"/>
                <w:szCs w:val="20"/>
                <w:color w:val="auto"/>
              </w:rPr>
            </w:pPr>
            <w:r>
              <w:rPr>
                <w:rFonts w:ascii="Arial" w:cs="Arial" w:eastAsia="Arial" w:hAnsi="Arial"/>
                <w:sz w:val="18"/>
                <w:szCs w:val="18"/>
                <w:color w:val="auto"/>
              </w:rPr>
              <w:t>Total liabilities and shareholders’ equity</w:t>
            </w:r>
          </w:p>
        </w:tc>
        <w:tc>
          <w:tcPr>
            <w:tcW w:w="168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2,254,524</w:t>
            </w:r>
          </w:p>
        </w:tc>
        <w:tc>
          <w:tcPr>
            <w:tcW w:w="42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2,100,296</w:t>
            </w:r>
          </w:p>
        </w:tc>
        <w:tc>
          <w:tcPr>
            <w:tcW w:w="420" w:type="dxa"/>
            <w:vAlign w:val="bottom"/>
            <w:shd w:val="clear" w:color="auto" w:fill="EEEEEE"/>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1440" w:type="dxa"/>
            <w:vAlign w:val="bottom"/>
          </w:tcPr>
          <w:p>
            <w:pPr>
              <w:spacing w:after="0"/>
              <w:rPr>
                <w:sz w:val="9"/>
                <w:szCs w:val="9"/>
                <w:color w:val="auto"/>
              </w:rPr>
            </w:pPr>
          </w:p>
        </w:tc>
        <w:tc>
          <w:tcPr>
            <w:tcW w:w="3880" w:type="dxa"/>
            <w:vAlign w:val="bottom"/>
          </w:tcPr>
          <w:p>
            <w:pPr>
              <w:spacing w:after="0"/>
              <w:rPr>
                <w:sz w:val="9"/>
                <w:szCs w:val="9"/>
                <w:color w:val="auto"/>
              </w:rPr>
            </w:pPr>
          </w:p>
        </w:tc>
        <w:tc>
          <w:tcPr>
            <w:tcW w:w="1300" w:type="dxa"/>
            <w:vAlign w:val="bottom"/>
            <w:vMerge w:val="restart"/>
          </w:tcPr>
          <w:p>
            <w:pPr>
              <w:jc w:val="right"/>
              <w:ind w:right="772"/>
              <w:spacing w:after="0"/>
              <w:rPr>
                <w:sz w:val="20"/>
                <w:szCs w:val="20"/>
                <w:color w:val="auto"/>
              </w:rPr>
            </w:pPr>
            <w:r>
              <w:rPr>
                <w:rFonts w:ascii="Arial" w:cs="Arial" w:eastAsia="Arial" w:hAnsi="Arial"/>
                <w:sz w:val="18"/>
                <w:szCs w:val="18"/>
                <w:color w:val="auto"/>
              </w:rPr>
              <w:t>4</w:t>
            </w:r>
          </w:p>
        </w:tc>
        <w:tc>
          <w:tcPr>
            <w:tcW w:w="38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440" w:type="dxa"/>
            <w:vAlign w:val="bottom"/>
          </w:tcPr>
          <w:p>
            <w:pPr>
              <w:spacing w:after="0"/>
              <w:rPr>
                <w:sz w:val="5"/>
                <w:szCs w:val="5"/>
                <w:color w:val="auto"/>
              </w:rPr>
            </w:pPr>
          </w:p>
        </w:tc>
        <w:tc>
          <w:tcPr>
            <w:tcW w:w="3880" w:type="dxa"/>
            <w:vAlign w:val="bottom"/>
          </w:tcPr>
          <w:p>
            <w:pPr>
              <w:spacing w:after="0"/>
              <w:rPr>
                <w:sz w:val="5"/>
                <w:szCs w:val="5"/>
                <w:color w:val="auto"/>
              </w:rPr>
            </w:pPr>
          </w:p>
        </w:tc>
        <w:tc>
          <w:tcPr>
            <w:tcW w:w="1300" w:type="dxa"/>
            <w:vAlign w:val="bottom"/>
            <w:vMerge w:val="continue"/>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360" w:type="dxa"/>
            <w:vAlign w:val="bottom"/>
          </w:tcPr>
          <w:p>
            <w:pPr>
              <w:spacing w:after="0"/>
              <w:rPr>
                <w:sz w:val="5"/>
                <w:szCs w:val="5"/>
                <w:color w:val="auto"/>
              </w:rPr>
            </w:pPr>
          </w:p>
        </w:tc>
        <w:tc>
          <w:tcPr>
            <w:tcW w:w="38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14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1440" w:type="dxa"/>
            <w:vAlign w:val="bottom"/>
          </w:tcPr>
          <w:p>
            <w:pPr>
              <w:spacing w:after="0"/>
              <w:rPr>
                <w:sz w:val="24"/>
                <w:szCs w:val="24"/>
                <w:color w:val="auto"/>
              </w:rPr>
            </w:pPr>
          </w:p>
        </w:tc>
        <w:tc>
          <w:tcPr>
            <w:tcW w:w="3880" w:type="dxa"/>
            <w:vAlign w:val="bottom"/>
          </w:tcPr>
          <w:p>
            <w:pPr>
              <w:spacing w:after="0"/>
              <w:rPr>
                <w:sz w:val="24"/>
                <w:szCs w:val="24"/>
                <w:color w:val="auto"/>
              </w:rPr>
            </w:pPr>
          </w:p>
        </w:tc>
        <w:tc>
          <w:tcPr>
            <w:tcW w:w="1300" w:type="dxa"/>
            <w:vAlign w:val="bottom"/>
            <w:vMerge w:val="continue"/>
          </w:tcPr>
          <w:p>
            <w:pPr>
              <w:spacing w:after="0"/>
              <w:rPr>
                <w:sz w:val="24"/>
                <w:szCs w:val="24"/>
                <w:color w:val="auto"/>
              </w:rPr>
            </w:pPr>
          </w:p>
        </w:tc>
        <w:tc>
          <w:tcPr>
            <w:tcW w:w="3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1440" w:type="dxa"/>
            <w:vAlign w:val="bottom"/>
            <w:tcBorders>
              <w:bottom w:val="single" w:sz="8" w:color="808080"/>
            </w:tcBorders>
          </w:tcPr>
          <w:p>
            <w:pPr>
              <w:spacing w:after="0"/>
              <w:rPr>
                <w:sz w:val="19"/>
                <w:szCs w:val="19"/>
                <w:color w:val="auto"/>
              </w:rPr>
            </w:pPr>
          </w:p>
        </w:tc>
        <w:tc>
          <w:tcPr>
            <w:tcW w:w="3880" w:type="dxa"/>
            <w:vAlign w:val="bottom"/>
            <w:tcBorders>
              <w:bottom w:val="single" w:sz="8" w:color="808080"/>
            </w:tcBorders>
          </w:tcPr>
          <w:p>
            <w:pPr>
              <w:spacing w:after="0"/>
              <w:rPr>
                <w:sz w:val="19"/>
                <w:szCs w:val="19"/>
                <w:color w:val="auto"/>
              </w:rPr>
            </w:pPr>
          </w:p>
        </w:tc>
        <w:tc>
          <w:tcPr>
            <w:tcW w:w="1300" w:type="dxa"/>
            <w:vAlign w:val="bottom"/>
            <w:tcBorders>
              <w:bottom w:val="single" w:sz="8" w:color="808080"/>
            </w:tcBorders>
          </w:tcPr>
          <w:p>
            <w:pPr>
              <w:spacing w:after="0"/>
              <w:rPr>
                <w:sz w:val="19"/>
                <w:szCs w:val="19"/>
                <w:color w:val="auto"/>
              </w:rPr>
            </w:pPr>
          </w:p>
        </w:tc>
        <w:tc>
          <w:tcPr>
            <w:tcW w:w="380" w:type="dxa"/>
            <w:vAlign w:val="bottom"/>
            <w:tcBorders>
              <w:bottom w:val="single" w:sz="8" w:color="808080"/>
            </w:tcBorders>
          </w:tcPr>
          <w:p>
            <w:pPr>
              <w:spacing w:after="0"/>
              <w:rPr>
                <w:sz w:val="19"/>
                <w:szCs w:val="19"/>
                <w:color w:val="auto"/>
              </w:rPr>
            </w:pPr>
          </w:p>
        </w:tc>
        <w:tc>
          <w:tcPr>
            <w:tcW w:w="700" w:type="dxa"/>
            <w:vAlign w:val="bottom"/>
            <w:tcBorders>
              <w:bottom w:val="single" w:sz="8" w:color="808080"/>
            </w:tcBorders>
          </w:tcPr>
          <w:p>
            <w:pPr>
              <w:spacing w:after="0"/>
              <w:rPr>
                <w:sz w:val="19"/>
                <w:szCs w:val="19"/>
                <w:color w:val="auto"/>
              </w:rPr>
            </w:pPr>
          </w:p>
        </w:tc>
        <w:tc>
          <w:tcPr>
            <w:tcW w:w="420" w:type="dxa"/>
            <w:vAlign w:val="bottom"/>
            <w:tcBorders>
              <w:bottom w:val="single" w:sz="8" w:color="808080"/>
            </w:tcBorders>
          </w:tcPr>
          <w:p>
            <w:pPr>
              <w:spacing w:after="0"/>
              <w:rPr>
                <w:sz w:val="19"/>
                <w:szCs w:val="19"/>
                <w:color w:val="auto"/>
              </w:rPr>
            </w:pPr>
          </w:p>
        </w:tc>
        <w:tc>
          <w:tcPr>
            <w:tcW w:w="360" w:type="dxa"/>
            <w:vAlign w:val="bottom"/>
            <w:tcBorders>
              <w:bottom w:val="single" w:sz="8" w:color="808080"/>
            </w:tcBorders>
          </w:tcPr>
          <w:p>
            <w:pPr>
              <w:spacing w:after="0"/>
              <w:rPr>
                <w:sz w:val="19"/>
                <w:szCs w:val="19"/>
                <w:color w:val="auto"/>
              </w:rPr>
            </w:pPr>
          </w:p>
        </w:tc>
        <w:tc>
          <w:tcPr>
            <w:tcW w:w="380" w:type="dxa"/>
            <w:vAlign w:val="bottom"/>
            <w:tcBorders>
              <w:bottom w:val="single" w:sz="8" w:color="808080"/>
            </w:tcBorders>
          </w:tcPr>
          <w:p>
            <w:pPr>
              <w:spacing w:after="0"/>
              <w:rPr>
                <w:sz w:val="19"/>
                <w:szCs w:val="19"/>
                <w:color w:val="auto"/>
              </w:rPr>
            </w:pPr>
          </w:p>
        </w:tc>
        <w:tc>
          <w:tcPr>
            <w:tcW w:w="700" w:type="dxa"/>
            <w:vAlign w:val="bottom"/>
            <w:tcBorders>
              <w:bottom w:val="single" w:sz="8" w:color="808080"/>
            </w:tcBorders>
          </w:tcPr>
          <w:p>
            <w:pPr>
              <w:spacing w:after="0"/>
              <w:rPr>
                <w:sz w:val="19"/>
                <w:szCs w:val="19"/>
                <w:color w:val="auto"/>
              </w:rPr>
            </w:pPr>
          </w:p>
        </w:tc>
        <w:tc>
          <w:tcPr>
            <w:tcW w:w="420" w:type="dxa"/>
            <w:vAlign w:val="bottom"/>
            <w:tcBorders>
              <w:bottom w:val="single" w:sz="8" w:color="808080"/>
            </w:tcBorders>
          </w:tcPr>
          <w:p>
            <w:pPr>
              <w:spacing w:after="0"/>
              <w:rPr>
                <w:sz w:val="19"/>
                <w:szCs w:val="19"/>
                <w:color w:val="auto"/>
              </w:rPr>
            </w:pPr>
          </w:p>
        </w:tc>
        <w:tc>
          <w:tcPr>
            <w:tcW w:w="144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SIGNATURE</w:t>
      </w:r>
    </w:p>
    <w:p>
      <w:pPr>
        <w:spacing w:after="0" w:line="231" w:lineRule="exact"/>
        <w:rPr>
          <w:sz w:val="20"/>
          <w:szCs w:val="20"/>
          <w:color w:val="auto"/>
        </w:rPr>
      </w:pPr>
    </w:p>
    <w:p>
      <w:pPr>
        <w:ind w:firstLine="220"/>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color w:val="auto"/>
        </w:rPr>
        <w:t>Date: August 28, 2003</w:t>
      </w:r>
    </w:p>
    <w:p>
      <w:pPr>
        <w:spacing w:after="0" w:line="200" w:lineRule="exact"/>
        <w:rPr>
          <w:sz w:val="20"/>
          <w:szCs w:val="20"/>
          <w:color w:val="auto"/>
        </w:rPr>
      </w:pPr>
    </w:p>
    <w:p>
      <w:pPr>
        <w:spacing w:after="0" w:line="262" w:lineRule="exact"/>
        <w:rPr>
          <w:sz w:val="20"/>
          <w:szCs w:val="20"/>
          <w:color w:val="auto"/>
        </w:rPr>
      </w:pPr>
    </w:p>
    <w:p>
      <w:pPr>
        <w:ind w:left="5360"/>
        <w:spacing w:after="0"/>
        <w:rPr>
          <w:sz w:val="20"/>
          <w:szCs w:val="20"/>
          <w:color w:val="auto"/>
        </w:rPr>
      </w:pPr>
      <w:r>
        <w:rPr>
          <w:rFonts w:ascii="Arial" w:cs="Arial" w:eastAsia="Arial" w:hAnsi="Arial"/>
          <w:sz w:val="18"/>
          <w:szCs w:val="18"/>
          <w:b w:val="1"/>
          <w:bCs w:val="1"/>
          <w:color w:val="auto"/>
        </w:rPr>
        <w:t>MARVELL TECHNOLOGY GROUP LTD.</w:t>
      </w:r>
    </w:p>
    <w:p>
      <w:pPr>
        <w:spacing w:after="0" w:line="231" w:lineRule="exact"/>
        <w:rPr>
          <w:sz w:val="20"/>
          <w:szCs w:val="20"/>
          <w:color w:val="auto"/>
        </w:rPr>
      </w:pPr>
    </w:p>
    <w:p>
      <w:pPr>
        <w:ind w:left="5360"/>
        <w:spacing w:after="0"/>
        <w:tabs>
          <w:tab w:leader="none" w:pos="5800" w:val="left"/>
        </w:tabs>
        <w:rPr>
          <w:sz w:val="20"/>
          <w:szCs w:val="20"/>
          <w:color w:val="auto"/>
        </w:rPr>
      </w:pPr>
      <w:r>
        <w:rPr>
          <w:rFonts w:ascii="Arial" w:cs="Arial" w:eastAsia="Arial" w:hAnsi="Arial"/>
          <w:sz w:val="18"/>
          <w:szCs w:val="18"/>
          <w:color w:val="auto"/>
        </w:rPr>
        <w:t>By:</w:t>
        <w:tab/>
        <w:t>/s/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3701415</wp:posOffset>
            </wp:positionH>
            <wp:positionV relativeFrom="paragraph">
              <wp:posOffset>80010</wp:posOffset>
            </wp:positionV>
            <wp:extent cx="355028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3550285" cy="8890"/>
                    </a:xfrm>
                    <a:prstGeom prst="rect">
                      <a:avLst/>
                    </a:prstGeom>
                    <a:noFill/>
                  </pic:spPr>
                </pic:pic>
              </a:graphicData>
            </a:graphic>
          </wp:anchor>
        </w:drawing>
      </w:r>
    </w:p>
    <w:p>
      <w:pPr>
        <w:spacing w:after="0" w:line="219"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George A. Hervey</w:t>
      </w:r>
    </w:p>
    <w:p>
      <w:pPr>
        <w:spacing w:after="0" w:line="15"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Chief Financial Officer</w:t>
      </w:r>
    </w:p>
    <w:p>
      <w:pPr>
        <w:spacing w:after="0" w:line="2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w:t>
      </w:r>
    </w:p>
    <w:sectPr>
      <w:pgSz w:w="11900" w:h="16838" w:orient="portrait"/>
      <w:cols w:equalWidth="0" w:num="1">
        <w:col w:w="11220"/>
      </w:cols>
      <w:pgMar w:left="240" w:top="419"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2019-12-12T02:08:37Z</dcterms:created>
  <dcterms:modified xsi:type="dcterms:W3CDTF">2019-12-12T02:08:37Z</dcterms:modified>
</cp:coreProperties>
</file>