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September 15, 2003</w:t>
      </w:r>
    </w:p>
    <w:p>
      <w:pPr>
        <w:spacing w:after="0" w:line="2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Registration No. 333-106833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75565</wp:posOffset>
            </wp:positionV>
            <wp:extent cx="72637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153035</wp:posOffset>
            </wp:positionV>
            <wp:extent cx="7263765"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63765" cy="8890"/>
                    </a:xfrm>
                    <a:prstGeom prst="rect">
                      <a:avLst/>
                    </a:prstGeom>
                    <a:noFill/>
                  </pic:spPr>
                </pic:pic>
              </a:graphicData>
            </a:graphic>
          </wp:anchor>
        </w:drawing>
      </w:r>
    </w:p>
    <w:p>
      <w:pPr>
        <w:spacing w:after="0" w:line="200" w:lineRule="exact"/>
        <w:rPr>
          <w:sz w:val="20"/>
          <w:szCs w:val="20"/>
          <w:color w:val="auto"/>
        </w:rPr>
      </w:pPr>
    </w:p>
    <w:p>
      <w:pPr>
        <w:spacing w:after="0" w:line="22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148590</wp:posOffset>
            </wp:positionV>
            <wp:extent cx="189547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Amendment No. 2</w:t>
      </w: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To</w:t>
      </w:r>
    </w:p>
    <w:p>
      <w:pPr>
        <w:spacing w:after="0" w:line="11"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S-3</w:t>
      </w:r>
    </w:p>
    <w:p>
      <w:pPr>
        <w:jc w:val="center"/>
        <w:spacing w:after="0"/>
        <w:rPr>
          <w:sz w:val="20"/>
          <w:szCs w:val="20"/>
          <w:color w:val="auto"/>
        </w:rPr>
      </w:pPr>
      <w:r>
        <w:rPr>
          <w:rFonts w:ascii="Arial" w:cs="Arial" w:eastAsia="Arial" w:hAnsi="Arial"/>
          <w:sz w:val="22"/>
          <w:szCs w:val="22"/>
          <w:b w:val="1"/>
          <w:bCs w:val="1"/>
          <w:color w:val="auto"/>
        </w:rPr>
        <w:t>REGISTRATION STATEMENT UNDER 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133350</wp:posOffset>
            </wp:positionV>
            <wp:extent cx="189547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56"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(Exact name of registrant as specified in its charter)</w:t>
      </w:r>
    </w:p>
    <w:p>
      <w:pPr>
        <w:spacing w:after="0" w:line="219" w:lineRule="exact"/>
        <w:rPr>
          <w:sz w:val="20"/>
          <w:szCs w:val="20"/>
          <w:color w:val="auto"/>
        </w:rPr>
      </w:pPr>
    </w:p>
    <w:p>
      <w:pPr>
        <w:ind w:left="2920"/>
        <w:spacing w:after="0"/>
        <w:tabs>
          <w:tab w:leader="none" w:pos="8700" w:val="left"/>
        </w:tabs>
        <w:rPr>
          <w:sz w:val="20"/>
          <w:szCs w:val="20"/>
          <w:color w:val="auto"/>
        </w:rPr>
      </w:pPr>
      <w:r>
        <w:rPr>
          <w:rFonts w:ascii="Arial" w:cs="Arial" w:eastAsia="Arial" w:hAnsi="Arial"/>
          <w:sz w:val="18"/>
          <w:szCs w:val="18"/>
          <w:b w:val="1"/>
          <w:bCs w:val="1"/>
          <w:color w:val="auto"/>
        </w:rPr>
        <w:t>Bermuda</w:t>
      </w:r>
      <w:r>
        <w:rPr>
          <w:sz w:val="20"/>
          <w:szCs w:val="20"/>
          <w:color w:val="auto"/>
        </w:rPr>
        <w:tab/>
      </w:r>
      <w:r>
        <w:rPr>
          <w:rFonts w:ascii="Arial" w:cs="Arial" w:eastAsia="Arial" w:hAnsi="Arial"/>
          <w:sz w:val="18"/>
          <w:szCs w:val="18"/>
          <w:b w:val="1"/>
          <w:bCs w:val="1"/>
          <w:color w:val="auto"/>
        </w:rPr>
        <w:t>77-0481679</w:t>
      </w:r>
    </w:p>
    <w:p>
      <w:pPr>
        <w:spacing w:after="0" w:line="21" w:lineRule="exact"/>
        <w:rPr>
          <w:sz w:val="20"/>
          <w:szCs w:val="20"/>
          <w:color w:val="auto"/>
        </w:rPr>
      </w:pPr>
    </w:p>
    <w:p>
      <w:pPr>
        <w:ind w:left="2240"/>
        <w:spacing w:after="0"/>
        <w:tabs>
          <w:tab w:leader="none" w:pos="8540" w:val="left"/>
        </w:tabs>
        <w:rPr>
          <w:sz w:val="20"/>
          <w:szCs w:val="20"/>
          <w:color w:val="auto"/>
        </w:rPr>
      </w:pPr>
      <w:r>
        <w:rPr>
          <w:rFonts w:ascii="Arial" w:cs="Arial" w:eastAsia="Arial" w:hAnsi="Arial"/>
          <w:sz w:val="18"/>
          <w:szCs w:val="18"/>
          <w:i w:val="1"/>
          <w:iCs w:val="1"/>
          <w:color w:val="auto"/>
        </w:rPr>
        <w:t>(State or other jurisdiction of</w:t>
      </w:r>
      <w:r>
        <w:rPr>
          <w:sz w:val="20"/>
          <w:szCs w:val="20"/>
          <w:color w:val="auto"/>
        </w:rPr>
        <w:tab/>
      </w:r>
      <w:r>
        <w:rPr>
          <w:rFonts w:ascii="Arial" w:cs="Arial" w:eastAsia="Arial" w:hAnsi="Arial"/>
          <w:sz w:val="15"/>
          <w:szCs w:val="15"/>
          <w:i w:val="1"/>
          <w:iCs w:val="1"/>
          <w:color w:val="auto"/>
        </w:rPr>
        <w:t>(I.R.S. Employer</w:t>
      </w:r>
    </w:p>
    <w:p>
      <w:pPr>
        <w:spacing w:after="0" w:line="9" w:lineRule="exact"/>
        <w:rPr>
          <w:sz w:val="20"/>
          <w:szCs w:val="20"/>
          <w:color w:val="auto"/>
        </w:rPr>
      </w:pPr>
    </w:p>
    <w:p>
      <w:pPr>
        <w:ind w:left="2180"/>
        <w:spacing w:after="0"/>
        <w:tabs>
          <w:tab w:leader="none" w:pos="8460" w:val="left"/>
        </w:tabs>
        <w:rPr>
          <w:sz w:val="20"/>
          <w:szCs w:val="20"/>
          <w:color w:val="auto"/>
        </w:rPr>
      </w:pPr>
      <w:r>
        <w:rPr>
          <w:rFonts w:ascii="Arial" w:cs="Arial" w:eastAsia="Arial" w:hAnsi="Arial"/>
          <w:sz w:val="18"/>
          <w:szCs w:val="18"/>
          <w:i w:val="1"/>
          <w:iCs w:val="1"/>
          <w:color w:val="auto"/>
        </w:rPr>
        <w:t>incorporation or organization)</w:t>
      </w:r>
      <w:r>
        <w:rPr>
          <w:sz w:val="20"/>
          <w:szCs w:val="20"/>
          <w:color w:val="auto"/>
        </w:rPr>
        <w:tab/>
      </w:r>
      <w:r>
        <w:rPr>
          <w:rFonts w:ascii="Arial" w:cs="Arial" w:eastAsia="Arial" w:hAnsi="Arial"/>
          <w:sz w:val="16"/>
          <w:szCs w:val="16"/>
          <w:i w:val="1"/>
          <w:iCs w:val="1"/>
          <w:color w:val="auto"/>
        </w:rPr>
        <w:t>Identification No.)</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4th Floor</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Windsor Place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22 Queen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(Address, including zip code, and telephone number, including area code, of registrant’s principal executive offices)</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MATTHEW GLOSS, ESQ.</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Vice President of Business Affairs and General Counsel</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700 First Avenue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Sunnyvale, California 94089</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i w:val="1"/>
          <w:iCs w:val="1"/>
          <w:color w:val="auto"/>
        </w:rPr>
        <w:t>(Name, address, including zip code, and telephone number, including area code, of agent for service)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i w:val="1"/>
          <w:iCs w:val="1"/>
          <w:color w:val="auto"/>
        </w:rPr>
        <w:t>Copies to:</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DAVINA K. KAILE, ESQ.</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Pillsbury Winthrop LLP</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2550 Hanover Street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Palo Alto, California 94304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144145</wp:posOffset>
            </wp:positionV>
            <wp:extent cx="189547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49" w:lineRule="exact"/>
        <w:rPr>
          <w:sz w:val="20"/>
          <w:szCs w:val="20"/>
          <w:color w:val="auto"/>
        </w:rPr>
      </w:pPr>
    </w:p>
    <w:p>
      <w:pPr>
        <w:ind w:left="340"/>
        <w:spacing w:after="0"/>
        <w:rPr>
          <w:sz w:val="20"/>
          <w:szCs w:val="20"/>
          <w:color w:val="auto"/>
        </w:rPr>
      </w:pPr>
      <w:r>
        <w:rPr>
          <w:rFonts w:ascii="Arial" w:cs="Arial" w:eastAsia="Arial" w:hAnsi="Arial"/>
          <w:sz w:val="16"/>
          <w:szCs w:val="16"/>
          <w:b w:val="1"/>
          <w:bCs w:val="1"/>
          <w:color w:val="auto"/>
        </w:rPr>
        <w:t xml:space="preserve">Approximate date of commencement of proposed sale to the public: </w:t>
      </w:r>
      <w:r>
        <w:rPr>
          <w:rFonts w:ascii="Arial" w:cs="Arial" w:eastAsia="Arial" w:hAnsi="Arial"/>
          <w:sz w:val="16"/>
          <w:szCs w:val="16"/>
          <w:color w:val="auto"/>
        </w:rPr>
        <w:t>From time to time after this Registration Statement becomes effective.</w:t>
      </w:r>
    </w:p>
    <w:p>
      <w:pPr>
        <w:spacing w:after="0" w:line="281" w:lineRule="exact"/>
        <w:rPr>
          <w:sz w:val="20"/>
          <w:szCs w:val="20"/>
          <w:color w:val="auto"/>
        </w:rPr>
      </w:pPr>
    </w:p>
    <w:p>
      <w:pPr>
        <w:ind w:left="340"/>
        <w:spacing w:after="0"/>
        <w:tabs>
          <w:tab w:leader="none" w:pos="11240" w:val="left"/>
        </w:tabs>
        <w:rPr>
          <w:sz w:val="20"/>
          <w:szCs w:val="20"/>
          <w:color w:val="auto"/>
        </w:rPr>
      </w:pPr>
      <w:r>
        <w:rPr>
          <w:rFonts w:ascii="Arial" w:cs="Arial" w:eastAsia="Arial" w:hAnsi="Arial"/>
          <w:sz w:val="16"/>
          <w:szCs w:val="16"/>
          <w:color w:val="auto"/>
        </w:rPr>
        <w:t>If the only securities being registered on this Form are being offered pursuant to dividend or interest reinvestment plans, please check the following box.</w:t>
      </w:r>
      <w:r>
        <w:rPr>
          <w:sz w:val="20"/>
          <w:szCs w:val="20"/>
          <w:color w:val="auto"/>
        </w:rPr>
        <w:tab/>
      </w:r>
      <w:r>
        <w:rPr>
          <w:rFonts w:ascii="Arial" w:cs="Arial" w:eastAsia="Arial" w:hAnsi="Arial"/>
          <w:sz w:val="14"/>
          <w:szCs w:val="14"/>
          <w:color w:val="auto"/>
        </w:rPr>
        <w:t>o</w:t>
      </w:r>
    </w:p>
    <w:p>
      <w:pPr>
        <w:spacing w:after="0" w:line="275" w:lineRule="exact"/>
        <w:rPr>
          <w:sz w:val="20"/>
          <w:szCs w:val="20"/>
          <w:color w:val="auto"/>
        </w:rPr>
      </w:pPr>
    </w:p>
    <w:p>
      <w:pPr>
        <w:ind w:firstLine="324"/>
        <w:spacing w:after="0" w:line="229" w:lineRule="exact"/>
        <w:rPr>
          <w:sz w:val="20"/>
          <w:szCs w:val="20"/>
          <w:color w:val="auto"/>
        </w:rPr>
      </w:pPr>
      <w:r>
        <w:rPr>
          <w:rFonts w:ascii="Arial" w:cs="Arial" w:eastAsia="Arial" w:hAnsi="Arial"/>
          <w:sz w:val="18"/>
          <w:szCs w:val="18"/>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8"/>
          <w:szCs w:val="18"/>
          <w:color w:val="auto"/>
        </w:rPr>
        <w:t>☑</w:t>
      </w:r>
    </w:p>
    <w:p>
      <w:pPr>
        <w:spacing w:after="0" w:line="218" w:lineRule="exact"/>
        <w:rPr>
          <w:sz w:val="20"/>
          <w:szCs w:val="20"/>
          <w:color w:val="auto"/>
        </w:rPr>
      </w:pPr>
    </w:p>
    <w:p>
      <w:pPr>
        <w:ind w:right="180" w:firstLine="324"/>
        <w:spacing w:after="0" w:line="268" w:lineRule="auto"/>
        <w:rPr>
          <w:sz w:val="20"/>
          <w:szCs w:val="20"/>
          <w:color w:val="auto"/>
        </w:rPr>
      </w:pPr>
      <w:r>
        <w:rPr>
          <w:rFonts w:ascii="Arial" w:cs="Arial" w:eastAsia="Arial" w:hAnsi="Arial"/>
          <w:sz w:val="18"/>
          <w:szCs w:val="18"/>
          <w:color w:val="auto"/>
        </w:rPr>
        <w:t>If this Form is filed to register additional securities for an offering pursuant to Rule 462(b) under the Securities Act, please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23" w:lineRule="exact"/>
        <w:rPr>
          <w:sz w:val="20"/>
          <w:szCs w:val="20"/>
          <w:color w:val="auto"/>
        </w:rPr>
      </w:pPr>
    </w:p>
    <w:p>
      <w:pPr>
        <w:ind w:right="660" w:firstLine="324"/>
        <w:spacing w:after="0" w:line="268" w:lineRule="auto"/>
        <w:rPr>
          <w:sz w:val="20"/>
          <w:szCs w:val="20"/>
          <w:color w:val="auto"/>
        </w:rPr>
      </w:pPr>
      <w:r>
        <w:rPr>
          <w:rFonts w:ascii="Arial" w:cs="Arial" w:eastAsia="Arial" w:hAnsi="Arial"/>
          <w:sz w:val="18"/>
          <w:szCs w:val="18"/>
          <w:color w:val="auto"/>
        </w:rPr>
        <w:t>If this Form is a post-effective amendment filed pursuant to Rule 462(c) under the Securities Act, check the following box and list the Securities Act registration statement number of the earlier effective registration statement for the same offering.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123190</wp:posOffset>
            </wp:positionV>
            <wp:extent cx="13208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ectPr>
          <w:pgSz w:w="11900" w:h="16838" w:orient="portrait"/>
          <w:cols w:equalWidth="0" w:num="1">
            <w:col w:w="11420"/>
          </w:cols>
          <w:pgMar w:left="240" w:top="122" w:right="239" w:bottom="103" w:gutter="0" w:footer="0" w:header="0"/>
        </w:sectPr>
      </w:pPr>
    </w:p>
    <w:p>
      <w:pPr>
        <w:spacing w:after="0" w:line="200" w:lineRule="exact"/>
        <w:rPr>
          <w:sz w:val="20"/>
          <w:szCs w:val="20"/>
          <w:color w:val="auto"/>
        </w:rPr>
      </w:pPr>
    </w:p>
    <w:p>
      <w:pPr>
        <w:spacing w:after="0" w:line="243" w:lineRule="exact"/>
        <w:rPr>
          <w:sz w:val="20"/>
          <w:szCs w:val="20"/>
          <w:color w:val="auto"/>
        </w:rPr>
      </w:pPr>
    </w:p>
    <w:p>
      <w:pPr>
        <w:ind w:left="340"/>
        <w:spacing w:after="0"/>
        <w:tabs>
          <w:tab w:leader="none" w:pos="7980" w:val="left"/>
        </w:tabs>
        <w:rPr>
          <w:sz w:val="20"/>
          <w:szCs w:val="20"/>
          <w:color w:val="auto"/>
        </w:rPr>
      </w:pPr>
      <w:r>
        <w:rPr>
          <w:rFonts w:ascii="Arial" w:cs="Arial" w:eastAsia="Arial" w:hAnsi="Arial"/>
          <w:sz w:val="16"/>
          <w:szCs w:val="16"/>
          <w:color w:val="auto"/>
        </w:rPr>
        <w:t>If delivery of the prospectus is expected to be made pursuant to Rule 434, please check the following box.</w:t>
      </w:r>
      <w:r>
        <w:rPr>
          <w:sz w:val="20"/>
          <w:szCs w:val="20"/>
          <w:color w:val="auto"/>
        </w:rPr>
        <w:tab/>
      </w:r>
      <w:r>
        <w:rPr>
          <w:rFonts w:ascii="Arial" w:cs="Arial" w:eastAsia="Arial" w:hAnsi="Arial"/>
          <w:sz w:val="14"/>
          <w:szCs w:val="14"/>
          <w:color w:val="auto"/>
        </w:rPr>
        <w:t>o</w:t>
      </w:r>
    </w:p>
    <w:p>
      <w:pPr>
        <w:sectPr>
          <w:pgSz w:w="11900" w:h="16838" w:orient="portrait"/>
          <w:cols w:equalWidth="0" w:num="1">
            <w:col w:w="11420"/>
          </w:cols>
          <w:pgMar w:left="240" w:top="122" w:right="239" w:bottom="103" w:gutter="0" w:footer="0" w:header="0"/>
          <w:type w:val="continuous"/>
        </w:sectPr>
      </w:pPr>
    </w:p>
    <w:bookmarkStart w:id="2" w:name="page3"/>
    <w:bookmarkEnd w:id="2"/>
    <w:p>
      <w:pPr>
        <w:ind w:firstLine="324"/>
        <w:spacing w:after="0" w:line="258" w:lineRule="auto"/>
        <w:rPr>
          <w:sz w:val="20"/>
          <w:szCs w:val="20"/>
          <w:color w:val="auto"/>
        </w:rPr>
      </w:pPr>
      <w:r>
        <w:rPr>
          <w:rFonts w:ascii="Arial" w:cs="Arial" w:eastAsia="Arial" w:hAnsi="Arial"/>
          <w:sz w:val="18"/>
          <w:szCs w:val="18"/>
          <w:b w:val="1"/>
          <w:bCs w:val="1"/>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6376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207010</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351155</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152" w:right="2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193040</wp:posOffset>
            </wp:positionV>
            <wp:extent cx="7272020" cy="5911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72020" cy="591185"/>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20" w:right="200"/>
        <w:spacing w:after="0" w:line="262" w:lineRule="auto"/>
        <w:rPr>
          <w:sz w:val="20"/>
          <w:szCs w:val="20"/>
          <w:color w:val="auto"/>
        </w:rPr>
      </w:pPr>
      <w:r>
        <w:rPr>
          <w:rFonts w:ascii="Arial" w:cs="Arial" w:eastAsia="Arial" w:hAnsi="Arial"/>
          <w:sz w:val="18"/>
          <w:szCs w:val="18"/>
          <w:b w:val="1"/>
          <w:bCs w:val="1"/>
          <w:color w:val="E8112D"/>
        </w:rPr>
        <w:t>The information in this prospectus is not complete and may be changed. The selling shareholders may not sell these securities until the registration statement filed with the Securities and Exchange Commission is effective. This prospectus is not an offer to sell these securities and it is not soliciting an offer to buy these securities in any state where the offer or sale is not permitted.</w:t>
      </w:r>
    </w:p>
    <w:p>
      <w:pPr>
        <w:spacing w:after="0" w:line="30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E8112D"/>
        </w:rPr>
        <w:t>Subject to Completion, Dated September 15, 2003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PROSPECTUS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3,986,921 Shares</w:t>
      </w:r>
    </w:p>
    <w:p>
      <w:pPr>
        <w:spacing w:after="0" w:line="209"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2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Common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160020</wp:posOffset>
            </wp:positionV>
            <wp:extent cx="18954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80" w:lineRule="exact"/>
        <w:rPr>
          <w:sz w:val="20"/>
          <w:szCs w:val="20"/>
          <w:color w:val="auto"/>
        </w:rPr>
      </w:pPr>
    </w:p>
    <w:p>
      <w:pPr>
        <w:ind w:right="80" w:firstLine="432"/>
        <w:spacing w:after="0" w:line="306" w:lineRule="auto"/>
        <w:rPr>
          <w:sz w:val="20"/>
          <w:szCs w:val="20"/>
          <w:color w:val="auto"/>
        </w:rPr>
      </w:pPr>
      <w:r>
        <w:rPr>
          <w:rFonts w:ascii="Arial" w:cs="Arial" w:eastAsia="Arial" w:hAnsi="Arial"/>
          <w:sz w:val="16"/>
          <w:szCs w:val="16"/>
          <w:color w:val="auto"/>
        </w:rPr>
        <w:t>This prospectus relates to the resale, from time to time, of up to 3,986,921 shares of our common stock by our shareholders (the “selling shareholders”). The selling shareholders may offer and sell their shares in transactions on the Nasdaq National Market, in negotiated transactions, or both. These sales may occur at fixed prices that are subject to change, at prices that are determined by prevailing market prices, or at negotiated prices.</w:t>
      </w:r>
    </w:p>
    <w:p>
      <w:pPr>
        <w:spacing w:after="0" w:line="188" w:lineRule="exact"/>
        <w:rPr>
          <w:sz w:val="20"/>
          <w:szCs w:val="20"/>
          <w:color w:val="auto"/>
        </w:rPr>
      </w:pPr>
    </w:p>
    <w:p>
      <w:pPr>
        <w:jc w:val="both"/>
        <w:ind w:right="60" w:firstLine="324"/>
        <w:spacing w:after="0" w:line="298" w:lineRule="auto"/>
        <w:rPr>
          <w:sz w:val="20"/>
          <w:szCs w:val="20"/>
          <w:color w:val="auto"/>
        </w:rPr>
      </w:pPr>
      <w:r>
        <w:rPr>
          <w:rFonts w:ascii="Arial" w:cs="Arial" w:eastAsia="Arial" w:hAnsi="Arial"/>
          <w:sz w:val="16"/>
          <w:szCs w:val="16"/>
          <w:color w:val="auto"/>
        </w:rPr>
        <w:t>The selling shareholders may sell shares to or through broker-dealers, who may receive compensation in the form of discounts, concessions or commissions from the selling shareholders, the purchasers of the shares, or both. Information on the selling shareholders and the time and manner in which they may offer and sell shares of our common stock under this prospectus is provided under “Selling Shareholders” and “Plan of Distribution” in this prospectus. We will not receive any of the proceeds from the sale of shares by the selling shareholders.</w:t>
      </w:r>
    </w:p>
    <w:p>
      <w:pPr>
        <w:spacing w:after="0" w:line="194" w:lineRule="exact"/>
        <w:rPr>
          <w:sz w:val="20"/>
          <w:szCs w:val="20"/>
          <w:color w:val="auto"/>
        </w:rPr>
      </w:pPr>
    </w:p>
    <w:p>
      <w:pPr>
        <w:ind w:right="320" w:firstLine="324"/>
        <w:spacing w:after="0" w:line="268" w:lineRule="auto"/>
        <w:rPr>
          <w:sz w:val="20"/>
          <w:szCs w:val="20"/>
          <w:color w:val="auto"/>
        </w:rPr>
      </w:pPr>
      <w:r>
        <w:rPr>
          <w:rFonts w:ascii="Arial" w:cs="Arial" w:eastAsia="Arial" w:hAnsi="Arial"/>
          <w:sz w:val="18"/>
          <w:szCs w:val="18"/>
          <w:color w:val="auto"/>
        </w:rPr>
        <w:t>Our common stock is traded on the Nasdaq National Market under the symbol “MRVL.” The last reported sale price of our common stock on the Nasdaq National Market on September 12, 2003 was $40.02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123190</wp:posOffset>
            </wp:positionV>
            <wp:extent cx="18954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76" w:lineRule="exact"/>
        <w:rPr>
          <w:sz w:val="20"/>
          <w:szCs w:val="20"/>
          <w:color w:val="auto"/>
        </w:rPr>
      </w:pPr>
    </w:p>
    <w:p>
      <w:pPr>
        <w:ind w:right="840" w:firstLine="378"/>
        <w:spacing w:after="0" w:line="256" w:lineRule="auto"/>
        <w:rPr>
          <w:sz w:val="20"/>
          <w:szCs w:val="20"/>
          <w:color w:val="auto"/>
        </w:rPr>
      </w:pPr>
      <w:r>
        <w:rPr>
          <w:rFonts w:ascii="Arial" w:cs="Arial" w:eastAsia="Arial" w:hAnsi="Arial"/>
          <w:sz w:val="22"/>
          <w:szCs w:val="22"/>
          <w:b w:val="1"/>
          <w:bCs w:val="1"/>
          <w:color w:val="auto"/>
        </w:rPr>
        <w:t>Investing in our common stock involves a high degree of risk. You should carefully read and consider the “Risk Factors” beginning on page 2 of this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120650</wp:posOffset>
            </wp:positionV>
            <wp:extent cx="18954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200" w:lineRule="exact"/>
        <w:rPr>
          <w:sz w:val="20"/>
          <w:szCs w:val="20"/>
          <w:color w:val="auto"/>
        </w:rPr>
      </w:pPr>
    </w:p>
    <w:p>
      <w:pPr>
        <w:spacing w:after="0" w:line="212" w:lineRule="exact"/>
        <w:rPr>
          <w:sz w:val="20"/>
          <w:szCs w:val="20"/>
          <w:color w:val="auto"/>
        </w:rPr>
      </w:pPr>
    </w:p>
    <w:p>
      <w:pPr>
        <w:ind w:right="320" w:firstLine="378"/>
        <w:spacing w:after="0" w:line="339" w:lineRule="auto"/>
        <w:rPr>
          <w:sz w:val="20"/>
          <w:szCs w:val="20"/>
          <w:color w:val="auto"/>
        </w:rPr>
      </w:pPr>
      <w:r>
        <w:rPr>
          <w:rFonts w:ascii="Arial" w:cs="Arial" w:eastAsia="Arial" w:hAnsi="Arial"/>
          <w:sz w:val="16"/>
          <w:szCs w:val="16"/>
          <w:b w:val="1"/>
          <w:bCs w:val="1"/>
          <w:color w:val="auto"/>
        </w:rPr>
        <w:t>Neither the Securities and Exchange Commission nor any state securities commission has approved or disapproved of these securities or passed upon the accuracy or adequacy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2680970</wp:posOffset>
            </wp:positionH>
            <wp:positionV relativeFrom="paragraph">
              <wp:posOffset>90805</wp:posOffset>
            </wp:positionV>
            <wp:extent cx="18954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895475" cy="8890"/>
                    </a:xfrm>
                    <a:prstGeom prst="rect">
                      <a:avLst/>
                    </a:prstGeom>
                    <a:noFill/>
                  </pic:spPr>
                </pic:pic>
              </a:graphicData>
            </a:graphic>
          </wp:anchor>
        </w:drawing>
      </w: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6520" w:type="dxa"/>
            <w:vAlign w:val="bottom"/>
          </w:tcPr>
          <w:p>
            <w:pPr>
              <w:ind w:left="4000"/>
              <w:spacing w:after="0"/>
              <w:rPr>
                <w:sz w:val="20"/>
                <w:szCs w:val="20"/>
                <w:color w:val="auto"/>
              </w:rPr>
            </w:pPr>
            <w:r>
              <w:rPr>
                <w:rFonts w:ascii="Arial" w:cs="Arial" w:eastAsia="Arial" w:hAnsi="Arial"/>
                <w:sz w:val="18"/>
                <w:szCs w:val="18"/>
                <w:color w:val="auto"/>
              </w:rPr>
              <w:t>The date of this prospectus is</w:t>
            </w:r>
          </w:p>
        </w:tc>
        <w:tc>
          <w:tcPr>
            <w:tcW w:w="4900" w:type="dxa"/>
            <w:vAlign w:val="bottom"/>
          </w:tcPr>
          <w:p>
            <w:pPr>
              <w:jc w:val="right"/>
              <w:ind w:right="3912"/>
              <w:spacing w:after="0"/>
              <w:rPr>
                <w:sz w:val="20"/>
                <w:szCs w:val="20"/>
                <w:color w:val="auto"/>
              </w:rPr>
            </w:pPr>
            <w:r>
              <w:rPr>
                <w:rFonts w:ascii="Arial" w:cs="Arial" w:eastAsia="Arial" w:hAnsi="Arial"/>
                <w:sz w:val="18"/>
                <w:szCs w:val="18"/>
                <w:color w:val="auto"/>
              </w:rPr>
              <w:t>, 2003</w:t>
            </w:r>
          </w:p>
        </w:tc>
      </w:tr>
      <w:tr>
        <w:trPr>
          <w:trHeight w:val="228"/>
        </w:trPr>
        <w:tc>
          <w:tcPr>
            <w:tcW w:w="6520" w:type="dxa"/>
            <w:vAlign w:val="bottom"/>
            <w:tcBorders>
              <w:bottom w:val="single" w:sz="8" w:color="808080"/>
            </w:tcBorders>
          </w:tcPr>
          <w:p>
            <w:pPr>
              <w:spacing w:after="0"/>
              <w:rPr>
                <w:sz w:val="19"/>
                <w:szCs w:val="19"/>
                <w:color w:val="auto"/>
              </w:rPr>
            </w:pPr>
          </w:p>
        </w:tc>
        <w:tc>
          <w:tcPr>
            <w:tcW w:w="490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jc w:val="right"/>
        <w:ind w:right="3339"/>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6">
        <w:r>
          <w:rPr>
            <w:rFonts w:ascii="Arial" w:cs="Arial" w:eastAsia="Arial" w:hAnsi="Arial"/>
            <w:sz w:val="22"/>
            <w:szCs w:val="22"/>
            <w:u w:val="single" w:color="auto"/>
            <w:color w:val="0000EE"/>
          </w:rPr>
          <w:t>Table of Contents</w:t>
        </w:r>
      </w:hyperlink>
    </w:p>
    <w:p>
      <w:pPr>
        <w:spacing w:after="0" w:line="238" w:lineRule="auto"/>
        <w:rPr>
          <w:rFonts w:ascii="Arial" w:cs="Arial" w:eastAsia="Arial" w:hAnsi="Arial"/>
          <w:sz w:val="22"/>
          <w:szCs w:val="22"/>
          <w:u w:val="single" w:color="auto"/>
          <w:color w:val="0000EE"/>
        </w:rPr>
      </w:pPr>
      <w:hyperlink w:anchor="page7">
        <w:r>
          <w:rPr>
            <w:rFonts w:ascii="Arial" w:cs="Arial" w:eastAsia="Arial" w:hAnsi="Arial"/>
            <w:sz w:val="22"/>
            <w:szCs w:val="22"/>
            <w:u w:val="single" w:color="auto"/>
            <w:color w:val="0000EE"/>
          </w:rPr>
          <w:t>MARVELL TECHNOLOGY GROUP LTD.</w:t>
        </w:r>
      </w:hyperlink>
    </w:p>
    <w:p>
      <w:pPr>
        <w:spacing w:after="0" w:line="230" w:lineRule="auto"/>
        <w:rPr>
          <w:rFonts w:ascii="Arial" w:cs="Arial" w:eastAsia="Arial" w:hAnsi="Arial"/>
          <w:sz w:val="22"/>
          <w:szCs w:val="22"/>
          <w:u w:val="single" w:color="auto"/>
          <w:color w:val="0000EE"/>
        </w:rPr>
      </w:pPr>
      <w:hyperlink w:anchor="page9">
        <w:r>
          <w:rPr>
            <w:rFonts w:ascii="Arial" w:cs="Arial" w:eastAsia="Arial" w:hAnsi="Arial"/>
            <w:sz w:val="22"/>
            <w:szCs w:val="22"/>
            <w:u w:val="single" w:color="auto"/>
            <w:color w:val="0000EE"/>
          </w:rPr>
          <w:t>RISK FACTORS</w:t>
        </w:r>
      </w:hyperlink>
    </w:p>
    <w:p>
      <w:pPr>
        <w:spacing w:after="0" w:line="231"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FORWARD-LOOKING STATEMENTS</w:t>
        </w:r>
      </w:hyperlink>
    </w:p>
    <w:p>
      <w:pPr>
        <w:spacing w:after="0" w:line="231" w:lineRule="auto"/>
        <w:rPr>
          <w:rFonts w:ascii="Arial" w:cs="Arial" w:eastAsia="Arial" w:hAnsi="Arial"/>
          <w:sz w:val="22"/>
          <w:szCs w:val="22"/>
          <w:u w:val="single" w:color="auto"/>
          <w:color w:val="0000EE"/>
        </w:rPr>
      </w:pPr>
      <w:hyperlink w:anchor="page23">
        <w:r>
          <w:rPr>
            <w:rFonts w:ascii="Arial" w:cs="Arial" w:eastAsia="Arial" w:hAnsi="Arial"/>
            <w:sz w:val="22"/>
            <w:szCs w:val="22"/>
            <w:u w:val="single" w:color="auto"/>
            <w:color w:val="0000EE"/>
          </w:rPr>
          <w:t>PROCEEDS FROM THE OFFERING</w:t>
        </w:r>
      </w:hyperlink>
    </w:p>
    <w:p>
      <w:pPr>
        <w:spacing w:after="0" w:line="230" w:lineRule="auto"/>
        <w:rPr>
          <w:rFonts w:ascii="Arial" w:cs="Arial" w:eastAsia="Arial" w:hAnsi="Arial"/>
          <w:sz w:val="22"/>
          <w:szCs w:val="22"/>
          <w:u w:val="single" w:color="auto"/>
          <w:color w:val="0000EE"/>
        </w:rPr>
      </w:pPr>
      <w:hyperlink w:anchor="page24">
        <w:r>
          <w:rPr>
            <w:rFonts w:ascii="Arial" w:cs="Arial" w:eastAsia="Arial" w:hAnsi="Arial"/>
            <w:sz w:val="22"/>
            <w:szCs w:val="22"/>
            <w:u w:val="single" w:color="auto"/>
            <w:color w:val="0000EE"/>
          </w:rPr>
          <w:t>SELLING SHAREHOLDERS</w:t>
        </w:r>
      </w:hyperlink>
    </w:p>
    <w:p>
      <w:pPr>
        <w:spacing w:after="0" w:line="231" w:lineRule="auto"/>
        <w:rPr>
          <w:rFonts w:ascii="Arial" w:cs="Arial" w:eastAsia="Arial" w:hAnsi="Arial"/>
          <w:sz w:val="22"/>
          <w:szCs w:val="22"/>
          <w:u w:val="single" w:color="auto"/>
          <w:color w:val="0000EE"/>
        </w:rPr>
      </w:pPr>
      <w:hyperlink w:anchor="page30">
        <w:r>
          <w:rPr>
            <w:rFonts w:ascii="Arial" w:cs="Arial" w:eastAsia="Arial" w:hAnsi="Arial"/>
            <w:sz w:val="22"/>
            <w:szCs w:val="22"/>
            <w:u w:val="single" w:color="auto"/>
            <w:color w:val="0000EE"/>
          </w:rPr>
          <w:t>PLAN OF DISTRIBUTION</w:t>
        </w:r>
      </w:hyperlink>
    </w:p>
    <w:p>
      <w:pPr>
        <w:spacing w:after="0" w:line="231" w:lineRule="auto"/>
        <w:rPr>
          <w:rFonts w:ascii="Arial" w:cs="Arial" w:eastAsia="Arial" w:hAnsi="Arial"/>
          <w:sz w:val="22"/>
          <w:szCs w:val="22"/>
          <w:u w:val="single" w:color="auto"/>
          <w:color w:val="0000EE"/>
        </w:rPr>
      </w:pPr>
      <w:hyperlink w:anchor="page31">
        <w:r>
          <w:rPr>
            <w:rFonts w:ascii="Arial" w:cs="Arial" w:eastAsia="Arial" w:hAnsi="Arial"/>
            <w:sz w:val="22"/>
            <w:szCs w:val="22"/>
            <w:u w:val="single" w:color="auto"/>
            <w:color w:val="0000EE"/>
          </w:rPr>
          <w:t>LEGAL MATTERS</w:t>
        </w:r>
      </w:hyperlink>
    </w:p>
    <w:p>
      <w:pPr>
        <w:spacing w:after="0" w:line="230"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EXPERTS</w:t>
        </w:r>
      </w:hyperlink>
    </w:p>
    <w:p>
      <w:pPr>
        <w:spacing w:after="0" w:line="231" w:lineRule="auto"/>
        <w:rPr>
          <w:rFonts w:ascii="Arial" w:cs="Arial" w:eastAsia="Arial" w:hAnsi="Arial"/>
          <w:sz w:val="22"/>
          <w:szCs w:val="22"/>
          <w:u w:val="single" w:color="auto"/>
          <w:color w:val="0000EE"/>
        </w:rPr>
      </w:pPr>
      <w:hyperlink w:anchor="page32">
        <w:r>
          <w:rPr>
            <w:rFonts w:ascii="Arial" w:cs="Arial" w:eastAsia="Arial" w:hAnsi="Arial"/>
            <w:sz w:val="22"/>
            <w:szCs w:val="22"/>
            <w:u w:val="single" w:color="auto"/>
            <w:color w:val="0000EE"/>
          </w:rPr>
          <w:t>WHERE YOU CAN FIND ADDITIONAL INFORMATION</w:t>
        </w:r>
      </w:hyperlink>
    </w:p>
    <w:p>
      <w:pPr>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EXHIBIT INDEX</w:t>
        </w:r>
      </w:hyperlink>
    </w:p>
    <w:p>
      <w:pPr>
        <w:spacing w:after="0"/>
        <w:rPr>
          <w:sz w:val="20"/>
          <w:szCs w:val="20"/>
          <w:color w:val="auto"/>
        </w:rPr>
      </w:pPr>
      <w:r>
        <w:rPr>
          <w:rFonts w:ascii="Arial" w:cs="Arial" w:eastAsia="Arial" w:hAnsi="Arial"/>
          <w:sz w:val="22"/>
          <w:szCs w:val="22"/>
          <w:u w:val="single" w:color="auto"/>
          <w:color w:val="0000EE"/>
        </w:rPr>
        <w:t>EXHIBIT 23.1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2" w:right="1440"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2300" w:type="dxa"/>
        <w:tblCellMar>
          <w:top w:w="0" w:type="dxa"/>
          <w:left w:w="0" w:type="dxa"/>
          <w:bottom w:w="0" w:type="dxa"/>
          <w:right w:w="0" w:type="dxa"/>
        </w:tblCellMar>
      </w:tblPr>
      <w:tr>
        <w:trPr>
          <w:trHeight w:val="228"/>
        </w:trPr>
        <w:tc>
          <w:tcPr>
            <w:tcW w:w="20" w:type="dxa"/>
            <w:vAlign w:val="bottom"/>
          </w:tcPr>
          <w:p>
            <w:pPr>
              <w:spacing w:after="0"/>
              <w:rPr>
                <w:sz w:val="19"/>
                <w:szCs w:val="19"/>
                <w:color w:val="auto"/>
              </w:rPr>
            </w:pPr>
          </w:p>
        </w:tc>
        <w:tc>
          <w:tcPr>
            <w:tcW w:w="6340" w:type="dxa"/>
            <w:vAlign w:val="bottom"/>
          </w:tcPr>
          <w:p>
            <w:pPr>
              <w:ind w:left="2740"/>
              <w:spacing w:after="0"/>
              <w:rPr>
                <w:sz w:val="20"/>
                <w:szCs w:val="20"/>
                <w:color w:val="auto"/>
              </w:rPr>
            </w:pPr>
            <w:r>
              <w:rPr>
                <w:rFonts w:ascii="Arial" w:cs="Arial" w:eastAsia="Arial" w:hAnsi="Arial"/>
                <w:sz w:val="18"/>
                <w:szCs w:val="18"/>
                <w:b w:val="1"/>
                <w:bCs w:val="1"/>
                <w:color w:val="auto"/>
              </w:rPr>
              <w:t>Table of Contents</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596"/>
        </w:trPr>
        <w:tc>
          <w:tcPr>
            <w:tcW w:w="20" w:type="dxa"/>
            <w:vAlign w:val="bottom"/>
          </w:tcPr>
          <w:p>
            <w:pPr>
              <w:spacing w:after="0"/>
              <w:rPr>
                <w:sz w:val="24"/>
                <w:szCs w:val="24"/>
                <w:color w:val="auto"/>
              </w:rPr>
            </w:pPr>
          </w:p>
        </w:tc>
        <w:tc>
          <w:tcPr>
            <w:tcW w:w="6340" w:type="dxa"/>
            <w:vAlign w:val="bottom"/>
          </w:tcPr>
          <w:p>
            <w:pPr>
              <w:spacing w:after="0"/>
              <w:rPr>
                <w:sz w:val="24"/>
                <w:szCs w:val="24"/>
                <w:color w:val="auto"/>
              </w:rPr>
            </w:pPr>
          </w:p>
        </w:tc>
        <w:tc>
          <w:tcPr>
            <w:tcW w:w="480" w:type="dxa"/>
            <w:vAlign w:val="bottom"/>
          </w:tcPr>
          <w:p>
            <w:pPr>
              <w:jc w:val="right"/>
              <w:ind w:right="14"/>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Marvell Technology Group Ltd.</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Risk Factors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Forward-Looking Statements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Proceeds from the Offering</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Selling Shareholders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Plan of Distribution</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Legal Matters</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tcPr>
          <w:p>
            <w:pPr>
              <w:spacing w:after="0"/>
              <w:rPr>
                <w:sz w:val="20"/>
                <w:szCs w:val="20"/>
                <w:color w:val="auto"/>
              </w:rPr>
            </w:pPr>
            <w:r>
              <w:rPr>
                <w:rFonts w:ascii="Arial" w:cs="Arial" w:eastAsia="Arial" w:hAnsi="Arial"/>
                <w:sz w:val="18"/>
                <w:szCs w:val="18"/>
                <w:color w:val="auto"/>
              </w:rPr>
              <w:t>Experts</w:t>
            </w:r>
          </w:p>
        </w:tc>
        <w:tc>
          <w:tcPr>
            <w:tcW w:w="480" w:type="dxa"/>
            <w:vAlign w:val="bottom"/>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shd w:val="clear" w:color="auto" w:fill="EEEEEE"/>
          </w:tcPr>
          <w:p>
            <w:pPr>
              <w:spacing w:after="0"/>
              <w:rPr>
                <w:sz w:val="20"/>
                <w:szCs w:val="20"/>
                <w:color w:val="auto"/>
              </w:rPr>
            </w:pPr>
            <w:r>
              <w:rPr>
                <w:rFonts w:ascii="Arial" w:cs="Arial" w:eastAsia="Arial" w:hAnsi="Arial"/>
                <w:sz w:val="18"/>
                <w:szCs w:val="18"/>
                <w:color w:val="auto"/>
              </w:rPr>
              <w:t>Where You Can Find Additional Information</w:t>
            </w:r>
          </w:p>
        </w:tc>
        <w:tc>
          <w:tcPr>
            <w:tcW w:w="480" w:type="dxa"/>
            <w:vAlign w:val="bottom"/>
            <w:shd w:val="clear" w:color="auto" w:fill="EEEEEE"/>
          </w:tcPr>
          <w:p>
            <w:pPr>
              <w:jc w:val="right"/>
              <w:ind w:right="54"/>
              <w:spacing w:after="0"/>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0219"/>
          </w:cols>
          <w:pgMar w:left="240" w:top="419" w:right="1440"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jc w:val="both"/>
        <w:ind w:right="80" w:firstLine="324"/>
        <w:spacing w:after="0" w:line="259" w:lineRule="auto"/>
        <w:rPr>
          <w:sz w:val="20"/>
          <w:szCs w:val="20"/>
          <w:color w:val="auto"/>
        </w:rPr>
      </w:pPr>
      <w:r>
        <w:rPr>
          <w:rFonts w:ascii="Arial" w:cs="Arial" w:eastAsia="Arial" w:hAnsi="Arial"/>
          <w:sz w:val="18"/>
          <w:szCs w:val="18"/>
          <w:i w:val="1"/>
          <w:iCs w:val="1"/>
          <w:color w:val="auto"/>
        </w:rPr>
        <w:t>You should read carefully the entire prospectus, as well as the documents incorporated by reference in the prospectus, before making an investment decision. References to “we”, “us”, “our” or Marvell in the prospectus means Marvell Technology Group Ltd. and its subsidiaries, except where it is made clear that the term means only the parent company.</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58"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We are a leading global semiconductor provider of complete broadband communications and storage solutions. Our diverse product portfolio includes switching, transceiver, wireless, PC connectivity, gateways, communications controller and storage solutions that power the entire communications infrastructure, including enterprise, metro, home, and storage networking. Our core technologies were initially focused on the storage market, where we provide high-performance products to disk drive manufacturers such as Fujitsu, Hitachi, Samsung, Seagate and Toshiba. We subsequently applied our technology to the high-speed, or broadband, communications market, where we provide industry-leading physical layer transceivers, which provide the interface between communications systems and data transmission media, to manufacturers of high-speed networking equipment including Cisco, 3Com Corporation, Foundry Networks, Dell Computer, Intel and NETGEAR.</w:t>
      </w:r>
    </w:p>
    <w:p>
      <w:pPr>
        <w:spacing w:after="0" w:line="199" w:lineRule="exact"/>
        <w:rPr>
          <w:sz w:val="20"/>
          <w:szCs w:val="20"/>
          <w:color w:val="auto"/>
        </w:rPr>
      </w:pPr>
    </w:p>
    <w:p>
      <w:pPr>
        <w:ind w:right="260" w:firstLine="324"/>
        <w:spacing w:after="0" w:line="268" w:lineRule="auto"/>
        <w:rPr>
          <w:sz w:val="20"/>
          <w:szCs w:val="20"/>
          <w:color w:val="auto"/>
        </w:rPr>
      </w:pPr>
      <w:r>
        <w:rPr>
          <w:rFonts w:ascii="Arial" w:cs="Arial" w:eastAsia="Arial" w:hAnsi="Arial"/>
          <w:sz w:val="18"/>
          <w:szCs w:val="18"/>
          <w:color w:val="auto"/>
        </w:rPr>
        <w:t>In the communications market, we offer transceiver products, switching products, internetworking products and wireless local area network products. Our primary customers for our communications products are manufacturers of high speed networking equipment.</w:t>
      </w:r>
    </w:p>
    <w:p>
      <w:pPr>
        <w:spacing w:after="0" w:line="213"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In the storage market, our products include read channel devices, SOCs and preamplifiers. Our customers for our storage products are manufacturers of hard disk drives for the enterprise, desktop and mobile computer markets and the emerging consumer applications market. The storage market is highly competitive and is dominated by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94"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Marvell Technology Group Ltd. was incorporated in Bermuda in January 1995. Our registered address in Bermuda is 4th Floor, Windsor Place, 22 Queen Street, P.O. Box HM 1179, Hamilton HM EX, Bermuda, and our telephone number there is (441) 296-6395. The address of our United States subsidiary is Marvell Semiconductor, Inc., 700 First Avenue, Sunnyvale, California 94089, and our telephone number there is (408) 222-2500. We also have offices in Israel, Singapore, Germany, China, Japan, Taiwan, and the United Kingdom. During fiscal 2000, we changed our fiscal year-end to the Saturday nearest January 31. For presentation purposes, we refer to January 31 as our fiscal year-end for all periods. Our website address is located at http://www.marvell.com. The information contained in our website does not form any part of this Registration Statement on Form S-3. However, we make available free of charge through our website our annual reports on Form 10-K, our quarterly reports on Form 10-Q, our current reports on Form 8-K and amendments to those reports filed or furnished pursuant to Section 13(a) or 15(d) of the Securities Exchange Act of 1934, or the Exchange Act, as soon as reasonably practicable after we electronically file this material with, or furnish it to, the Securities and Exchange Commission, or the SEC.</w:t>
      </w:r>
    </w:p>
    <w:p>
      <w:pPr>
        <w:spacing w:after="0" w:line="1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Events</w:t>
      </w:r>
    </w:p>
    <w:p>
      <w:pPr>
        <w:spacing w:after="0" w:line="258"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On June 27, 2003, we completed the acquisition of RADLAN Computer Communications Ltd. (“RADLAN”), a leading provider of embedded networking software. RADLAN is now a wholly owned subsidiary of Marvell. The total estimated purchase price was approximately $66.6 million and consisted of $24.0 million of shares of common stock and options to purchase common stock, $22.5 million of cash or 1,162,791 additional shares of common stock depending on the share price of our common stock at a future date as discussed below, $7.5 million of warrants to purchase 543,183 shares of our common stock at an exercise price of $18.41 per share, $2.9 million of vested options assumed, our existing investment in preferred stock of RADLAN of $8.5 million and direct transaction costs of $1.2 million. The value of the common stock and stock options was determined based on the average market price of our common stock over a 5-day period</w:t>
      </w:r>
    </w:p>
    <w:p>
      <w:pPr>
        <w:spacing w:after="0" w:line="2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around February 6, 2003, the date the share purchase agreement was signed and announced, or $18.26 per share.</w:t>
      </w:r>
    </w:p>
    <w:p>
      <w:pPr>
        <w:spacing w:after="0" w:line="252"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As noted above, under the terms of the share purchase agreement, if the per share price of Marvell common stock is $19.35 or less on the effective date of the registration statement of which this prospectus forms a part, we will be required to pay an additional $22.5 million in cash to the selling shareholders. If such share price is greater than $19.35 per share, we will be required to issue an additional 1,162,791 shares of our common stock. Any difference between the value of our common stock issued and $22.5 million will be accounted for as additional goodwill.</w:t>
      </w:r>
    </w:p>
    <w:p>
      <w:pPr>
        <w:spacing w:after="0" w:line="224" w:lineRule="exact"/>
        <w:rPr>
          <w:sz w:val="20"/>
          <w:szCs w:val="20"/>
          <w:color w:val="auto"/>
        </w:rPr>
      </w:pPr>
    </w:p>
    <w:p>
      <w:pPr>
        <w:ind w:right="140" w:firstLine="324"/>
        <w:spacing w:after="0" w:line="291" w:lineRule="auto"/>
        <w:rPr>
          <w:sz w:val="20"/>
          <w:szCs w:val="20"/>
          <w:color w:val="auto"/>
        </w:rPr>
      </w:pPr>
      <w:r>
        <w:rPr>
          <w:rFonts w:ascii="Arial" w:cs="Arial" w:eastAsia="Arial" w:hAnsi="Arial"/>
          <w:sz w:val="16"/>
          <w:szCs w:val="16"/>
          <w:color w:val="auto"/>
        </w:rPr>
        <w:t>In addition, we may issue up to an additional 1,023,256 shares of common stock (the “Earn Out Shares”) to the selling shareholders upon achievement of certain performance milestones. Specifically, the Earn Out Shares would be issued at four six-month intervals beginning after the closing date of the acquisition, with the amount of Earn Out Shares issued at each time reflecting completion of the applicable performance milestone in the preceding six-month period. In the event of an acquisition, merger or consolidation of Marvell or events outside RADLAN’s control which materially affect the time, scope or feasibility of certain performance milestones, then the applicable Earn Out Shares will be deemed earned and will be issued at the applicable time. Any Earn Out Shares issued will represent additional purchase price and will be accounted for as additional goodwill.</w:t>
      </w:r>
    </w:p>
    <w:p>
      <w:pPr>
        <w:spacing w:after="0" w:line="201" w:lineRule="exact"/>
        <w:rPr>
          <w:sz w:val="20"/>
          <w:szCs w:val="20"/>
          <w:color w:val="auto"/>
        </w:rPr>
      </w:pPr>
    </w:p>
    <w:p>
      <w:pPr>
        <w:jc w:val="both"/>
        <w:ind w:right="20" w:firstLine="324"/>
        <w:spacing w:after="0" w:line="370" w:lineRule="auto"/>
        <w:rPr>
          <w:sz w:val="20"/>
          <w:szCs w:val="20"/>
          <w:color w:val="auto"/>
        </w:rPr>
      </w:pPr>
      <w:r>
        <w:rPr>
          <w:rFonts w:ascii="Arial" w:cs="Arial" w:eastAsia="Arial" w:hAnsi="Arial"/>
          <w:sz w:val="15"/>
          <w:szCs w:val="15"/>
          <w:color w:val="auto"/>
        </w:rPr>
        <w:t>Our trademarks include: the Marvell name, logo, and the phrase “Moving Forward Faster.” This prospectus also contains brand names, trademarks, or service marks of companies other than Marvell Technology Group Ltd., and these brand names, trademarks and service marks are the property of their respective holders.</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RISK FACTORS</w:t>
      </w:r>
    </w:p>
    <w:p>
      <w:pPr>
        <w:spacing w:after="0" w:line="258"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i w:val="1"/>
          <w:iCs w:val="1"/>
          <w:color w:val="auto"/>
        </w:rPr>
        <w:t>Investing in Marvell common stock involves a high degree of risk. You should carefully read and consider the risks described below and the other information in this prospectus, including the information incorporated by reference, before deciding to invest in our common stock. If any of the risks described below materializes, our operating results and financial condition could be adversely affected and the trading price of our common stock could decline. References to “Marvell,” “we,” “us” or “our” refer to Marvell Technology Group Ltd. and our subsidiaries.</w:t>
      </w:r>
    </w:p>
    <w:p>
      <w:pPr>
        <w:spacing w:after="0" w:line="200" w:lineRule="exact"/>
        <w:rPr>
          <w:sz w:val="20"/>
          <w:szCs w:val="20"/>
          <w:color w:val="auto"/>
        </w:rPr>
      </w:pPr>
    </w:p>
    <w:p>
      <w:pPr>
        <w:spacing w:after="0" w:line="240"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The continuing worldwide economic slowdown, acts of war, terrorism, international conflicts and related uncertainties may adversely impact our revenues and profitability.</w:t>
      </w:r>
    </w:p>
    <w:p>
      <w:pPr>
        <w:spacing w:after="0" w:line="213"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Slower economic activity, concerns about inflation, decreased consumer confidence, reduced corporate profits and capital spending, adverse business conditions and liquidity concerns in the telecommunications and related industries, the situation in Iraq and recent international conflicts, and terrorist and military activity have resulted in a continuing downturn in worldwide economic conditions. We cannot predict the timing, strength and duration of any economic recovery in the semiconductor industry and in particular, the broadband communications markets. In addition, the events of September 11, 2001, the continuing international conflicts and terrorist acts and the possibility of an extended presence in Iraq can be expected to place further pressure on economic conditions in the United States and worldwide. Also, a resurgence or perceived resurgence of severe acute respiratory syndrome, or SARS, or a similar outbreak, could have a further adverse effect upon an already weakened world economy. These conditions make it extremely difficult for our customers, our vendors and for us to accurately forecast and plan future business activities. If these conditions continue or worsen, our business, financial condition and results of operations will likely suffer.</w:t>
      </w:r>
    </w:p>
    <w:p>
      <w:pPr>
        <w:spacing w:after="0" w:line="200" w:lineRule="exact"/>
        <w:rPr>
          <w:sz w:val="20"/>
          <w:szCs w:val="20"/>
          <w:color w:val="auto"/>
        </w:rPr>
      </w:pPr>
    </w:p>
    <w:p>
      <w:pPr>
        <w:spacing w:after="0" w:line="217" w:lineRule="exact"/>
        <w:rPr>
          <w:sz w:val="20"/>
          <w:szCs w:val="20"/>
          <w:color w:val="auto"/>
        </w:rPr>
      </w:pPr>
    </w:p>
    <w:p>
      <w:pPr>
        <w:ind w:left="360" w:right="60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upon the hard disk drive industry, which is highly cyclical and experiences rapid technological change.</w:t>
      </w:r>
    </w:p>
    <w:p>
      <w:pPr>
        <w:spacing w:after="0" w:line="213" w:lineRule="exact"/>
        <w:rPr>
          <w:sz w:val="20"/>
          <w:szCs w:val="20"/>
          <w:color w:val="auto"/>
        </w:rPr>
      </w:pPr>
    </w:p>
    <w:p>
      <w:pPr>
        <w:ind w:right="80" w:firstLine="324"/>
        <w:spacing w:after="0" w:line="291" w:lineRule="auto"/>
        <w:rPr>
          <w:sz w:val="20"/>
          <w:szCs w:val="20"/>
          <w:color w:val="auto"/>
        </w:rPr>
      </w:pPr>
      <w:r>
        <w:rPr>
          <w:rFonts w:ascii="Arial" w:cs="Arial" w:eastAsia="Arial" w:hAnsi="Arial"/>
          <w:sz w:val="16"/>
          <w:szCs w:val="16"/>
          <w:color w:val="auto"/>
        </w:rPr>
        <w:t>Sales to customers in the hard disk drive industry represented approximately 54% of our net revenue in the first six months of fiscal 2004 and represented 56% and 57% of our net revenue in fiscal 2003 and 2002,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201" w:lineRule="exact"/>
        <w:rPr>
          <w:sz w:val="20"/>
          <w:szCs w:val="20"/>
          <w:color w:val="auto"/>
        </w:rPr>
      </w:pPr>
    </w:p>
    <w:p>
      <w:pPr>
        <w:ind w:right="20" w:firstLine="324"/>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using our products do not retain or increase market share, our sales may decrease.</w:t>
      </w:r>
    </w:p>
    <w:p>
      <w:pPr>
        <w:spacing w:after="0" w:line="200" w:lineRule="exact"/>
        <w:rPr>
          <w:sz w:val="20"/>
          <w:szCs w:val="20"/>
          <w:color w:val="auto"/>
        </w:rPr>
      </w:pPr>
    </w:p>
    <w:p>
      <w:pPr>
        <w:spacing w:after="0" w:line="229" w:lineRule="exact"/>
        <w:rPr>
          <w:sz w:val="20"/>
          <w:szCs w:val="20"/>
          <w:color w:val="auto"/>
        </w:rPr>
      </w:pPr>
    </w:p>
    <w:p>
      <w:pPr>
        <w:ind w:left="360" w:right="60"/>
        <w:spacing w:after="0" w:line="259" w:lineRule="auto"/>
        <w:rPr>
          <w:sz w:val="20"/>
          <w:szCs w:val="20"/>
          <w:color w:val="auto"/>
        </w:rPr>
      </w:pPr>
      <w:r>
        <w:rPr>
          <w:rFonts w:ascii="Arial" w:cs="Arial" w:eastAsia="Arial" w:hAnsi="Arial"/>
          <w:sz w:val="18"/>
          <w:szCs w:val="18"/>
          <w:b w:val="1"/>
          <w:bCs w:val="1"/>
          <w:i w:val="1"/>
          <w:iCs w:val="1"/>
          <w:color w:val="auto"/>
        </w:rPr>
        <w:t>Our Marvell Semiconductor Israel Ltd. and RADLAN Computer Communications Ltd. subsidiaries are incorporated under the laws of, and its principal offices are located in, the State of Israel and therefore its business operations may be harmed by adverse political, economic and military conditions affecting Israel.</w:t>
      </w:r>
    </w:p>
    <w:p>
      <w:pPr>
        <w:spacing w:after="0" w:line="221"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Each of Marvell Semiconductor Israel Ltd., or MSIL, and RADLAN Computer Communications Ltd., or RADLAN, are incorporated under the laws of and has its principal offices in the State of Israel. In addition, MSIL and RADLAN maintain their research and development operations in Israel. Thus, MSIL and RADLAN are directly influenced by the political, economic and military conditions affecting Israel. Major hostilities involving or within Israel could disrupt MSIL and RADLAN’s research and development and other business operations. For example, continued hostilities between Israel and the Palestinian authority in recent months have caused substantial political unrest, which could lead to a potential economic downturn in Israel. Additionally, the on-going situation in Iraq could lead to more economic instability and uncertainty in the</w:t>
      </w:r>
    </w:p>
    <w:p>
      <w:pPr>
        <w:spacing w:after="0" w:line="1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color w:val="auto"/>
        </w:rPr>
        <w:t>State of Israel and the Middle East. Also, the interruption or curtailment of trade between Israel and its present trading partners or a significant downturn in the economic or financial condition of Israel could negatively impact the business operations and financial results of each of MSIL and RADLAN.</w:t>
      </w:r>
    </w:p>
    <w:p>
      <w:pPr>
        <w:spacing w:after="0" w:line="166"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213" w:lineRule="exact"/>
        <w:rPr>
          <w:sz w:val="20"/>
          <w:szCs w:val="20"/>
          <w:color w:val="auto"/>
        </w:rPr>
      </w:pPr>
    </w:p>
    <w:p>
      <w:pPr>
        <w:ind w:firstLine="324"/>
        <w:spacing w:after="0" w:line="288" w:lineRule="auto"/>
        <w:rPr>
          <w:sz w:val="20"/>
          <w:szCs w:val="20"/>
          <w:color w:val="auto"/>
        </w:rPr>
      </w:pPr>
      <w:r>
        <w:rPr>
          <w:rFonts w:ascii="Arial" w:cs="Arial" w:eastAsia="Arial" w:hAnsi="Arial"/>
          <w:sz w:val="16"/>
          <w:szCs w:val="16"/>
          <w:color w:val="auto"/>
        </w:rPr>
        <w:t>In the first six months of fiscal 2004, approximately 46% of our net revenue was derived from sales to three customers, each of whom individually accounted for 10% or more of our net revenue during this period. Of these customers, Intel accounted for 20%, Samsung accounted for 16%, and Toshiba accounted for 10%.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395" w:lineRule="exact"/>
        <w:rPr>
          <w:sz w:val="20"/>
          <w:szCs w:val="20"/>
          <w:color w:val="auto"/>
        </w:rPr>
      </w:pPr>
    </w:p>
    <w:p>
      <w:pPr>
        <w:ind w:left="460" w:right="240" w:hanging="101"/>
        <w:spacing w:after="0" w:line="268" w:lineRule="auto"/>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develop their own solutions;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00" w:lineRule="exact"/>
        <w:rPr>
          <w:sz w:val="20"/>
          <w:szCs w:val="20"/>
          <w:color w:val="auto"/>
        </w:rPr>
      </w:pPr>
    </w:p>
    <w:p>
      <w:pPr>
        <w:spacing w:after="0" w:line="295" w:lineRule="exact"/>
        <w:rPr>
          <w:sz w:val="20"/>
          <w:szCs w:val="20"/>
          <w:color w:val="auto"/>
        </w:rPr>
      </w:pPr>
    </w:p>
    <w:p>
      <w:pPr>
        <w:ind w:left="360" w:right="52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213" w:lineRule="exact"/>
        <w:rPr>
          <w:sz w:val="20"/>
          <w:szCs w:val="20"/>
          <w:color w:val="auto"/>
        </w:rPr>
      </w:pPr>
    </w:p>
    <w:p>
      <w:pPr>
        <w:ind w:right="80" w:firstLine="324"/>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2"/>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302" w:lineRule="exact"/>
        <w:rPr>
          <w:rFonts w:ascii="Arial" w:cs="Arial" w:eastAsia="Arial" w:hAnsi="Arial"/>
          <w:sz w:val="16"/>
          <w:szCs w:val="16"/>
          <w:color w:val="auto"/>
        </w:rPr>
      </w:pPr>
    </w:p>
    <w:p>
      <w:pPr>
        <w:ind w:left="460" w:hanging="101"/>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5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79" w:lineRule="exact"/>
        <w:rPr>
          <w:sz w:val="20"/>
          <w:szCs w:val="20"/>
          <w:color w:val="auto"/>
        </w:rPr>
      </w:pPr>
    </w:p>
    <w:p>
      <w:pPr>
        <w:ind w:right="60" w:firstLine="324"/>
        <w:spacing w:after="0" w:line="254"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favorable prices on our products. If these prices are lower than the prices paid by our existing customers, we would have to offer the same lower prices to certain of our customers who have contractual “most favored nation” pricing arrangements. In that event, our average selling prices and gross margins would decline. The loss of a key customer, a reduction in sales to any key customer or our inability to attract new significant customers could materially and adversely affect our business, financial condition and results of operations.</w:t>
      </w:r>
    </w:p>
    <w:p>
      <w:pPr>
        <w:spacing w:after="0" w:line="200" w:lineRule="exact"/>
        <w:rPr>
          <w:sz w:val="20"/>
          <w:szCs w:val="20"/>
          <w:color w:val="auto"/>
        </w:rPr>
      </w:pPr>
    </w:p>
    <w:p>
      <w:pPr>
        <w:spacing w:after="0" w:line="241"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Past acquisitions and any future acquisitions or transactions may not be successful.</w:t>
      </w:r>
    </w:p>
    <w:p>
      <w:pPr>
        <w:spacing w:after="0" w:line="252"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94"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acquired businesses;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our financial and strategic position as a result of an acquisition;</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79" w:lineRule="exact"/>
        <w:rPr>
          <w:rFonts w:ascii="Arial" w:cs="Arial" w:eastAsia="Arial" w:hAnsi="Arial"/>
          <w:sz w:val="18"/>
          <w:szCs w:val="18"/>
          <w:color w:val="auto"/>
        </w:rPr>
      </w:pPr>
    </w:p>
    <w:p>
      <w:pPr>
        <w:ind w:left="460" w:right="80" w:hanging="101"/>
        <w:spacing w:after="0" w:line="268" w:lineRule="auto"/>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00" w:lineRule="exact"/>
        <w:rPr>
          <w:sz w:val="20"/>
          <w:szCs w:val="20"/>
          <w:color w:val="auto"/>
        </w:rPr>
      </w:pPr>
    </w:p>
    <w:p>
      <w:pPr>
        <w:spacing w:after="0" w:line="2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recent acquisition of RADLAN and any future acquisitions could harm our operating results and share price.</w:t>
      </w:r>
    </w:p>
    <w:p>
      <w:pPr>
        <w:spacing w:after="0" w:line="252" w:lineRule="exact"/>
        <w:rPr>
          <w:sz w:val="20"/>
          <w:szCs w:val="20"/>
          <w:color w:val="auto"/>
        </w:rPr>
      </w:pPr>
    </w:p>
    <w:p>
      <w:pPr>
        <w:ind w:right="200" w:firstLine="324"/>
        <w:spacing w:after="0" w:line="268" w:lineRule="auto"/>
        <w:rPr>
          <w:sz w:val="20"/>
          <w:szCs w:val="20"/>
          <w:color w:val="auto"/>
        </w:rPr>
      </w:pPr>
      <w:r>
        <w:rPr>
          <w:rFonts w:ascii="Arial" w:cs="Arial" w:eastAsia="Arial" w:hAnsi="Arial"/>
          <w:sz w:val="18"/>
          <w:szCs w:val="18"/>
          <w:color w:val="auto"/>
        </w:rPr>
        <w:t>On June 27, 2003, we acquired RADLAN Computer Communications Ltd., a leading provider of embedded networking software. Pursuant to the terms of the share purchase agreement, we issued a</w:t>
      </w:r>
    </w:p>
    <w:p>
      <w:pPr>
        <w:spacing w:after="0" w:line="18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68" w:lineRule="auto"/>
        <w:rPr>
          <w:sz w:val="20"/>
          <w:szCs w:val="20"/>
          <w:color w:val="auto"/>
        </w:rPr>
      </w:pPr>
      <w:r>
        <w:rPr>
          <w:rFonts w:ascii="Arial" w:cs="Arial" w:eastAsia="Arial" w:hAnsi="Arial"/>
          <w:sz w:val="18"/>
          <w:szCs w:val="18"/>
          <w:color w:val="auto"/>
        </w:rPr>
        <w:t>combination of shares, warrants and stock options to purchase our common stock for the remaining outstanding shares of RADLAN capital stock and employee stock options.</w:t>
      </w:r>
    </w:p>
    <w:p>
      <w:pPr>
        <w:spacing w:after="0" w:line="213" w:lineRule="exact"/>
        <w:rPr>
          <w:sz w:val="20"/>
          <w:szCs w:val="20"/>
          <w:color w:val="auto"/>
        </w:rPr>
      </w:pPr>
    </w:p>
    <w:p>
      <w:pPr>
        <w:ind w:right="40" w:firstLine="324"/>
        <w:spacing w:after="0" w:line="291" w:lineRule="auto"/>
        <w:rPr>
          <w:sz w:val="20"/>
          <w:szCs w:val="20"/>
          <w:color w:val="auto"/>
        </w:rPr>
      </w:pPr>
      <w:r>
        <w:rPr>
          <w:rFonts w:ascii="Arial" w:cs="Arial" w:eastAsia="Arial" w:hAnsi="Arial"/>
          <w:sz w:val="16"/>
          <w:szCs w:val="16"/>
          <w:color w:val="auto"/>
        </w:rPr>
        <w:t>Any acquisitions, including our recent acquisition of RADLAN, could materially harm our operating results as a result of possible concurrent issuances of dilutive equity securities. In addition, the purchase price of any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201"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 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July 31, 2003. An impairment review could result in a write-down of all or a portion of these assets to their fair values. We will perform an annual impairment review during the fourth quarter of each fiscal year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200" w:lineRule="exact"/>
        <w:rPr>
          <w:sz w:val="20"/>
          <w:szCs w:val="20"/>
          <w:color w:val="auto"/>
        </w:rPr>
      </w:pPr>
    </w:p>
    <w:p>
      <w:pPr>
        <w:spacing w:after="0" w:line="220"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213" w:lineRule="exact"/>
        <w:rPr>
          <w:sz w:val="20"/>
          <w:szCs w:val="20"/>
          <w:color w:val="auto"/>
        </w:rPr>
      </w:pPr>
    </w:p>
    <w:p>
      <w:pPr>
        <w:ind w:right="120" w:firstLine="324"/>
        <w:spacing w:after="0" w:line="288" w:lineRule="auto"/>
        <w:rPr>
          <w:sz w:val="20"/>
          <w:szCs w:val="20"/>
          <w:color w:val="auto"/>
        </w:rPr>
      </w:pPr>
      <w:r>
        <w:rPr>
          <w:rFonts w:ascii="Arial" w:cs="Arial" w:eastAsia="Arial" w:hAnsi="Arial"/>
          <w:sz w:val="16"/>
          <w:szCs w:val="16"/>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do. As a result, these competitors may have greater credibility with our existing and potential customers. Moreover, our competitors may foresee the course of market developments more accurately than us. They also may be able to adopt more aggressive pricing policies and devote greater resources to the development, promotion and sale of their products than us,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201" w:lineRule="exact"/>
        <w:rPr>
          <w:sz w:val="20"/>
          <w:szCs w:val="20"/>
          <w:color w:val="auto"/>
        </w:rPr>
      </w:pPr>
    </w:p>
    <w:p>
      <w:pPr>
        <w:ind w:right="180" w:firstLine="324"/>
        <w:spacing w:after="0" w:line="256" w:lineRule="auto"/>
        <w:rPr>
          <w:sz w:val="20"/>
          <w:szCs w:val="20"/>
          <w:color w:val="auto"/>
        </w:rPr>
      </w:pPr>
      <w:r>
        <w:rPr>
          <w:rFonts w:ascii="Arial" w:cs="Arial" w:eastAsia="Arial" w:hAnsi="Arial"/>
          <w:sz w:val="18"/>
          <w:szCs w:val="18"/>
          <w:color w:val="auto"/>
        </w:rPr>
        <w:t>In the wireless LAN market, we face competition from a number of additional competitors who have a longer history of serving that market.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 which, in turn, would harm our operating results.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12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213" w:lineRule="exact"/>
        <w:rPr>
          <w:sz w:val="20"/>
          <w:szCs w:val="20"/>
          <w:color w:val="auto"/>
        </w:rPr>
      </w:pPr>
    </w:p>
    <w:p>
      <w:pPr>
        <w:ind w:right="20" w:firstLine="324"/>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are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jc w:val="both"/>
        <w:ind w:right="40" w:firstLine="324"/>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200" w:lineRule="exact"/>
        <w:rPr>
          <w:sz w:val="20"/>
          <w:szCs w:val="20"/>
          <w:color w:val="auto"/>
        </w:rPr>
      </w:pPr>
    </w:p>
    <w:p>
      <w:pPr>
        <w:spacing w:after="0" w:line="237" w:lineRule="exact"/>
        <w:rPr>
          <w:sz w:val="20"/>
          <w:szCs w:val="20"/>
          <w:color w:val="auto"/>
        </w:rPr>
      </w:pPr>
    </w:p>
    <w:p>
      <w:pPr>
        <w:ind w:left="360" w:right="8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213" w:lineRule="exact"/>
        <w:rPr>
          <w:sz w:val="20"/>
          <w:szCs w:val="20"/>
          <w:color w:val="auto"/>
        </w:rPr>
      </w:pPr>
    </w:p>
    <w:p>
      <w:pPr>
        <w:ind w:right="40" w:firstLine="324"/>
        <w:spacing w:after="0" w:line="289"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sixteen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200" w:lineRule="exact"/>
        <w:rPr>
          <w:sz w:val="20"/>
          <w:szCs w:val="20"/>
          <w:color w:val="auto"/>
        </w:rPr>
      </w:pPr>
    </w:p>
    <w:p>
      <w:pPr>
        <w:spacing w:after="0" w:line="215" w:lineRule="exact"/>
        <w:rPr>
          <w:sz w:val="20"/>
          <w:szCs w:val="20"/>
          <w:color w:val="auto"/>
        </w:rPr>
      </w:pPr>
    </w:p>
    <w:p>
      <w:pPr>
        <w:ind w:left="360" w:right="10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43" w:lineRule="exact"/>
        <w:rPr>
          <w:sz w:val="20"/>
          <w:szCs w:val="20"/>
          <w:color w:val="auto"/>
        </w:rPr>
      </w:pPr>
    </w:p>
    <w:p>
      <w:pPr>
        <w:ind w:right="20" w:firstLine="324"/>
        <w:spacing w:after="0" w:line="290" w:lineRule="auto"/>
        <w:rPr>
          <w:sz w:val="20"/>
          <w:szCs w:val="20"/>
          <w:color w:val="auto"/>
        </w:rPr>
      </w:pPr>
      <w:r>
        <w:rPr>
          <w:rFonts w:ascii="Arial" w:cs="Arial" w:eastAsia="Arial" w:hAnsi="Arial"/>
          <w:sz w:val="16"/>
          <w:szCs w:val="16"/>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harmed.</w:t>
      </w:r>
    </w:p>
    <w:p>
      <w:pPr>
        <w:spacing w:after="0" w:line="200" w:lineRule="exact"/>
        <w:rPr>
          <w:sz w:val="20"/>
          <w:szCs w:val="20"/>
          <w:color w:val="auto"/>
        </w:rPr>
      </w:pPr>
    </w:p>
    <w:p>
      <w:pPr>
        <w:spacing w:after="0" w:line="216" w:lineRule="exact"/>
        <w:rPr>
          <w:sz w:val="20"/>
          <w:szCs w:val="20"/>
          <w:color w:val="auto"/>
        </w:rPr>
      </w:pPr>
    </w:p>
    <w:p>
      <w:pPr>
        <w:jc w:val="both"/>
        <w:ind w:left="3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221" w:lineRule="exact"/>
        <w:rPr>
          <w:sz w:val="20"/>
          <w:szCs w:val="20"/>
          <w:color w:val="auto"/>
        </w:rPr>
      </w:pPr>
    </w:p>
    <w:p>
      <w:pPr>
        <w:ind w:firstLine="324"/>
        <w:spacing w:after="0" w:line="332"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must rely on third-party vendors to manufacture, assemble and test the products we design. We currently rely on TSMC to produce substantially all of our integrated circuit products. We also</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currently rely on TSMC and other third-party assembly and test subcontractors to assemble, package and test our products. The resurgence of SARS and any similar future outbreaks in Asia could affect the production capabilities of our manufacturers by resulting in quarantines or closures. In the event of such a quarantine or closure, if we were unable to quickly identify alternate manufacturing facilities, our revenues, cost of revenues and results of operations would be negatively impacted. If these vendors do not provide us with high-quality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59" w:lineRule="exact"/>
        <w:rPr>
          <w:sz w:val="20"/>
          <w:szCs w:val="20"/>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79" w:lineRule="exact"/>
        <w:rPr>
          <w:sz w:val="20"/>
          <w:szCs w:val="20"/>
          <w:color w:val="auto"/>
        </w:rPr>
      </w:pPr>
    </w:p>
    <w:p>
      <w:pPr>
        <w:ind w:right="20" w:firstLine="324"/>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us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Arial" w:cs="Arial" w:eastAsia="Arial" w:hAnsi="Arial"/>
          <w:sz w:val="16"/>
          <w:szCs w:val="16"/>
          <w:b w:val="1"/>
          <w:bCs w:val="1"/>
          <w:i w:val="1"/>
          <w:iCs w:val="1"/>
          <w:color w:val="auto"/>
        </w:rPr>
        <w:t>If our foundries do not achieve satisfactory yields or quality, our relationships with our customers and our reputation will be harmed.</w:t>
      </w:r>
    </w:p>
    <w:p>
      <w:pPr>
        <w:spacing w:after="0" w:line="275"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200" w:lineRule="exact"/>
        <w:rPr>
          <w:sz w:val="20"/>
          <w:szCs w:val="20"/>
          <w:color w:val="auto"/>
        </w:rPr>
      </w:pPr>
    </w:p>
    <w:p>
      <w:pPr>
        <w:spacing w:after="0" w:line="215" w:lineRule="exact"/>
        <w:rPr>
          <w:sz w:val="20"/>
          <w:szCs w:val="20"/>
          <w:color w:val="auto"/>
        </w:rPr>
      </w:pPr>
    </w:p>
    <w:p>
      <w:pPr>
        <w:ind w:left="360" w:right="36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121" w:lineRule="exact"/>
        <w:rPr>
          <w:sz w:val="20"/>
          <w:szCs w:val="20"/>
          <w:color w:val="auto"/>
        </w:rPr>
      </w:pPr>
    </w:p>
    <w:p>
      <w:pPr>
        <w:ind w:right="580" w:firstLine="324"/>
        <w:spacing w:after="0" w:line="268" w:lineRule="auto"/>
        <w:rPr>
          <w:sz w:val="20"/>
          <w:szCs w:val="20"/>
          <w:color w:val="auto"/>
        </w:rPr>
      </w:pPr>
      <w:r>
        <w:rPr>
          <w:rFonts w:ascii="Arial" w:cs="Arial" w:eastAsia="Arial" w:hAnsi="Arial"/>
          <w:sz w:val="18"/>
          <w:szCs w:val="18"/>
          <w:color w:val="auto"/>
        </w:rPr>
        <w:t>Highly complex products such as the products that we offer frequently contain defects and bugs when they are first introduced or as new versions are released. We have in the past experienced, and may in the</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harmed.</w:t>
      </w:r>
    </w:p>
    <w:p>
      <w:pPr>
        <w:spacing w:after="0" w:line="204" w:lineRule="exact"/>
        <w:rPr>
          <w:sz w:val="20"/>
          <w:szCs w:val="20"/>
          <w:color w:val="auto"/>
        </w:rPr>
      </w:pPr>
    </w:p>
    <w:p>
      <w:pPr>
        <w:ind w:left="360" w:right="14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foundries to transition to smaller geometry processes successfully and cannot assure you that our foundries will be able to effectively manage the transition. If our foundries or we experience significant delays in this transition or fail to efficiently implement this transition, our business, financial condition and results of operations could be materially and adversely affected.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or at all.</w:t>
      </w:r>
    </w:p>
    <w:p>
      <w:pPr>
        <w:spacing w:after="0" w:line="200" w:lineRule="exact"/>
        <w:rPr>
          <w:sz w:val="20"/>
          <w:szCs w:val="20"/>
          <w:color w:val="auto"/>
        </w:rPr>
      </w:pPr>
    </w:p>
    <w:p>
      <w:pPr>
        <w:spacing w:after="0" w:line="220" w:lineRule="exact"/>
        <w:rPr>
          <w:sz w:val="20"/>
          <w:szCs w:val="20"/>
          <w:color w:val="auto"/>
        </w:rPr>
      </w:pPr>
    </w:p>
    <w:p>
      <w:pPr>
        <w:ind w:left="360" w:right="38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66"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and Vice President and Chief Technology Officer. We do not have employment contracts with these or any other key personnel, and their knowledge of our business and industry would be extremely difficult to replace.</w:t>
      </w:r>
    </w:p>
    <w:p>
      <w:pPr>
        <w:spacing w:after="0" w:line="201" w:lineRule="exact"/>
        <w:rPr>
          <w:sz w:val="20"/>
          <w:szCs w:val="20"/>
          <w:color w:val="auto"/>
        </w:rPr>
      </w:pPr>
    </w:p>
    <w:p>
      <w:pPr>
        <w:ind w:right="60" w:firstLine="324"/>
        <w:spacing w:after="0" w:line="256"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w:t>
      </w:r>
    </w:p>
    <w:p>
      <w:pPr>
        <w:spacing w:after="0" w:line="1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We may not be successful in attracting and retaining sufficient numbers of technical personnel to support our anticipated growth.</w:t>
      </w:r>
    </w:p>
    <w:p>
      <w:pPr>
        <w:spacing w:after="0" w:line="252" w:lineRule="exact"/>
        <w:rPr>
          <w:sz w:val="20"/>
          <w:szCs w:val="20"/>
          <w:color w:val="auto"/>
        </w:rPr>
      </w:pPr>
    </w:p>
    <w:p>
      <w:pPr>
        <w:jc w:val="both"/>
        <w:ind w:left="360" w:right="80"/>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221"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As of August 31, 2003, our executive officers and directors beneficially owned or controlled, directly or indirectly, approximately 31% of the outstanding shares our common stock. Additionally, Sehat Sutardja and Weili Dai are husband and wife and Sehat Sutardja and Pantas Sutardja are brothers. All three are directors and together they held approximately 27% of our outstanding common stock as of August 31, 2003.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324"/>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200" w:lineRule="exact"/>
        <w:rPr>
          <w:sz w:val="20"/>
          <w:szCs w:val="20"/>
          <w:color w:val="auto"/>
        </w:rPr>
      </w:pPr>
    </w:p>
    <w:p>
      <w:pPr>
        <w:spacing w:after="0" w:line="217"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52"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224"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In May 2003, we completed the implementation of a new Enterprise Resource Planning, or ERP, system. An ERP system implementation is a very complex, costly and time-consuming process. Any unforeseen delays or difficulties after we begin transacting on the new system or in performing financial closes on the new systems, may divert the attention of management and other employees and disrupt our ongoing business and could have a material adverse impact on our financial condition and results of operations.</w:t>
      </w:r>
    </w:p>
    <w:p>
      <w:pPr>
        <w:spacing w:after="0" w:line="200" w:lineRule="exact"/>
        <w:rPr>
          <w:sz w:val="20"/>
          <w:szCs w:val="20"/>
          <w:color w:val="auto"/>
        </w:rPr>
      </w:pPr>
    </w:p>
    <w:p>
      <w:pPr>
        <w:spacing w:after="0" w:line="240" w:lineRule="exact"/>
        <w:rPr>
          <w:sz w:val="20"/>
          <w:szCs w:val="20"/>
          <w:color w:val="auto"/>
        </w:rPr>
      </w:pPr>
    </w:p>
    <w:p>
      <w:pPr>
        <w:ind w:left="360" w:right="8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213" w:lineRule="exact"/>
        <w:rPr>
          <w:sz w:val="20"/>
          <w:szCs w:val="20"/>
          <w:color w:val="auto"/>
        </w:rPr>
      </w:pPr>
    </w:p>
    <w:p>
      <w:pPr>
        <w:ind w:right="360" w:firstLine="324"/>
        <w:spacing w:after="0" w:line="268"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56" w:lineRule="auto"/>
        <w:rPr>
          <w:sz w:val="20"/>
          <w:szCs w:val="20"/>
          <w:color w:val="auto"/>
        </w:rPr>
      </w:pPr>
      <w:r>
        <w:rPr>
          <w:rFonts w:ascii="Arial" w:cs="Arial" w:eastAsia="Arial" w:hAnsi="Arial"/>
          <w:sz w:val="18"/>
          <w:szCs w:val="18"/>
          <w:color w:val="auto"/>
        </w:rPr>
        <w:t>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89% of our net revenue in the first six months of fiscal 2004, and represented 87% and 83% of our net revenue in fiscal 2003 and 2002, respectively.</w:t>
      </w:r>
    </w:p>
    <w:p>
      <w:pPr>
        <w:spacing w:after="0" w:line="224" w:lineRule="exact"/>
        <w:rPr>
          <w:sz w:val="20"/>
          <w:szCs w:val="20"/>
          <w:color w:val="auto"/>
        </w:rPr>
      </w:pPr>
    </w:p>
    <w:p>
      <w:pPr>
        <w:ind w:right="560" w:firstLine="324"/>
        <w:spacing w:after="0" w:line="332" w:lineRule="auto"/>
        <w:rPr>
          <w:sz w:val="20"/>
          <w:szCs w:val="20"/>
          <w:color w:val="auto"/>
        </w:rPr>
      </w:pPr>
      <w:r>
        <w:rPr>
          <w:rFonts w:ascii="Arial" w:cs="Arial" w:eastAsia="Arial" w:hAnsi="Arial"/>
          <w:sz w:val="16"/>
          <w:szCs w:val="16"/>
          <w:color w:val="auto"/>
        </w:rPr>
        <w:t>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139" w:lineRule="exact"/>
        <w:rPr>
          <w:sz w:val="20"/>
          <w:szCs w:val="20"/>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79" w:lineRule="exact"/>
        <w:rPr>
          <w:rFonts w:ascii="Arial" w:cs="Arial" w:eastAsia="Arial" w:hAnsi="Arial"/>
          <w:sz w:val="18"/>
          <w:szCs w:val="18"/>
          <w:color w:val="auto"/>
        </w:rPr>
      </w:pPr>
    </w:p>
    <w:p>
      <w:pPr>
        <w:ind w:left="460" w:right="660" w:hanging="101"/>
        <w:spacing w:after="0" w:line="268"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79" w:lineRule="exact"/>
        <w:rPr>
          <w:sz w:val="20"/>
          <w:szCs w:val="20"/>
          <w:color w:val="auto"/>
        </w:rPr>
      </w:pPr>
    </w:p>
    <w:p>
      <w:pPr>
        <w:ind w:right="120" w:firstLine="324"/>
        <w:spacing w:after="0" w:line="259" w:lineRule="auto"/>
        <w:rPr>
          <w:sz w:val="20"/>
          <w:szCs w:val="20"/>
          <w:color w:val="auto"/>
        </w:rPr>
      </w:pPr>
      <w:r>
        <w:rPr>
          <w:rFonts w:ascii="Arial" w:cs="Arial" w:eastAsia="Arial" w:hAnsi="Arial"/>
          <w:sz w:val="18"/>
          <w:szCs w:val="18"/>
          <w:color w:val="auto"/>
        </w:rPr>
        <w:t>Additionally, our operations may be impacted in the following ways by a resurgence of SARS including, but not limited to, disruptions of our third party manufacturers that are primarily located in Asia, reduced sales in our international retail channels and increased supply chain costs. If future outbreaks of SARS or similar diseases rise or spread to other areas, our international sales and operations could be harmed.</w:t>
      </w:r>
    </w:p>
    <w:p>
      <w:pPr>
        <w:spacing w:after="0" w:line="221"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Substantially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200" w:lineRule="exact"/>
        <w:rPr>
          <w:sz w:val="20"/>
          <w:szCs w:val="20"/>
          <w:color w:val="auto"/>
        </w:rPr>
      </w:pPr>
    </w:p>
    <w:p>
      <w:pPr>
        <w:spacing w:after="0" w:line="240" w:lineRule="exact"/>
        <w:rPr>
          <w:sz w:val="20"/>
          <w:szCs w:val="20"/>
          <w:color w:val="auto"/>
        </w:rPr>
      </w:pPr>
    </w:p>
    <w:p>
      <w:pPr>
        <w:ind w:left="360" w:right="240"/>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221"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Substantially all of our products are manufactured by Taiwan Semiconductor Manufacturing Company, or TSMC, which is located in Taiwan. Currently our only alternative manufacturing sources are located in Taiwan, China and Singapore.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and June 2003, major earthquakes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w:t>
      </w:r>
    </w:p>
    <w:p>
      <w:pPr>
        <w:spacing w:after="0" w:line="17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268" w:lineRule="auto"/>
        <w:rPr>
          <w:sz w:val="20"/>
          <w:szCs w:val="20"/>
          <w:color w:val="auto"/>
        </w:rPr>
      </w:pPr>
      <w:r>
        <w:rPr>
          <w:rFonts w:ascii="Arial" w:cs="Arial" w:eastAsia="Arial" w:hAnsi="Arial"/>
          <w:sz w:val="18"/>
          <w:szCs w:val="18"/>
          <w:color w:val="auto"/>
        </w:rPr>
        <w:t>to shift our manufacturing, assembling or testing from the affected contractor to another third-party vendor. We may not be able to obtain alternate capacity on favorable terms, if at all.</w:t>
      </w:r>
    </w:p>
    <w:p>
      <w:pPr>
        <w:spacing w:after="0" w:line="213" w:lineRule="exact"/>
        <w:rPr>
          <w:sz w:val="20"/>
          <w:szCs w:val="20"/>
          <w:color w:val="auto"/>
        </w:rPr>
      </w:pPr>
    </w:p>
    <w:p>
      <w:pPr>
        <w:ind w:left="360" w:right="58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213" w:lineRule="exact"/>
        <w:rPr>
          <w:sz w:val="20"/>
          <w:szCs w:val="20"/>
          <w:color w:val="auto"/>
        </w:rPr>
      </w:pPr>
    </w:p>
    <w:p>
      <w:pPr>
        <w:ind w:right="40" w:firstLine="324"/>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two years,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200" w:lineRule="exact"/>
        <w:rPr>
          <w:sz w:val="20"/>
          <w:szCs w:val="20"/>
          <w:color w:val="auto"/>
        </w:rPr>
      </w:pPr>
    </w:p>
    <w:p>
      <w:pPr>
        <w:spacing w:after="0" w:line="220" w:lineRule="exact"/>
        <w:rPr>
          <w:sz w:val="20"/>
          <w:szCs w:val="20"/>
          <w:color w:val="auto"/>
        </w:rPr>
      </w:pPr>
    </w:p>
    <w:p>
      <w:pPr>
        <w:ind w:left="360" w:right="54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213" w:lineRule="exact"/>
        <w:rPr>
          <w:sz w:val="20"/>
          <w:szCs w:val="20"/>
          <w:color w:val="auto"/>
        </w:rPr>
      </w:pPr>
    </w:p>
    <w:p>
      <w:pPr>
        <w:ind w:firstLine="324"/>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profits on our storage products are likely to decrease over the next fiscal year below levels we have historically experienced due to (i) pricing pressures from our customers, and (ii) an increase in sales of SOCs, which typically have lower margins than standalone read channel devices, and (iii) an increase in sales of products into consumer application markets, which are highly competitive and cost sensitive.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99" w:lineRule="exact"/>
        <w:rPr>
          <w:sz w:val="20"/>
          <w:szCs w:val="20"/>
          <w:color w:val="auto"/>
        </w:rPr>
      </w:pPr>
    </w:p>
    <w:p>
      <w:pPr>
        <w:ind w:right="320" w:firstLine="324"/>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200" w:lineRule="exact"/>
        <w:rPr>
          <w:sz w:val="20"/>
          <w:szCs w:val="20"/>
          <w:color w:val="auto"/>
        </w:rPr>
      </w:pPr>
    </w:p>
    <w:p>
      <w:pPr>
        <w:spacing w:after="0" w:line="240" w:lineRule="exact"/>
        <w:rPr>
          <w:sz w:val="20"/>
          <w:szCs w:val="20"/>
          <w:color w:val="auto"/>
        </w:rPr>
      </w:pPr>
    </w:p>
    <w:p>
      <w:pPr>
        <w:ind w:left="360" w:right="560"/>
        <w:spacing w:after="0" w:line="268" w:lineRule="auto"/>
        <w:rPr>
          <w:sz w:val="20"/>
          <w:szCs w:val="20"/>
          <w:color w:val="auto"/>
        </w:rPr>
      </w:pPr>
      <w:r>
        <w:rPr>
          <w:rFonts w:ascii="Arial" w:cs="Arial" w:eastAsia="Arial" w:hAnsi="Arial"/>
          <w:sz w:val="18"/>
          <w:szCs w:val="18"/>
          <w:b w:val="1"/>
          <w:bCs w:val="1"/>
          <w:i w:val="1"/>
          <w:iCs w:val="1"/>
          <w:color w:val="auto"/>
        </w:rPr>
        <w:t>We have a lengthy and expensive storage product sales cycle that does not assure product sales, and that if unsuccessful, may harm our operating results.</w:t>
      </w:r>
    </w:p>
    <w:p>
      <w:pPr>
        <w:spacing w:after="0" w:line="213"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221"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Qualification is typically followed by a twelve to eighteen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0" w:lineRule="auto"/>
        <w:rPr>
          <w:sz w:val="20"/>
          <w:szCs w:val="20"/>
          <w:color w:val="auto"/>
        </w:rPr>
      </w:pPr>
      <w:r>
        <w:rPr>
          <w:rFonts w:ascii="Arial" w:cs="Arial" w:eastAsia="Arial" w:hAnsi="Arial"/>
          <w:sz w:val="16"/>
          <w:szCs w:val="16"/>
          <w:color w:val="auto"/>
        </w:rPr>
        <w:t>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99" w:lineRule="exact"/>
        <w:rPr>
          <w:sz w:val="20"/>
          <w:szCs w:val="20"/>
          <w:color w:val="auto"/>
        </w:rPr>
      </w:pPr>
    </w:p>
    <w:p>
      <w:pPr>
        <w:ind w:firstLine="324"/>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200" w:lineRule="exact"/>
        <w:rPr>
          <w:sz w:val="20"/>
          <w:szCs w:val="20"/>
          <w:color w:val="auto"/>
        </w:rPr>
      </w:pPr>
    </w:p>
    <w:p>
      <w:pPr>
        <w:spacing w:after="0" w:line="240" w:lineRule="exact"/>
        <w:rPr>
          <w:sz w:val="20"/>
          <w:szCs w:val="20"/>
          <w:color w:val="auto"/>
        </w:rPr>
      </w:pPr>
    </w:p>
    <w:p>
      <w:pPr>
        <w:ind w:left="360" w:right="2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213" w:lineRule="exact"/>
        <w:rPr>
          <w:sz w:val="20"/>
          <w:szCs w:val="20"/>
          <w:color w:val="auto"/>
        </w:rPr>
      </w:pPr>
    </w:p>
    <w:p>
      <w:pPr>
        <w:ind w:right="100" w:firstLine="324"/>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201" w:lineRule="exact"/>
        <w:rPr>
          <w:sz w:val="20"/>
          <w:szCs w:val="20"/>
          <w:color w:val="auto"/>
        </w:rPr>
      </w:pPr>
    </w:p>
    <w:p>
      <w:pPr>
        <w:ind w:left="34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00" w:lineRule="exact"/>
        <w:rPr>
          <w:sz w:val="20"/>
          <w:szCs w:val="20"/>
          <w:color w:val="auto"/>
        </w:rPr>
      </w:pPr>
    </w:p>
    <w:p>
      <w:pPr>
        <w:spacing w:after="0" w:line="291" w:lineRule="exact"/>
        <w:rPr>
          <w:sz w:val="20"/>
          <w:szCs w:val="20"/>
          <w:color w:val="auto"/>
        </w:rPr>
      </w:pPr>
    </w:p>
    <w:p>
      <w:pPr>
        <w:ind w:left="360" w:right="4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213" w:lineRule="exact"/>
        <w:rPr>
          <w:sz w:val="20"/>
          <w:szCs w:val="20"/>
          <w:color w:val="auto"/>
        </w:rPr>
      </w:pPr>
    </w:p>
    <w:p>
      <w:pPr>
        <w:ind w:right="340" w:firstLine="324"/>
        <w:spacing w:after="0" w:line="332" w:lineRule="auto"/>
        <w:rPr>
          <w:sz w:val="20"/>
          <w:szCs w:val="20"/>
          <w:color w:val="auto"/>
        </w:rPr>
      </w:pPr>
      <w:r>
        <w:rPr>
          <w:rFonts w:ascii="Arial" w:cs="Arial" w:eastAsia="Arial" w:hAnsi="Arial"/>
          <w:sz w:val="16"/>
          <w:szCs w:val="16"/>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39" w:lineRule="exact"/>
        <w:rPr>
          <w:sz w:val="20"/>
          <w:szCs w:val="20"/>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79"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right="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69" w:lineRule="exact"/>
        <w:rPr>
          <w:sz w:val="20"/>
          <w:szCs w:val="20"/>
          <w:color w:val="auto"/>
        </w:rPr>
      </w:pPr>
    </w:p>
    <w:p>
      <w:pPr>
        <w:ind w:firstLine="324"/>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224" w:lineRule="exact"/>
        <w:rPr>
          <w:sz w:val="20"/>
          <w:szCs w:val="20"/>
          <w:color w:val="auto"/>
        </w:rPr>
      </w:pPr>
    </w:p>
    <w:p>
      <w:pPr>
        <w:ind w:right="120" w:firstLine="324"/>
        <w:spacing w:after="0" w:line="283"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including our physical layer devices and switched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and 802.11g standards. Wireless LAN</w:t>
      </w:r>
    </w:p>
    <w:p>
      <w:pPr>
        <w:spacing w:after="0" w:line="3" w:lineRule="exact"/>
        <w:rPr>
          <w:sz w:val="20"/>
          <w:szCs w:val="20"/>
          <w:color w:val="auto"/>
        </w:rPr>
      </w:pPr>
    </w:p>
    <w:p>
      <w:pPr>
        <w:ind w:right="540"/>
        <w:spacing w:after="0" w:line="209" w:lineRule="auto"/>
        <w:rPr>
          <w:sz w:val="20"/>
          <w:szCs w:val="20"/>
          <w:color w:val="auto"/>
        </w:rPr>
      </w:pPr>
      <w:r>
        <w:rPr>
          <w:rFonts w:ascii="Arial" w:cs="Arial" w:eastAsia="Arial" w:hAnsi="Arial"/>
          <w:sz w:val="18"/>
          <w:szCs w:val="18"/>
          <w:color w:val="auto"/>
        </w:rPr>
        <w:t>technologies are relatively new and many competing standards, such as IEEE 802.11a and Bluetooth</w:t>
      </w:r>
      <w:r>
        <w:rPr>
          <w:rFonts w:ascii="Arial" w:cs="Arial" w:eastAsia="Arial" w:hAnsi="Arial"/>
          <w:sz w:val="29"/>
          <w:szCs w:val="29"/>
          <w:color w:val="auto"/>
          <w:vertAlign w:val="superscript"/>
        </w:rPr>
        <w:t>TM</w:t>
      </w:r>
      <w:r>
        <w:rPr>
          <w:rFonts w:ascii="Arial" w:cs="Arial" w:eastAsia="Arial" w:hAnsi="Arial"/>
          <w:sz w:val="18"/>
          <w:szCs w:val="18"/>
          <w:color w:val="auto"/>
        </w:rPr>
        <w:t>, exist. If the 802.11b and 802.11g standards do not achieve widespread market acceptance, our revenue and operating results may be harmed.</w:t>
      </w:r>
    </w:p>
    <w:p>
      <w:pPr>
        <w:spacing w:after="0" w:line="200" w:lineRule="exact"/>
        <w:rPr>
          <w:sz w:val="20"/>
          <w:szCs w:val="20"/>
          <w:color w:val="auto"/>
        </w:rPr>
      </w:pPr>
    </w:p>
    <w:p>
      <w:pPr>
        <w:spacing w:after="0" w:line="25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52" w:lineRule="exact"/>
        <w:rPr>
          <w:sz w:val="20"/>
          <w:szCs w:val="20"/>
          <w:color w:val="auto"/>
        </w:rPr>
      </w:pPr>
    </w:p>
    <w:p>
      <w:pPr>
        <w:ind w:firstLine="324"/>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224" w:lineRule="exact"/>
        <w:rPr>
          <w:sz w:val="20"/>
          <w:szCs w:val="20"/>
          <w:color w:val="auto"/>
        </w:rPr>
      </w:pPr>
    </w:p>
    <w:p>
      <w:pPr>
        <w:ind w:left="360" w:right="18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213"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and expensive to resolve and would divert management time and attention. Any potential intellectual property litigation also could force us to do one or more of the following:</w:t>
      </w:r>
    </w:p>
    <w:p>
      <w:pPr>
        <w:spacing w:after="0" w:line="186" w:lineRule="exact"/>
        <w:rPr>
          <w:sz w:val="20"/>
          <w:szCs w:val="20"/>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 the allegedly infringing intellectual property;</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00" w:lineRule="exact"/>
        <w:rPr>
          <w:sz w:val="20"/>
          <w:szCs w:val="20"/>
          <w:color w:val="auto"/>
        </w:rPr>
      </w:pPr>
    </w:p>
    <w:p>
      <w:pPr>
        <w:spacing w:after="0" w:line="295" w:lineRule="exact"/>
        <w:rPr>
          <w:sz w:val="20"/>
          <w:szCs w:val="20"/>
          <w:color w:val="auto"/>
        </w:rPr>
      </w:pPr>
    </w:p>
    <w:p>
      <w:pPr>
        <w:ind w:left="360" w:right="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213" w:lineRule="exact"/>
        <w:rPr>
          <w:sz w:val="20"/>
          <w:szCs w:val="20"/>
          <w:color w:val="auto"/>
        </w:rPr>
      </w:pPr>
    </w:p>
    <w:p>
      <w:pPr>
        <w:ind w:right="20" w:firstLine="324"/>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200" w:lineRule="exact"/>
        <w:rPr>
          <w:sz w:val="20"/>
          <w:szCs w:val="20"/>
          <w:color w:val="auto"/>
        </w:rPr>
      </w:pPr>
    </w:p>
    <w:p>
      <w:pPr>
        <w:spacing w:after="0" w:line="215" w:lineRule="exact"/>
        <w:rPr>
          <w:sz w:val="20"/>
          <w:szCs w:val="20"/>
          <w:color w:val="auto"/>
        </w:rPr>
      </w:pPr>
    </w:p>
    <w:p>
      <w:pPr>
        <w:ind w:left="360" w:right="70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200" w:lineRule="exact"/>
        <w:rPr>
          <w:sz w:val="20"/>
          <w:szCs w:val="20"/>
          <w:color w:val="auto"/>
        </w:rPr>
      </w:pPr>
    </w:p>
    <w:p>
      <w:pPr>
        <w:spacing w:after="0" w:line="217" w:lineRule="exact"/>
        <w:rPr>
          <w:sz w:val="20"/>
          <w:szCs w:val="20"/>
          <w:color w:val="auto"/>
        </w:rPr>
      </w:pPr>
    </w:p>
    <w:p>
      <w:pPr>
        <w:ind w:left="360" w:right="22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position is disputed, our operating results could be harmed.</w:t>
      </w:r>
    </w:p>
    <w:p>
      <w:pPr>
        <w:spacing w:after="0" w:line="213" w:lineRule="exact"/>
        <w:rPr>
          <w:sz w:val="20"/>
          <w:szCs w:val="20"/>
          <w:color w:val="auto"/>
        </w:rPr>
      </w:pPr>
    </w:p>
    <w:p>
      <w:pPr>
        <w:ind w:right="160" w:firstLine="324"/>
        <w:spacing w:after="0" w:line="288" w:lineRule="auto"/>
        <w:rPr>
          <w:sz w:val="20"/>
          <w:szCs w:val="20"/>
          <w:color w:val="auto"/>
        </w:rPr>
      </w:pPr>
      <w:r>
        <w:rPr>
          <w:rFonts w:ascii="Arial" w:cs="Arial" w:eastAsia="Arial" w:hAnsi="Arial"/>
          <w:sz w:val="16"/>
          <w:szCs w:val="16"/>
          <w:color w:val="auto"/>
        </w:rPr>
        <w:t>In the United States, we pay income tax on the income of our U.S. subsidiaries and may be subject to the U.S. income tax and on any income that is considered to be effectively connected with the conduct of a trade or business in the United States. The determination of whether the income of a foreign corporation is effectively connected with the conduct of a trade or business in the United States requires significant management judgment, as it involves a consideration of all the facts and circumstances and the application of legal standards that are uncertain. Our position is that our foreign business operations do not generate any income that is effectively connected with a United States trade or business. If our position is disputed,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59"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52" w:lineRule="exact"/>
        <w:rPr>
          <w:sz w:val="20"/>
          <w:szCs w:val="20"/>
          <w:color w:val="auto"/>
        </w:rPr>
      </w:pPr>
    </w:p>
    <w:p>
      <w:pPr>
        <w:ind w:right="140" w:firstLine="324"/>
        <w:spacing w:after="0" w:line="306" w:lineRule="auto"/>
        <w:rPr>
          <w:sz w:val="20"/>
          <w:szCs w:val="20"/>
          <w:color w:val="auto"/>
        </w:rPr>
      </w:pPr>
      <w:r>
        <w:rPr>
          <w:rFonts w:ascii="Arial" w:cs="Arial" w:eastAsia="Arial" w:hAnsi="Arial"/>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88" w:lineRule="exact"/>
        <w:rPr>
          <w:sz w:val="20"/>
          <w:szCs w:val="20"/>
          <w:color w:val="auto"/>
        </w:rPr>
      </w:pPr>
    </w:p>
    <w:p>
      <w:pPr>
        <w:ind w:right="40" w:firstLine="324"/>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Singapore statutory tax rate. We are required to meet several requirements as to investment, headcount and activities in Singapore to retain this status. If our Pioneer Status is terminated early, our financial results could be harmed.</w:t>
      </w:r>
    </w:p>
    <w:p>
      <w:pPr>
        <w:spacing w:after="0" w:line="224" w:lineRule="exact"/>
        <w:rPr>
          <w:sz w:val="20"/>
          <w:szCs w:val="20"/>
          <w:color w:val="auto"/>
        </w:rPr>
      </w:pPr>
    </w:p>
    <w:p>
      <w:pPr>
        <w:ind w:right="120" w:firstLine="324"/>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395"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52" w:lineRule="exact"/>
        <w:rPr>
          <w:sz w:val="20"/>
          <w:szCs w:val="20"/>
          <w:color w:val="auto"/>
        </w:rPr>
      </w:pPr>
    </w:p>
    <w:p>
      <w:pPr>
        <w:ind w:right="40" w:firstLine="324"/>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00" w:lineRule="exact"/>
        <w:rPr>
          <w:sz w:val="20"/>
          <w:szCs w:val="20"/>
          <w:color w:val="auto"/>
        </w:rPr>
      </w:pPr>
    </w:p>
    <w:p>
      <w:pPr>
        <w:spacing w:after="0" w:line="216" w:lineRule="exact"/>
        <w:rPr>
          <w:sz w:val="20"/>
          <w:szCs w:val="20"/>
          <w:color w:val="auto"/>
        </w:rPr>
      </w:pPr>
    </w:p>
    <w:p>
      <w:pPr>
        <w:ind w:left="360" w:right="20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213" w:lineRule="exact"/>
        <w:rPr>
          <w:sz w:val="20"/>
          <w:szCs w:val="20"/>
          <w:color w:val="auto"/>
        </w:rPr>
      </w:pPr>
    </w:p>
    <w:p>
      <w:pPr>
        <w:ind w:firstLine="324"/>
        <w:spacing w:after="0" w:line="287" w:lineRule="auto"/>
        <w:rPr>
          <w:sz w:val="20"/>
          <w:szCs w:val="20"/>
          <w:color w:val="auto"/>
        </w:rPr>
      </w:pPr>
      <w:r>
        <w:rPr>
          <w:rFonts w:ascii="Arial" w:cs="Arial" w:eastAsia="Arial" w:hAnsi="Arial"/>
          <w:sz w:val="16"/>
          <w:szCs w:val="16"/>
          <w:color w:val="auto"/>
        </w:rPr>
        <w:t>On September 5, 2001, a putative class action was filed in the Southern District of New York relating to our initial public offering, or IPO. In this action, the plaintiffs named several defendants including Marvell and two of our officers, one of whom is also a director. This complaint relating to our IPO has been consolidated with hundreds of other lawsuits by plaintiffs against approximately 55 underwriters and approximately 300 issuers across the United States. Plaintiffs allege that defendants violated various provisions of the Securities Act of 1933 and the Securities Exchange Act of 1934. In these actions, plaintiffs seek, among other items, unspecified damages, pre-judgment interest and reimbursement of attorneys’ and experts’ fees. A Consolidated Amended Class Action Complaint against Marvell and two of our officers was filed on April 19, 2002. Subsequently, defendants in the consolidated proceedings moved to dismiss the actions. In February 2003, the trial Court issued its ruling on the motions, granting the motions in part, and denying them in part. Thus, the cases may proceed against the underwriters and us as to alleged violations of section 11 of the Securities Act of 1933 and section 10(b) of the Securities Exchange Act of 1934. Claims against the individual officers have been voluntarily dismissed with prejudice by agreement with plaintiffs. These claims and any resulting litigation could result in substantial costs and could divert the attention and resources of our management.</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right="140" w:firstLine="324"/>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200" w:lineRule="exact"/>
        <w:rPr>
          <w:sz w:val="20"/>
          <w:szCs w:val="20"/>
          <w:color w:val="auto"/>
        </w:rPr>
      </w:pPr>
    </w:p>
    <w:p>
      <w:pPr>
        <w:spacing w:after="0" w:line="240" w:lineRule="exact"/>
        <w:rPr>
          <w:sz w:val="20"/>
          <w:szCs w:val="20"/>
          <w:color w:val="auto"/>
        </w:rPr>
      </w:pPr>
    </w:p>
    <w:p>
      <w:pPr>
        <w:ind w:left="360"/>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52" w:lineRule="exact"/>
        <w:rPr>
          <w:sz w:val="20"/>
          <w:szCs w:val="20"/>
          <w:color w:val="auto"/>
        </w:rPr>
      </w:pPr>
    </w:p>
    <w:p>
      <w:pPr>
        <w:ind w:right="80" w:firstLine="324"/>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August 31, 2003, we had 126,802,575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200" w:lineRule="exact"/>
        <w:rPr>
          <w:sz w:val="20"/>
          <w:szCs w:val="20"/>
          <w:color w:val="auto"/>
        </w:rPr>
      </w:pPr>
    </w:p>
    <w:p>
      <w:pPr>
        <w:spacing w:after="0" w:line="210" w:lineRule="exact"/>
        <w:rPr>
          <w:sz w:val="20"/>
          <w:szCs w:val="20"/>
          <w:color w:val="auto"/>
        </w:rPr>
      </w:pPr>
    </w:p>
    <w:p>
      <w:pPr>
        <w:ind w:left="360" w:right="32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21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79" w:lineRule="exact"/>
        <w:rPr>
          <w:sz w:val="20"/>
          <w:szCs w:val="20"/>
          <w:color w:val="auto"/>
        </w:rPr>
      </w:pPr>
    </w:p>
    <w:p>
      <w:pPr>
        <w:ind w:right="780" w:firstLine="324"/>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FORWARD-LOOKING STATEMENTS</w:t>
      </w:r>
    </w:p>
    <w:p>
      <w:pPr>
        <w:spacing w:after="0" w:line="258" w:lineRule="exact"/>
        <w:rPr>
          <w:sz w:val="20"/>
          <w:szCs w:val="20"/>
          <w:color w:val="auto"/>
        </w:rPr>
      </w:pPr>
    </w:p>
    <w:p>
      <w:pPr>
        <w:ind w:right="20" w:firstLine="324"/>
        <w:spacing w:after="0" w:line="288" w:lineRule="auto"/>
        <w:rPr>
          <w:sz w:val="20"/>
          <w:szCs w:val="20"/>
          <w:color w:val="auto"/>
        </w:rPr>
      </w:pPr>
      <w:r>
        <w:rPr>
          <w:rFonts w:ascii="Arial" w:cs="Arial" w:eastAsia="Arial" w:hAnsi="Arial"/>
          <w:sz w:val="16"/>
          <w:szCs w:val="16"/>
          <w:color w:val="auto"/>
        </w:rPr>
        <w:t>This prospectus, including the documents that are and will be incorporated by reference into this prospectus, contains forward-looking statements within the “safe harbor” provisions of the Private Securities and Litigation Reform Act of 1995 with respect to our plans, expectations, estimates and beliefs. Words such as “anticipates,” “expects,” “estimates,” “intends,” “plans,” and similar expressions or the negative of such terms are intended to identify forward-looking statements. These forward-looking statements are not guarantees of future performance and are subject to risks and uncertainties that could cause actual results to differ materially from the results contemplated by the forward-looking statements. Factors that could cause actual results to differ materially from those predicted, include but are not limited to, those discussed under “Risk Factors” and as detailed from time to time in our annual and quarterly reports we file with the Securities and Exchange Commission. These forward-looking statements speak only as of the date hereof. We expressly disclaim any obligation or undertaking to release publicly any updates or revisions to any forward-looking statements contained herein to reflect any change in our expectations with regard thereto or any change in events, conditions or circumstances on which any such statement is based.</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PROCEEDS FROM THE OFFERING</w:t>
      </w:r>
    </w:p>
    <w:p>
      <w:pPr>
        <w:spacing w:after="0" w:line="258" w:lineRule="exact"/>
        <w:rPr>
          <w:sz w:val="20"/>
          <w:szCs w:val="20"/>
          <w:color w:val="auto"/>
        </w:rPr>
      </w:pPr>
    </w:p>
    <w:p>
      <w:pPr>
        <w:ind w:firstLine="324"/>
        <w:spacing w:after="0" w:line="268" w:lineRule="auto"/>
        <w:rPr>
          <w:sz w:val="20"/>
          <w:szCs w:val="20"/>
          <w:color w:val="auto"/>
        </w:rPr>
      </w:pPr>
      <w:r>
        <w:rPr>
          <w:rFonts w:ascii="Arial" w:cs="Arial" w:eastAsia="Arial" w:hAnsi="Arial"/>
          <w:sz w:val="18"/>
          <w:szCs w:val="18"/>
          <w:color w:val="auto"/>
        </w:rPr>
        <w:t>We will not receive any proceeds from the sale of the shares by the selling shareholders. All proceeds from the sale of the shares will be for the account of the selling shareholders, as described below. See “Selling Shareholders” and “Plan of Distribution.”</w:t>
      </w:r>
    </w:p>
    <w:p>
      <w:pPr>
        <w:spacing w:after="0" w:line="18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SELLING SHAREHOLDERS</w:t>
      </w:r>
    </w:p>
    <w:p>
      <w:pPr>
        <w:spacing w:after="0" w:line="258"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following table sets forth information as of August 15, 2003 regarding the beneficial ownership of common stock by each of the selling shareholders and the shares being offered by the selling shareholders. The shares are being registered to permit the resale from time to time by the selling shareholders. Information with respect to beneficial ownership is based upon information provided from or on behalf of the selling shareholders. Unless otherwise indicated, the persons and entities named in the table have sole voting and sole investment power with respect to all shares beneficially owned, subject to community property laws, where applicable.</w:t>
      </w:r>
    </w:p>
    <w:p>
      <w:pPr>
        <w:spacing w:after="0" w:line="224" w:lineRule="exact"/>
        <w:rPr>
          <w:sz w:val="20"/>
          <w:szCs w:val="20"/>
          <w:color w:val="auto"/>
        </w:rPr>
      </w:pPr>
    </w:p>
    <w:p>
      <w:pPr>
        <w:ind w:right="60" w:firstLine="324"/>
        <w:spacing w:after="0" w:line="294" w:lineRule="auto"/>
        <w:rPr>
          <w:sz w:val="20"/>
          <w:szCs w:val="20"/>
          <w:color w:val="auto"/>
        </w:rPr>
      </w:pPr>
      <w:r>
        <w:rPr>
          <w:rFonts w:ascii="Arial" w:cs="Arial" w:eastAsia="Arial" w:hAnsi="Arial"/>
          <w:sz w:val="16"/>
          <w:szCs w:val="16"/>
          <w:color w:val="auto"/>
        </w:rPr>
        <w:t>The number of shares that may be actually sold by any selling shareholder will be determined by the selling shareholder. Because the selling shareholders may sell all, some or none of the shares of common stock which they hold, no estimate can be given as to the number of shares of common stock that will be held by the selling shareholders upon termination of the offering. Information with respect to shares owned beneficially after the offering assumes the sale of all of the shares offered and no other purchases or sales of common stock. None of the share amounts set forth below represents more than 1% of our outstanding stock as of August 15, 2003, calculated under the rules promulgated by the SEC.</w:t>
      </w:r>
    </w:p>
    <w:p>
      <w:pPr>
        <w:spacing w:after="0" w:line="197" w:lineRule="exact"/>
        <w:rPr>
          <w:sz w:val="20"/>
          <w:szCs w:val="20"/>
          <w:color w:val="auto"/>
        </w:rPr>
      </w:pPr>
    </w:p>
    <w:p>
      <w:pPr>
        <w:ind w:right="80" w:firstLine="324"/>
        <w:spacing w:after="0" w:line="286" w:lineRule="auto"/>
        <w:rPr>
          <w:sz w:val="20"/>
          <w:szCs w:val="20"/>
          <w:color w:val="auto"/>
        </w:rPr>
      </w:pPr>
      <w:r>
        <w:rPr>
          <w:rFonts w:ascii="Arial" w:cs="Arial" w:eastAsia="Arial" w:hAnsi="Arial"/>
          <w:sz w:val="16"/>
          <w:szCs w:val="16"/>
          <w:color w:val="auto"/>
        </w:rPr>
        <w:t>The shares being offered by the selling shareholders were acquired in connection with our acquisition of RADLAN in June 2003, and include up to 483,232 shares issuable upon the exercise of warrants that we issued as part of the consideration in the acquisition and up to 1,023,256 shares that we may issue upon the attainment of certain performance milestones set forth in the share purchase agreement between RADLAN and us. In addition, under the terms of the share purchase agreement, we will be required to issue either an additional 1,162,791 shares of our common stock or $22.5 million in cash to the selling shareholders depending on the share price of Marvell common stock on the effective date of the registration statement of which this prospectus is a part. The number of shares in the table below assume the attainment of the performance milestones and the issuance of the additional shares rather than cash. The actual number of shares that may be issued depends on whether those milestones and share price targets are, in fact, met and, accordingly, the number of shares listed in the table to be sold by each selling shareholder will be subject to change. Further, the selling shareholders listed in the table below may have sold or transferred, in transactions exempt from the registration requirements of the Securities Act, some or all of their shares of common stock since the date on which the information in the table is presented, and information concerning the selling shareholders may change from time to time. Any changed information will be set forth in supplements or amendments to this prospectus if and when necessary.</w:t>
      </w:r>
    </w:p>
    <w:p>
      <w:pPr>
        <w:spacing w:after="0" w:line="208" w:lineRule="exact"/>
        <w:rPr>
          <w:sz w:val="20"/>
          <w:szCs w:val="20"/>
          <w:color w:val="auto"/>
        </w:rPr>
      </w:pPr>
    </w:p>
    <w:p>
      <w:pPr>
        <w:ind w:right="40" w:firstLine="324"/>
        <w:spacing w:after="0" w:line="306" w:lineRule="auto"/>
        <w:rPr>
          <w:sz w:val="20"/>
          <w:szCs w:val="20"/>
          <w:color w:val="auto"/>
        </w:rPr>
      </w:pPr>
      <w:r>
        <w:rPr>
          <w:rFonts w:ascii="Arial" w:cs="Arial" w:eastAsia="Arial" w:hAnsi="Arial"/>
          <w:sz w:val="16"/>
          <w:szCs w:val="16"/>
          <w:color w:val="auto"/>
        </w:rPr>
        <w:t>The registration statement of which this prospectus is a part is being filed pursuant to the terms of a registration rights agreement among Marvell and the RADLAN shareholders that was entered into in connection with the RADLAN acquisition. Subject to the terms of the agreement, we agreed to register the shares under the Securities Act for resale to the public and to cause the registration statement to be kept effective until:</w:t>
      </w:r>
    </w:p>
    <w:p>
      <w:pPr>
        <w:spacing w:after="0" w:line="161" w:lineRule="exact"/>
        <w:rPr>
          <w:sz w:val="20"/>
          <w:szCs w:val="20"/>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two years from the effective date of the registration statement, or</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such shorter time as all the shares offered by this prospectus have been sold.</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80" w:type="dxa"/>
            <w:vAlign w:val="bottom"/>
          </w:tcPr>
          <w:p>
            <w:pPr>
              <w:ind w:left="158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Yehuda Zisapel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665,747</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665,747</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Carm-Ad Ltd.(1)</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90,663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90,663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Zohar Zisapel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114,510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114,510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Lomsha Ltd.(2)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Michael and Klil Holdings (93) Ltd.(2)</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59,646</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59,646</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Yossi Elihav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34,204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34,204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Bynet Data Communications Ltd. (Trust)(1)</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64,175</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64,175</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18</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3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3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00" w:type="dxa"/>
            <w:vAlign w:val="bottom"/>
          </w:tcPr>
          <w:p>
            <w:pPr>
              <w:spacing w:after="0"/>
              <w:rPr>
                <w:sz w:val="12"/>
                <w:szCs w:val="12"/>
                <w:color w:val="auto"/>
              </w:rPr>
            </w:pPr>
          </w:p>
        </w:tc>
        <w:tc>
          <w:tcPr>
            <w:tcW w:w="1980" w:type="dxa"/>
            <w:vAlign w:val="bottom"/>
          </w:tcPr>
          <w:p>
            <w:pPr>
              <w:jc w:val="right"/>
              <w:ind w:right="392"/>
              <w:spacing w:after="0" w:line="149" w:lineRule="exact"/>
              <w:rPr>
                <w:sz w:val="20"/>
                <w:szCs w:val="20"/>
                <w:color w:val="auto"/>
              </w:rPr>
            </w:pPr>
            <w:r>
              <w:rPr>
                <w:rFonts w:ascii="Arial" w:cs="Arial" w:eastAsia="Arial" w:hAnsi="Arial"/>
                <w:sz w:val="14"/>
                <w:szCs w:val="14"/>
                <w:b w:val="1"/>
                <w:bCs w:val="1"/>
                <w:color w:val="auto"/>
              </w:rPr>
              <w:t>Number of Shares</w:t>
            </w:r>
          </w:p>
        </w:tc>
        <w:tc>
          <w:tcPr>
            <w:tcW w:w="300" w:type="dxa"/>
            <w:vAlign w:val="bottom"/>
          </w:tcPr>
          <w:p>
            <w:pPr>
              <w:spacing w:after="0"/>
              <w:rPr>
                <w:sz w:val="12"/>
                <w:szCs w:val="12"/>
                <w:color w:val="auto"/>
              </w:rPr>
            </w:pPr>
          </w:p>
        </w:tc>
        <w:tc>
          <w:tcPr>
            <w:tcW w:w="1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380" w:type="dxa"/>
            <w:vAlign w:val="bottom"/>
          </w:tcPr>
          <w:p>
            <w:pPr>
              <w:ind w:left="1580"/>
              <w:spacing w:after="0"/>
              <w:rPr>
                <w:sz w:val="20"/>
                <w:szCs w:val="20"/>
                <w:color w:val="auto"/>
              </w:rPr>
            </w:pPr>
            <w:r>
              <w:rPr>
                <w:rFonts w:ascii="Arial" w:cs="Arial" w:eastAsia="Arial" w:hAnsi="Arial"/>
                <w:sz w:val="14"/>
                <w:szCs w:val="14"/>
                <w:b w:val="1"/>
                <w:bCs w:val="1"/>
                <w:color w:val="auto"/>
              </w:rPr>
              <w:t>Selling Shareholders</w:t>
            </w:r>
          </w:p>
        </w:tc>
        <w:tc>
          <w:tcPr>
            <w:tcW w:w="300" w:type="dxa"/>
            <w:vAlign w:val="bottom"/>
          </w:tcPr>
          <w:p>
            <w:pPr>
              <w:spacing w:after="0"/>
              <w:rPr>
                <w:sz w:val="15"/>
                <w:szCs w:val="15"/>
                <w:color w:val="auto"/>
              </w:rPr>
            </w:pPr>
          </w:p>
        </w:tc>
        <w:tc>
          <w:tcPr>
            <w:tcW w:w="23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80" w:type="dxa"/>
            <w:vAlign w:val="bottom"/>
          </w:tcPr>
          <w:p>
            <w:pPr>
              <w:jc w:val="right"/>
              <w:ind w:right="512"/>
              <w:spacing w:after="0"/>
              <w:rPr>
                <w:sz w:val="20"/>
                <w:szCs w:val="20"/>
                <w:color w:val="auto"/>
              </w:rPr>
            </w:pPr>
            <w:r>
              <w:rPr>
                <w:rFonts w:ascii="Arial" w:cs="Arial" w:eastAsia="Arial" w:hAnsi="Arial"/>
                <w:sz w:val="14"/>
                <w:szCs w:val="14"/>
                <w:b w:val="1"/>
                <w:bCs w:val="1"/>
                <w:color w:val="auto"/>
              </w:rPr>
              <w:t>Being Offered</w:t>
            </w:r>
          </w:p>
        </w:tc>
        <w:tc>
          <w:tcPr>
            <w:tcW w:w="300" w:type="dxa"/>
            <w:vAlign w:val="bottom"/>
          </w:tcPr>
          <w:p>
            <w:pPr>
              <w:spacing w:after="0"/>
              <w:rPr>
                <w:sz w:val="15"/>
                <w:szCs w:val="15"/>
                <w:color w:val="auto"/>
              </w:rPr>
            </w:pPr>
          </w:p>
        </w:tc>
        <w:tc>
          <w:tcPr>
            <w:tcW w:w="1840" w:type="dxa"/>
            <w:vAlign w:val="bottom"/>
          </w:tcPr>
          <w:p>
            <w:pPr>
              <w:jc w:val="center"/>
              <w:spacing w:after="0"/>
              <w:rPr>
                <w:sz w:val="20"/>
                <w:szCs w:val="20"/>
                <w:color w:val="auto"/>
              </w:rPr>
            </w:pPr>
            <w:r>
              <w:rPr>
                <w:rFonts w:ascii="Arial" w:cs="Arial" w:eastAsia="Arial" w:hAnsi="Arial"/>
                <w:sz w:val="14"/>
                <w:szCs w:val="14"/>
                <w:b w:val="1"/>
                <w:bCs w:val="1"/>
                <w:color w:val="auto"/>
                <w:w w:val="88"/>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3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3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RAD Data Communications Ltd. (Trust)(3)</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69,193</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69,193</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Formula Ventures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176,459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176,459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FV PEH LP(4)</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47,482</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47,482</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Formula Ventures (Israel) LP(4)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55,800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55,800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UBS Capital (Jersey) Ltd.(5)</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168,626</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168,626</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w w:val="93"/>
              </w:rPr>
              <w:t>HarbourVest International Private Equity Partners III Direct</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380" w:type="dxa"/>
            <w:vAlign w:val="bottom"/>
          </w:tcPr>
          <w:p>
            <w:pPr>
              <w:ind w:left="120"/>
              <w:spacing w:after="0"/>
              <w:rPr>
                <w:sz w:val="20"/>
                <w:szCs w:val="20"/>
                <w:color w:val="auto"/>
              </w:rPr>
            </w:pPr>
            <w:r>
              <w:rPr>
                <w:rFonts w:ascii="Arial" w:cs="Arial" w:eastAsia="Arial" w:hAnsi="Arial"/>
                <w:sz w:val="18"/>
                <w:szCs w:val="18"/>
                <w:color w:val="auto"/>
              </w:rPr>
              <w:t>Fund LP(6)</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432,910</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432,910</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Accton Network (BVI) Co., Ltd.(7)</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106,831</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106,831</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BCS Growth Fund (Israel) L.P.(8)</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9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(Israeli Sub)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312,482</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312,482</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9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184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(Israeli Sub) Non Q LP(9)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28,886</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28,886</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JP Morgan Fund III (Israel) LP(9)</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91,249</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91,249</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Venture Capital Fund III</w:t>
            </w:r>
          </w:p>
        </w:tc>
        <w:tc>
          <w:tcPr>
            <w:tcW w:w="300" w:type="dxa"/>
            <w:vAlign w:val="bottom"/>
          </w:tcPr>
          <w:p>
            <w:pPr>
              <w:spacing w:after="0"/>
              <w:rPr>
                <w:sz w:val="18"/>
                <w:szCs w:val="18"/>
                <w:color w:val="auto"/>
              </w:rPr>
            </w:pPr>
          </w:p>
        </w:tc>
        <w:tc>
          <w:tcPr>
            <w:tcW w:w="23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(Israeli Investors) L.P.(9)</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85,178</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85,178</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Pitango Venture Capital Fund III Trusts 2000 Ltd.(9)</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22,034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22,034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Pitango Principals Fund III (Israel) L.P.(9)</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11,017</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11,017</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Shrem Fudim Kelner &amp; Co. Ltd.(10)</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Shrem Fudim Kelner (Founders Group) LP(11)</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Canada Israel Opportunity Fund III LP(12)</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3,748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3,748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Danrok Holdings Ltd.(13)</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2,810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2,810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August Capital III LP(14)</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562,083</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562,083</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Applied Micro Circuits Corporation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56,209</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56,209</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Zohar Gilon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20,248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20,248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Yair Tauman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10,631</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10,631</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Dalia Lev</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2,531</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2,531</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Livi Apel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5,061</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5,061</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w w:val="96"/>
              </w:rPr>
              <w:t>Amos and Daughter Investments and Properties Ltd.(15)</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7,087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7,087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Hanigal Investments (1997) Ltd.(16)</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10,125</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10,125</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Shay Kamin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545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545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Jacob Zankel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132,858</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132,858</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Orly Moran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925</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925</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Naftali Tannin</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1,804</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1,804</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Barak Henig</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2,059</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2,059</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Hannan Uliel</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840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840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Hadar Tal</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1,787</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1,787</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Luo Xuefeng</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1,572</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1,572</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Ilan Kieselstein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3,898</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3,898</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Ezra Ram</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780</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780</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tcPr>
          <w:p>
            <w:pPr>
              <w:spacing w:after="0"/>
              <w:rPr>
                <w:sz w:val="20"/>
                <w:szCs w:val="20"/>
                <w:color w:val="auto"/>
              </w:rPr>
            </w:pPr>
            <w:r>
              <w:rPr>
                <w:rFonts w:ascii="Arial" w:cs="Arial" w:eastAsia="Arial" w:hAnsi="Arial"/>
                <w:sz w:val="18"/>
                <w:szCs w:val="18"/>
                <w:color w:val="auto"/>
              </w:rPr>
              <w:t>Alex Burman</w:t>
            </w:r>
          </w:p>
        </w:tc>
        <w:tc>
          <w:tcPr>
            <w:tcW w:w="2600" w:type="dxa"/>
            <w:vAlign w:val="bottom"/>
            <w:gridSpan w:val="2"/>
          </w:tcPr>
          <w:p>
            <w:pPr>
              <w:jc w:val="right"/>
              <w:ind w:right="792"/>
              <w:spacing w:after="0"/>
              <w:rPr>
                <w:sz w:val="20"/>
                <w:szCs w:val="20"/>
                <w:color w:val="auto"/>
              </w:rPr>
            </w:pPr>
            <w:r>
              <w:rPr>
                <w:rFonts w:ascii="Arial" w:cs="Arial" w:eastAsia="Arial" w:hAnsi="Arial"/>
                <w:sz w:val="18"/>
                <w:szCs w:val="18"/>
                <w:color w:val="auto"/>
              </w:rPr>
              <w:t>604</w:t>
            </w:r>
          </w:p>
        </w:tc>
        <w:tc>
          <w:tcPr>
            <w:tcW w:w="228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4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80" w:type="dxa"/>
            <w:vAlign w:val="bottom"/>
            <w:shd w:val="clear" w:color="auto" w:fill="EEEEEE"/>
          </w:tcPr>
          <w:p>
            <w:pPr>
              <w:spacing w:after="0"/>
              <w:rPr>
                <w:sz w:val="20"/>
                <w:szCs w:val="20"/>
                <w:color w:val="auto"/>
              </w:rPr>
            </w:pPr>
            <w:r>
              <w:rPr>
                <w:rFonts w:ascii="Arial" w:cs="Arial" w:eastAsia="Arial" w:hAnsi="Arial"/>
                <w:sz w:val="18"/>
                <w:szCs w:val="18"/>
                <w:color w:val="auto"/>
              </w:rPr>
              <w:t>Alexander Chuzhoy</w:t>
            </w:r>
          </w:p>
        </w:tc>
        <w:tc>
          <w:tcPr>
            <w:tcW w:w="2600" w:type="dxa"/>
            <w:vAlign w:val="bottom"/>
            <w:gridSpan w:val="2"/>
            <w:shd w:val="clear" w:color="auto" w:fill="EEEEEE"/>
          </w:tcPr>
          <w:p>
            <w:pPr>
              <w:jc w:val="right"/>
              <w:ind w:right="792"/>
              <w:spacing w:after="0"/>
              <w:rPr>
                <w:sz w:val="20"/>
                <w:szCs w:val="20"/>
                <w:color w:val="auto"/>
              </w:rPr>
            </w:pPr>
            <w:r>
              <w:rPr>
                <w:rFonts w:ascii="Arial" w:cs="Arial" w:eastAsia="Arial" w:hAnsi="Arial"/>
                <w:sz w:val="18"/>
                <w:szCs w:val="18"/>
                <w:color w:val="auto"/>
              </w:rPr>
              <w:t>497</w:t>
            </w:r>
          </w:p>
        </w:tc>
        <w:tc>
          <w:tcPr>
            <w:tcW w:w="228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497</w:t>
            </w:r>
          </w:p>
        </w:tc>
        <w:tc>
          <w:tcPr>
            <w:tcW w:w="214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380" w:type="dxa"/>
            <w:vAlign w:val="bottom"/>
          </w:tcPr>
          <w:p>
            <w:pPr>
              <w:spacing w:after="0"/>
              <w:rPr>
                <w:sz w:val="24"/>
                <w:szCs w:val="24"/>
                <w:color w:val="auto"/>
              </w:rPr>
            </w:pPr>
          </w:p>
        </w:tc>
        <w:tc>
          <w:tcPr>
            <w:tcW w:w="2600" w:type="dxa"/>
            <w:vAlign w:val="bottom"/>
            <w:gridSpan w:val="2"/>
          </w:tcPr>
          <w:p>
            <w:pPr>
              <w:jc w:val="right"/>
              <w:ind w:right="1132"/>
              <w:spacing w:after="0"/>
              <w:rPr>
                <w:sz w:val="20"/>
                <w:szCs w:val="20"/>
                <w:color w:val="auto"/>
              </w:rPr>
            </w:pPr>
            <w:r>
              <w:rPr>
                <w:rFonts w:ascii="Arial" w:cs="Arial" w:eastAsia="Arial" w:hAnsi="Arial"/>
                <w:sz w:val="18"/>
                <w:szCs w:val="18"/>
                <w:color w:val="auto"/>
              </w:rPr>
              <w:t>19</w:t>
            </w:r>
          </w:p>
        </w:tc>
        <w:tc>
          <w:tcPr>
            <w:tcW w:w="3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3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3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1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Owned Prior To</w:t>
            </w:r>
          </w:p>
        </w:tc>
        <w:tc>
          <w:tcPr>
            <w:tcW w:w="320" w:type="dxa"/>
            <w:vAlign w:val="bottom"/>
          </w:tcPr>
          <w:p>
            <w:pPr>
              <w:spacing w:after="0"/>
              <w:rPr>
                <w:sz w:val="12"/>
                <w:szCs w:val="12"/>
                <w:color w:val="auto"/>
              </w:rPr>
            </w:pPr>
          </w:p>
        </w:tc>
        <w:tc>
          <w:tcPr>
            <w:tcW w:w="1840" w:type="dxa"/>
            <w:vAlign w:val="bottom"/>
          </w:tcPr>
          <w:p>
            <w:pPr>
              <w:jc w:val="right"/>
              <w:ind w:right="31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9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560" w:type="dxa"/>
            <w:vAlign w:val="bottom"/>
          </w:tcPr>
          <w:p>
            <w:pPr>
              <w:ind w:left="168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14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20" w:type="dxa"/>
            <w:vAlign w:val="bottom"/>
          </w:tcPr>
          <w:p>
            <w:pPr>
              <w:spacing w:after="0"/>
              <w:rPr>
                <w:sz w:val="15"/>
                <w:szCs w:val="15"/>
                <w:color w:val="auto"/>
              </w:rPr>
            </w:pPr>
          </w:p>
        </w:tc>
        <w:tc>
          <w:tcPr>
            <w:tcW w:w="1840" w:type="dxa"/>
            <w:vAlign w:val="bottom"/>
          </w:tcPr>
          <w:p>
            <w:pPr>
              <w:jc w:val="right"/>
              <w:ind w:right="43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90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5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5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Alex Thanski</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557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557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Alexander Lifshits</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Alon Harel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1,007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1,007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Amit Karten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754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754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Ariel Ein Mor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Avi Shif</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Eyal Kosovski</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Benzion Elyashar</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Danny Sborovsky</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Doron Rozental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581</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581</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Emanuel Reyzer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Eyal Hilel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Gad Ever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Gadi Eizenberg</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Gil Shevach</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1,025</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1,025</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Gil Raz</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579</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579</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Ilan Finkelstein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Ilan Elmaliah</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Irit Eilon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Ovadia Itzik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Ithak Chen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255</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255</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Yitshak Goldbum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547</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547</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Yekaterina Linker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331</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331</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Kfir Gerti</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Cfir Maimon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613</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613</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Anat Koren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1,263</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1,263</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Leonid Guberman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Liav Leshem</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Lior Avitan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497</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497</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Lior Ronen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Lubov Braverman</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Michael Shvarsland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Michael Rachamim</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Moshe Yechezkael</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666</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Nachum Vilner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Noam Shaked</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Octavia Pichl</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Or Grushka</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538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Revital Malka</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692</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692</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Roman Kleinerman</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742</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742</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Ron Auster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604</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tcPr>
          <w:p>
            <w:pPr>
              <w:spacing w:after="0"/>
              <w:rPr>
                <w:sz w:val="20"/>
                <w:szCs w:val="20"/>
                <w:color w:val="auto"/>
              </w:rPr>
            </w:pPr>
            <w:r>
              <w:rPr>
                <w:rFonts w:ascii="Arial" w:cs="Arial" w:eastAsia="Arial" w:hAnsi="Arial"/>
                <w:sz w:val="18"/>
                <w:szCs w:val="18"/>
                <w:color w:val="auto"/>
              </w:rPr>
              <w:t>Sveta Gorelik</w:t>
            </w:r>
          </w:p>
        </w:tc>
        <w:tc>
          <w:tcPr>
            <w:tcW w:w="2460" w:type="dxa"/>
            <w:vAlign w:val="bottom"/>
            <w:gridSpan w:val="2"/>
          </w:tcPr>
          <w:p>
            <w:pPr>
              <w:jc w:val="right"/>
              <w:ind w:right="812"/>
              <w:spacing w:after="0"/>
              <w:rPr>
                <w:sz w:val="20"/>
                <w:szCs w:val="20"/>
                <w:color w:val="auto"/>
              </w:rPr>
            </w:pPr>
            <w:r>
              <w:rPr>
                <w:rFonts w:ascii="Arial" w:cs="Arial" w:eastAsia="Arial" w:hAnsi="Arial"/>
                <w:sz w:val="18"/>
                <w:szCs w:val="18"/>
                <w:color w:val="auto"/>
              </w:rPr>
              <w:t>548</w:t>
            </w:r>
          </w:p>
        </w:tc>
        <w:tc>
          <w:tcPr>
            <w:tcW w:w="2160" w:type="dxa"/>
            <w:vAlign w:val="bottom"/>
            <w:gridSpan w:val="2"/>
          </w:tcPr>
          <w:p>
            <w:pPr>
              <w:jc w:val="right"/>
              <w:ind w:right="592"/>
              <w:spacing w:after="0"/>
              <w:rPr>
                <w:sz w:val="20"/>
                <w:szCs w:val="20"/>
                <w:color w:val="auto"/>
              </w:rPr>
            </w:pPr>
            <w:r>
              <w:rPr>
                <w:rFonts w:ascii="Arial" w:cs="Arial" w:eastAsia="Arial" w:hAnsi="Arial"/>
                <w:sz w:val="18"/>
                <w:szCs w:val="18"/>
                <w:color w:val="auto"/>
              </w:rPr>
              <w:t>548</w:t>
            </w:r>
          </w:p>
        </w:tc>
        <w:tc>
          <w:tcPr>
            <w:tcW w:w="2220" w:type="dxa"/>
            <w:vAlign w:val="bottom"/>
            <w:gridSpan w:val="2"/>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60" w:type="dxa"/>
            <w:vAlign w:val="bottom"/>
            <w:shd w:val="clear" w:color="auto" w:fill="EEEEEE"/>
          </w:tcPr>
          <w:p>
            <w:pPr>
              <w:spacing w:after="0"/>
              <w:rPr>
                <w:sz w:val="20"/>
                <w:szCs w:val="20"/>
                <w:color w:val="auto"/>
              </w:rPr>
            </w:pPr>
            <w:r>
              <w:rPr>
                <w:rFonts w:ascii="Arial" w:cs="Arial" w:eastAsia="Arial" w:hAnsi="Arial"/>
                <w:sz w:val="18"/>
                <w:szCs w:val="18"/>
                <w:color w:val="auto"/>
              </w:rPr>
              <w:t>Sharon Meir</w:t>
            </w:r>
          </w:p>
        </w:tc>
        <w:tc>
          <w:tcPr>
            <w:tcW w:w="246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742</w:t>
            </w:r>
          </w:p>
        </w:tc>
        <w:tc>
          <w:tcPr>
            <w:tcW w:w="2160" w:type="dxa"/>
            <w:vAlign w:val="bottom"/>
            <w:gridSpan w:val="2"/>
            <w:shd w:val="clear" w:color="auto" w:fill="EEEEEE"/>
          </w:tcPr>
          <w:p>
            <w:pPr>
              <w:jc w:val="right"/>
              <w:ind w:right="592"/>
              <w:spacing w:after="0"/>
              <w:rPr>
                <w:sz w:val="20"/>
                <w:szCs w:val="20"/>
                <w:color w:val="auto"/>
              </w:rPr>
            </w:pPr>
            <w:r>
              <w:rPr>
                <w:rFonts w:ascii="Arial" w:cs="Arial" w:eastAsia="Arial" w:hAnsi="Arial"/>
                <w:sz w:val="18"/>
                <w:szCs w:val="18"/>
                <w:color w:val="auto"/>
              </w:rPr>
              <w:t>742</w:t>
            </w:r>
          </w:p>
        </w:tc>
        <w:tc>
          <w:tcPr>
            <w:tcW w:w="2220" w:type="dxa"/>
            <w:vAlign w:val="bottom"/>
            <w:gridSpan w:val="2"/>
            <w:shd w:val="clear" w:color="auto" w:fill="EEEEEE"/>
          </w:tcPr>
          <w:p>
            <w:pPr>
              <w:jc w:val="right"/>
              <w:ind w:right="71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2460" w:type="dxa"/>
            <w:vAlign w:val="bottom"/>
            <w:gridSpan w:val="2"/>
          </w:tcPr>
          <w:p>
            <w:pPr>
              <w:jc w:val="right"/>
              <w:ind w:right="1172"/>
              <w:spacing w:after="0"/>
              <w:rPr>
                <w:sz w:val="20"/>
                <w:szCs w:val="20"/>
                <w:color w:val="auto"/>
              </w:rPr>
            </w:pPr>
            <w:r>
              <w:rPr>
                <w:rFonts w:ascii="Arial" w:cs="Arial" w:eastAsia="Arial" w:hAnsi="Arial"/>
                <w:sz w:val="18"/>
                <w:szCs w:val="18"/>
                <w:color w:val="auto"/>
              </w:rPr>
              <w:t>20</w:t>
            </w:r>
          </w:p>
        </w:tc>
        <w:tc>
          <w:tcPr>
            <w:tcW w:w="32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56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1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80" w:type="dxa"/>
            <w:vAlign w:val="bottom"/>
          </w:tcPr>
          <w:p>
            <w:pPr>
              <w:ind w:left="164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Shiri Bar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Lili Segev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Tal Shiff</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Tamar Ilani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Matty Toker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1,451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1,451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Vadim Timakov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Victor Ryabchin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Yakov Treister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Yevgeny Yanovsky</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Yedidia Falk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732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732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Yehiel Reeb</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Judith Huller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449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449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Yehonatan Maidenberg</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Yuval Bar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538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538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Zach Marco</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Alex Mikunis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Boaz Kahana</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5,394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5,394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Galit Volpert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3,309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3,309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Michael Indenbaum</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27,914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27,914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Meir Gersi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Moshe Arad</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3,541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3,541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Moshe Shaul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2,494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2,494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Mordechai Avni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5,760</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5,760</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Oleg Pinchuk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3,205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3,205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Ronen Tausi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4,142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4,142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Ronen Redman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5,880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5,880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Vitaly Vovnoboy</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6,881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6,881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Vladimir Avanessian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3,487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3,487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Udi Yehezkel</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4,207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4,207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Aharon Gadot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Amnon Even Zohar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1,627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1,627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Ariel Avrahami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773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773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Arie Elia</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2,801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2,801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Boris Shehter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Ofir Gal</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1,135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1,135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Galit Efraty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Gil Siso</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1,954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1,954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Giora Kaplinski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2,742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2,742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Robert Goldschlager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3,884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3,884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Gai Nachum</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760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760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Igor Miroshnik</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595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595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Michael Bogachek</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1,856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1,856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Natan Lugasi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2,387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2,387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48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21</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4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80" w:type="dxa"/>
            <w:vAlign w:val="bottom"/>
          </w:tcPr>
          <w:p>
            <w:pPr>
              <w:ind w:left="164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4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48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Nathan Iarovich</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1,622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1,622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Ofer Rashuk-Rosenthal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Oren Viner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1,804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1,804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Ori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2,453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2,453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Omer Radin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3,067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3,067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Ran Dar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Shay Zuker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Shlomo Pongratz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Yair Golan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1,202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1,202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Evgeni Zetserov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2,072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2,072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Adi Kachal</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742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742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Amos Melnikov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Ariel Cohen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Ariel Gilman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681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681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Eldad Winkler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766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766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Eran Zwilling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2,188</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2,188</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Nimrod Stern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955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955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Ronen Cojocaru</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801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801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Tsahi Bronshter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666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666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Nir Yona Richtiger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Gadi Hutt</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Amos Soffer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Omer Lado</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Alex Dverin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Doron Nevipur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Avi Goldberg</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Tal-Sarit Zubakov-Cohen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Gil Osovsky</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336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336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Jehudit Shimoni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Gali Darei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Yaniv Inbar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Hanoch Raviv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1,911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1,911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Shelly Aks</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1,233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1,233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Tally Kaplan Porat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1,034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1,034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Amnon Ptashek</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6,174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6,174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Ronny Shalev</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4,950</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4,950</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Francis Petersen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6,089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6,089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Wayne Lieberman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23,325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23,325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Michael Zimmerman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933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933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Zion Benodis</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1,885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1,885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Michael Orr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5,265</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5,265</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tcPr>
          <w:p>
            <w:pPr>
              <w:spacing w:after="0"/>
              <w:rPr>
                <w:sz w:val="20"/>
                <w:szCs w:val="20"/>
                <w:color w:val="auto"/>
              </w:rPr>
            </w:pPr>
            <w:r>
              <w:rPr>
                <w:rFonts w:ascii="Arial" w:cs="Arial" w:eastAsia="Arial" w:hAnsi="Arial"/>
                <w:sz w:val="18"/>
                <w:szCs w:val="18"/>
                <w:color w:val="auto"/>
              </w:rPr>
              <w:t>Yaron Shachal</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7,545</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7,545</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shd w:val="clear" w:color="auto" w:fill="EEEEEE"/>
          </w:tcPr>
          <w:p>
            <w:pPr>
              <w:spacing w:after="0"/>
              <w:rPr>
                <w:sz w:val="20"/>
                <w:szCs w:val="20"/>
                <w:color w:val="auto"/>
              </w:rPr>
            </w:pPr>
            <w:r>
              <w:rPr>
                <w:rFonts w:ascii="Arial" w:cs="Arial" w:eastAsia="Arial" w:hAnsi="Arial"/>
                <w:sz w:val="18"/>
                <w:szCs w:val="18"/>
                <w:color w:val="auto"/>
              </w:rPr>
              <w:t>Tal Anker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6,238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6,238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4480" w:type="dxa"/>
            <w:vAlign w:val="bottom"/>
          </w:tcPr>
          <w:p>
            <w:pPr>
              <w:spacing w:after="0"/>
              <w:rPr>
                <w:sz w:val="24"/>
                <w:szCs w:val="24"/>
                <w:color w:val="auto"/>
              </w:rPr>
            </w:pPr>
          </w:p>
        </w:tc>
        <w:tc>
          <w:tcPr>
            <w:tcW w:w="2540" w:type="dxa"/>
            <w:vAlign w:val="bottom"/>
            <w:gridSpan w:val="2"/>
          </w:tcPr>
          <w:p>
            <w:pPr>
              <w:jc w:val="right"/>
              <w:ind w:right="1172"/>
              <w:spacing w:after="0"/>
              <w:rPr>
                <w:sz w:val="20"/>
                <w:szCs w:val="20"/>
                <w:color w:val="auto"/>
              </w:rPr>
            </w:pPr>
            <w:r>
              <w:rPr>
                <w:rFonts w:ascii="Arial" w:cs="Arial" w:eastAsia="Arial" w:hAnsi="Arial"/>
                <w:sz w:val="18"/>
                <w:szCs w:val="18"/>
                <w:color w:val="auto"/>
              </w:rPr>
              <w:t>22</w:t>
            </w:r>
          </w:p>
        </w:tc>
        <w:tc>
          <w:tcPr>
            <w:tcW w:w="3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448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222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190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1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300" w:type="dxa"/>
            <w:vAlign w:val="bottom"/>
          </w:tcPr>
          <w:p>
            <w:pPr>
              <w:spacing w:after="0"/>
              <w:rPr>
                <w:sz w:val="14"/>
                <w:szCs w:val="14"/>
                <w:color w:val="auto"/>
              </w:rPr>
            </w:pPr>
          </w:p>
        </w:tc>
        <w:tc>
          <w:tcPr>
            <w:tcW w:w="19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85"/>
              </w:rPr>
              <w:t>Shares Beneficially</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2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Prior To</w:t>
            </w:r>
          </w:p>
        </w:tc>
        <w:tc>
          <w:tcPr>
            <w:tcW w:w="300" w:type="dxa"/>
            <w:vAlign w:val="bottom"/>
          </w:tcPr>
          <w:p>
            <w:pPr>
              <w:spacing w:after="0"/>
              <w:rPr>
                <w:sz w:val="12"/>
                <w:szCs w:val="12"/>
                <w:color w:val="auto"/>
              </w:rPr>
            </w:pPr>
          </w:p>
        </w:tc>
        <w:tc>
          <w:tcPr>
            <w:tcW w:w="1900" w:type="dxa"/>
            <w:vAlign w:val="bottom"/>
          </w:tcPr>
          <w:p>
            <w:pPr>
              <w:jc w:val="right"/>
              <w:ind w:right="352"/>
              <w:spacing w:after="0" w:line="149" w:lineRule="exact"/>
              <w:rPr>
                <w:sz w:val="20"/>
                <w:szCs w:val="20"/>
                <w:color w:val="auto"/>
              </w:rPr>
            </w:pPr>
            <w:r>
              <w:rPr>
                <w:rFonts w:ascii="Arial" w:cs="Arial" w:eastAsia="Arial" w:hAnsi="Arial"/>
                <w:sz w:val="14"/>
                <w:szCs w:val="14"/>
                <w:b w:val="1"/>
                <w:bCs w:val="1"/>
                <w:color w:val="auto"/>
              </w:rPr>
              <w:t>Number of Shares</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Owned After</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480" w:type="dxa"/>
            <w:vAlign w:val="bottom"/>
            <w:gridSpan w:val="2"/>
          </w:tcPr>
          <w:p>
            <w:pPr>
              <w:ind w:left="1640"/>
              <w:spacing w:after="0"/>
              <w:rPr>
                <w:sz w:val="20"/>
                <w:szCs w:val="20"/>
                <w:color w:val="auto"/>
              </w:rPr>
            </w:pPr>
            <w:r>
              <w:rPr>
                <w:rFonts w:ascii="Arial" w:cs="Arial" w:eastAsia="Arial" w:hAnsi="Arial"/>
                <w:sz w:val="14"/>
                <w:szCs w:val="14"/>
                <w:b w:val="1"/>
                <w:bCs w:val="1"/>
                <w:color w:val="auto"/>
              </w:rPr>
              <w:t>Selling Shareholders</w:t>
            </w:r>
          </w:p>
        </w:tc>
        <w:tc>
          <w:tcPr>
            <w:tcW w:w="320" w:type="dxa"/>
            <w:vAlign w:val="bottom"/>
          </w:tcPr>
          <w:p>
            <w:pPr>
              <w:spacing w:after="0"/>
              <w:rPr>
                <w:sz w:val="15"/>
                <w:szCs w:val="15"/>
                <w:color w:val="auto"/>
              </w:rPr>
            </w:pPr>
          </w:p>
        </w:tc>
        <w:tc>
          <w:tcPr>
            <w:tcW w:w="222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300" w:type="dxa"/>
            <w:vAlign w:val="bottom"/>
          </w:tcPr>
          <w:p>
            <w:pPr>
              <w:spacing w:after="0"/>
              <w:rPr>
                <w:sz w:val="15"/>
                <w:szCs w:val="15"/>
                <w:color w:val="auto"/>
              </w:rPr>
            </w:pPr>
          </w:p>
        </w:tc>
        <w:tc>
          <w:tcPr>
            <w:tcW w:w="1900" w:type="dxa"/>
            <w:vAlign w:val="bottom"/>
          </w:tcPr>
          <w:p>
            <w:pPr>
              <w:jc w:val="right"/>
              <w:ind w:right="472"/>
              <w:spacing w:after="0"/>
              <w:rPr>
                <w:sz w:val="20"/>
                <w:szCs w:val="20"/>
                <w:color w:val="auto"/>
              </w:rPr>
            </w:pPr>
            <w:r>
              <w:rPr>
                <w:rFonts w:ascii="Arial" w:cs="Arial" w:eastAsia="Arial" w:hAnsi="Arial"/>
                <w:sz w:val="14"/>
                <w:szCs w:val="14"/>
                <w:b w:val="1"/>
                <w:bCs w:val="1"/>
                <w:color w:val="auto"/>
              </w:rPr>
              <w:t>Being Offered</w:t>
            </w:r>
          </w:p>
        </w:tc>
        <w:tc>
          <w:tcPr>
            <w:tcW w:w="320" w:type="dxa"/>
            <w:vAlign w:val="bottom"/>
          </w:tcPr>
          <w:p>
            <w:pPr>
              <w:spacing w:after="0"/>
              <w:rPr>
                <w:sz w:val="15"/>
                <w:szCs w:val="15"/>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1"/>
              </w:rPr>
              <w:t>Offering</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Borders>
              <w:bottom w:val="single" w:sz="8" w:color="808080"/>
            </w:tcBorders>
          </w:tcPr>
          <w:p>
            <w:pPr>
              <w:spacing w:after="0"/>
              <w:rPr>
                <w:sz w:val="8"/>
                <w:szCs w:val="8"/>
                <w:color w:val="auto"/>
              </w:rPr>
            </w:pPr>
          </w:p>
        </w:tc>
        <w:tc>
          <w:tcPr>
            <w:tcW w:w="242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2420" w:type="dxa"/>
            <w:vAlign w:val="bottom"/>
          </w:tcPr>
          <w:p>
            <w:pPr>
              <w:spacing w:after="0"/>
              <w:rPr>
                <w:sz w:val="8"/>
                <w:szCs w:val="8"/>
                <w:color w:val="auto"/>
              </w:rPr>
            </w:pPr>
          </w:p>
        </w:tc>
        <w:tc>
          <w:tcPr>
            <w:tcW w:w="320" w:type="dxa"/>
            <w:vAlign w:val="bottom"/>
          </w:tcPr>
          <w:p>
            <w:pPr>
              <w:spacing w:after="0"/>
              <w:rPr>
                <w:sz w:val="8"/>
                <w:szCs w:val="8"/>
                <w:color w:val="auto"/>
              </w:rPr>
            </w:pPr>
          </w:p>
        </w:tc>
        <w:tc>
          <w:tcPr>
            <w:tcW w:w="2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Errol Brodie</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1,606</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1,606</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Ilan Hagai</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2,099</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2,099</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Ilan Yerushalmi</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1,849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1,849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Izhack Gavra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1,664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1,664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Maria Khlud</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859</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859</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Anna Marie Black-Shoshan</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504</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504</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Amy Fredj</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1,511</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1,511</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Amit Paz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727</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727</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Rina Cohen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277</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277</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Lizy Delaricha</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1,252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1,252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Anat Berlin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403</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403</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Arkady Katz</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35,092</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35,092</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Yuval Cohen</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39,502</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39,502</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Emi Scliar</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5,106</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5,106</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Eli Fux</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35,244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35,244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Simcha Gutgold</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21,463</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21,463</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Udi Abramovich</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18</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18</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tcPr>
          <w:p>
            <w:pPr>
              <w:spacing w:after="0"/>
              <w:rPr>
                <w:sz w:val="20"/>
                <w:szCs w:val="20"/>
                <w:color w:val="auto"/>
              </w:rPr>
            </w:pPr>
            <w:r>
              <w:rPr>
                <w:rFonts w:ascii="Arial" w:cs="Arial" w:eastAsia="Arial" w:hAnsi="Arial"/>
                <w:sz w:val="18"/>
                <w:szCs w:val="18"/>
                <w:color w:val="auto"/>
              </w:rPr>
              <w:t>Yoram Valent</w:t>
            </w:r>
          </w:p>
        </w:tc>
        <w:tc>
          <w:tcPr>
            <w:tcW w:w="2540" w:type="dxa"/>
            <w:vAlign w:val="bottom"/>
            <w:gridSpan w:val="2"/>
          </w:tcPr>
          <w:p>
            <w:pPr>
              <w:jc w:val="right"/>
              <w:ind w:right="812"/>
              <w:spacing w:after="0"/>
              <w:rPr>
                <w:sz w:val="20"/>
                <w:szCs w:val="20"/>
                <w:color w:val="auto"/>
              </w:rPr>
            </w:pPr>
            <w:r>
              <w:rPr>
                <w:rFonts w:ascii="Arial" w:cs="Arial" w:eastAsia="Arial" w:hAnsi="Arial"/>
                <w:sz w:val="18"/>
                <w:szCs w:val="18"/>
                <w:color w:val="auto"/>
              </w:rPr>
              <w:t>31,661</w:t>
            </w:r>
          </w:p>
        </w:tc>
        <w:tc>
          <w:tcPr>
            <w:tcW w:w="2200" w:type="dxa"/>
            <w:vAlign w:val="bottom"/>
            <w:gridSpan w:val="2"/>
          </w:tcPr>
          <w:p>
            <w:pPr>
              <w:jc w:val="right"/>
              <w:ind w:right="572"/>
              <w:spacing w:after="0"/>
              <w:rPr>
                <w:sz w:val="20"/>
                <w:szCs w:val="20"/>
                <w:color w:val="auto"/>
              </w:rPr>
            </w:pPr>
            <w:r>
              <w:rPr>
                <w:rFonts w:ascii="Arial" w:cs="Arial" w:eastAsia="Arial" w:hAnsi="Arial"/>
                <w:sz w:val="18"/>
                <w:szCs w:val="18"/>
                <w:color w:val="auto"/>
              </w:rPr>
              <w:t>31,661</w:t>
            </w:r>
          </w:p>
        </w:tc>
        <w:tc>
          <w:tcPr>
            <w:tcW w:w="2180" w:type="dxa"/>
            <w:vAlign w:val="bottom"/>
            <w:gridSpan w:val="2"/>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Yossi Amir</w:t>
            </w:r>
          </w:p>
        </w:tc>
        <w:tc>
          <w:tcPr>
            <w:tcW w:w="2540" w:type="dxa"/>
            <w:vAlign w:val="bottom"/>
            <w:gridSpan w:val="2"/>
            <w:shd w:val="clear" w:color="auto" w:fill="EEEEEE"/>
          </w:tcPr>
          <w:p>
            <w:pPr>
              <w:jc w:val="right"/>
              <w:ind w:right="812"/>
              <w:spacing w:after="0"/>
              <w:rPr>
                <w:sz w:val="20"/>
                <w:szCs w:val="20"/>
                <w:color w:val="auto"/>
              </w:rPr>
            </w:pPr>
            <w:r>
              <w:rPr>
                <w:rFonts w:ascii="Arial" w:cs="Arial" w:eastAsia="Arial" w:hAnsi="Arial"/>
                <w:sz w:val="18"/>
                <w:szCs w:val="18"/>
                <w:color w:val="auto"/>
              </w:rPr>
              <w:t>9,764</w:t>
            </w:r>
          </w:p>
        </w:tc>
        <w:tc>
          <w:tcPr>
            <w:tcW w:w="2200" w:type="dxa"/>
            <w:vAlign w:val="bottom"/>
            <w:gridSpan w:val="2"/>
            <w:shd w:val="clear" w:color="auto" w:fill="EEEEEE"/>
          </w:tcPr>
          <w:p>
            <w:pPr>
              <w:jc w:val="right"/>
              <w:ind w:right="572"/>
              <w:spacing w:after="0"/>
              <w:rPr>
                <w:sz w:val="20"/>
                <w:szCs w:val="20"/>
                <w:color w:val="auto"/>
              </w:rPr>
            </w:pPr>
            <w:r>
              <w:rPr>
                <w:rFonts w:ascii="Arial" w:cs="Arial" w:eastAsia="Arial" w:hAnsi="Arial"/>
                <w:sz w:val="18"/>
                <w:szCs w:val="18"/>
                <w:color w:val="auto"/>
              </w:rPr>
              <w:t>9,764</w:t>
            </w:r>
          </w:p>
        </w:tc>
        <w:tc>
          <w:tcPr>
            <w:tcW w:w="2180" w:type="dxa"/>
            <w:vAlign w:val="bottom"/>
            <w:gridSpan w:val="2"/>
            <w:shd w:val="clear" w:color="auto" w:fill="EEEEEE"/>
          </w:tcPr>
          <w:p>
            <w:pPr>
              <w:jc w:val="right"/>
              <w:ind w:right="692"/>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060" w:type="dxa"/>
            <w:vAlign w:val="bottom"/>
            <w:tcBorders>
              <w:bottom w:val="single" w:sz="8" w:color="808080"/>
            </w:tcBorders>
          </w:tcPr>
          <w:p>
            <w:pPr>
              <w:spacing w:after="0"/>
              <w:rPr>
                <w:sz w:val="18"/>
                <w:szCs w:val="18"/>
                <w:color w:val="auto"/>
              </w:rPr>
            </w:pPr>
          </w:p>
        </w:tc>
        <w:tc>
          <w:tcPr>
            <w:tcW w:w="24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86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8" w:lineRule="exact"/>
        <w:rPr>
          <w:sz w:val="20"/>
          <w:szCs w:val="20"/>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Zohar Zisapel possesses sole voting and dispositive power with respect to the listed shares.</w:t>
      </w:r>
    </w:p>
    <w:p>
      <w:pPr>
        <w:spacing w:after="0" w:line="279" w:lineRule="exact"/>
        <w:rPr>
          <w:rFonts w:ascii="Arial" w:cs="Arial" w:eastAsia="Arial" w:hAnsi="Arial"/>
          <w:sz w:val="18"/>
          <w:szCs w:val="18"/>
          <w:color w:val="auto"/>
        </w:rPr>
      </w:pPr>
    </w:p>
    <w:p>
      <w:pPr>
        <w:ind w:left="580" w:hanging="450"/>
        <w:spacing w:after="0"/>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Yehuda Zisapel and Zohar Zisapel share voting and dispositive power with respect to the listed shares.</w:t>
      </w:r>
    </w:p>
    <w:p>
      <w:pPr>
        <w:spacing w:after="0" w:line="279" w:lineRule="exact"/>
        <w:rPr>
          <w:rFonts w:ascii="Arial" w:cs="Arial" w:eastAsia="Arial" w:hAnsi="Arial"/>
          <w:sz w:val="18"/>
          <w:szCs w:val="18"/>
          <w:color w:val="auto"/>
        </w:rPr>
      </w:pPr>
    </w:p>
    <w:p>
      <w:pPr>
        <w:ind w:left="580" w:right="8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Formula Ventures L.P., Formula Ventures (Israel) L.P. and FV-PEH L.P. are part of an affiliated group of investment entities, “Formula Ventures,” managed by Formula Ventures Ltd. and Formula Ventures Partners (Cayman Islands) Ltd. which are the beneficial owners. Michael Geiger, Yigal Erlich, Shai Beilis, Dan Goldstein and Nir Linchevski possess the voting and dispositive power with respect to the listed shares.</w:t>
      </w:r>
    </w:p>
    <w:p>
      <w:pPr>
        <w:spacing w:after="0" w:line="187" w:lineRule="exact"/>
        <w:rPr>
          <w:rFonts w:ascii="Arial" w:cs="Arial" w:eastAsia="Arial" w:hAnsi="Arial"/>
          <w:sz w:val="16"/>
          <w:szCs w:val="16"/>
          <w:color w:val="auto"/>
        </w:rPr>
      </w:pPr>
    </w:p>
    <w:p>
      <w:pPr>
        <w:ind w:left="580" w:hanging="450"/>
        <w:spacing w:after="0"/>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UBS Capital (Jersey) Ltd. is wholly owned by UBS AG. Formula Vertex Ltd. possesses the voting and dispositive power with respect to the listed shares.</w:t>
      </w:r>
    </w:p>
    <w:p>
      <w:pPr>
        <w:spacing w:after="0" w:line="302" w:lineRule="exact"/>
        <w:rPr>
          <w:rFonts w:ascii="Arial" w:cs="Arial" w:eastAsia="Arial" w:hAnsi="Arial"/>
          <w:sz w:val="16"/>
          <w:szCs w:val="16"/>
          <w:color w:val="auto"/>
        </w:rPr>
      </w:pPr>
    </w:p>
    <w:p>
      <w:pPr>
        <w:ind w:left="580" w:right="340" w:hanging="450"/>
        <w:spacing w:after="0" w:line="306"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HIPEP III — Direct Associates LLC is the General Partner of HarbourVest International Private Equity Partners III — Direct Fund L.P. HIPEP III — Direct Associates LLC is managed by HarbourVest Partners, LLC. The Managing Members of HarbourVest Partners, LLC are Edward W. Kane and D. Brooks Zug who possess the voting and dispositive power with respect to the listed shares.</w:t>
      </w:r>
    </w:p>
    <w:p>
      <w:pPr>
        <w:spacing w:after="0" w:line="187" w:lineRule="exact"/>
        <w:rPr>
          <w:rFonts w:ascii="Arial" w:cs="Arial" w:eastAsia="Arial" w:hAnsi="Arial"/>
          <w:sz w:val="16"/>
          <w:szCs w:val="16"/>
          <w:color w:val="auto"/>
        </w:rPr>
      </w:pPr>
    </w:p>
    <w:p>
      <w:pPr>
        <w:ind w:left="580" w:right="48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Accton Network (B.V.I.) Co. Ltd. is the beneficial owner. Yimin Doo, Fai-Long Kuo and An-Jye Huang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40" w:hanging="450"/>
        <w:spacing w:after="0" w:line="268" w:lineRule="auto"/>
        <w:tabs>
          <w:tab w:leader="none" w:pos="58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BCS Investment Company is the beneficial owner and along with its directors Benny Bergman, Itschak Shrem, Ram Caspi and Itschak Swary possess the ultimate voting and dispositive power with respect to the listed shares.</w:t>
      </w:r>
    </w:p>
    <w:p>
      <w:pPr>
        <w:spacing w:after="0" w:line="212" w:lineRule="exact"/>
        <w:rPr>
          <w:rFonts w:ascii="Arial" w:cs="Arial" w:eastAsia="Arial" w:hAnsi="Arial"/>
          <w:sz w:val="18"/>
          <w:szCs w:val="18"/>
          <w:color w:val="auto"/>
        </w:rPr>
      </w:pPr>
    </w:p>
    <w:p>
      <w:pPr>
        <w:ind w:left="580" w:right="380" w:hanging="450"/>
        <w:spacing w:after="0" w:line="298" w:lineRule="auto"/>
        <w:tabs>
          <w:tab w:leader="none" w:pos="580" w:val="left"/>
        </w:tabs>
        <w:numPr>
          <w:ilvl w:val="0"/>
          <w:numId w:val="11"/>
        </w:numPr>
        <w:rPr>
          <w:rFonts w:ascii="Arial" w:cs="Arial" w:eastAsia="Arial" w:hAnsi="Arial"/>
          <w:sz w:val="16"/>
          <w:szCs w:val="16"/>
          <w:color w:val="auto"/>
        </w:rPr>
      </w:pPr>
      <w:r>
        <w:rPr>
          <w:rFonts w:ascii="Arial" w:cs="Arial" w:eastAsia="Arial" w:hAnsi="Arial"/>
          <w:sz w:val="16"/>
          <w:szCs w:val="16"/>
          <w:color w:val="auto"/>
        </w:rPr>
        <w:t>Pitango V.C. Fund III GP is the general partner and beneficial owner of Pitango Venture Capital Fund III (Israeli Sub) L.P., Pintango Venture Capital Fund III (Israeli Sub) Non Q L.P., Pitango Venture Capital Fund III (Israeli Investors) L.P., Pitango JP Morgan Fund III (Israel) L.P., Pitango Venture Capital Fund III Trusts 2000 Ltd. and Pitango Principals Fund III (Israel) L.P. The partners of the General Partner are various companies, including companies each of which are solely owned by one of the following: Rami Beracha, Bruce Cocker, Isaac Hillel, Rami Kalish, Aaron Mankovski and</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580"/>
        <w:spacing w:after="0"/>
        <w:rPr>
          <w:sz w:val="20"/>
          <w:szCs w:val="20"/>
          <w:color w:val="auto"/>
        </w:rPr>
      </w:pPr>
      <w:r>
        <w:rPr>
          <w:rFonts w:ascii="Arial" w:cs="Arial" w:eastAsia="Arial" w:hAnsi="Arial"/>
          <w:sz w:val="18"/>
          <w:szCs w:val="18"/>
          <w:color w:val="auto"/>
        </w:rPr>
        <w:t>Chemi Peres (the “Principals”). All of the Principals possess the voting and dispositive power with respect to the listed shares.</w:t>
      </w:r>
    </w:p>
    <w:p>
      <w:pPr>
        <w:spacing w:after="0" w:line="252" w:lineRule="exact"/>
        <w:rPr>
          <w:sz w:val="20"/>
          <w:szCs w:val="20"/>
          <w:color w:val="auto"/>
        </w:rPr>
      </w:pPr>
    </w:p>
    <w:p>
      <w:pPr>
        <w:ind w:left="580" w:right="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&amp; Co. Ltd is the beneficial owner. The Board of Directors including Itschak Shrem, Yair Fudim, Rubin Zimmerman, Avraham Podhorzer, Ruth Amit-Fogel, Avner Cohen, Ronit Haimovitz and Elishva Milo possess the voting and dispositive power with respect to the listed shares.</w:t>
      </w:r>
    </w:p>
    <w:p>
      <w:pPr>
        <w:spacing w:after="0" w:line="166" w:lineRule="exact"/>
        <w:rPr>
          <w:rFonts w:ascii="Arial" w:cs="Arial" w:eastAsia="Arial" w:hAnsi="Arial"/>
          <w:sz w:val="16"/>
          <w:szCs w:val="16"/>
          <w:color w:val="auto"/>
        </w:rPr>
      </w:pPr>
    </w:p>
    <w:p>
      <w:pPr>
        <w:ind w:left="580" w:right="30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Shrem, Fudim, Kelner — Founders Group II Ltd is the General Partner and beneficial owner of Shrem Fudim Kelner (Founders Group) LP and along with its directors, Yair Fudim and Itschak Shrem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380" w:hanging="572"/>
        <w:spacing w:after="0" w:line="332" w:lineRule="auto"/>
        <w:tabs>
          <w:tab w:leader="none" w:pos="5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Israel Opportunity III Inc. is the General Partner and beneficial owner of Canada Israel Opportunity Fund III LP and along with its directors, Paul Morton, Henry Morton, Jim Hume, Itschak Shrem and Ofra Amir possess the ultimate voting and dispositive power with respect to the listed shares.</w:t>
      </w:r>
    </w:p>
    <w:p>
      <w:pPr>
        <w:spacing w:after="0" w:line="166" w:lineRule="exact"/>
        <w:rPr>
          <w:rFonts w:ascii="Arial" w:cs="Arial" w:eastAsia="Arial" w:hAnsi="Arial"/>
          <w:sz w:val="16"/>
          <w:szCs w:val="16"/>
          <w:color w:val="auto"/>
        </w:rPr>
      </w:pPr>
    </w:p>
    <w:p>
      <w:pPr>
        <w:ind w:left="580" w:right="240" w:hanging="572"/>
        <w:spacing w:after="0" w:line="268"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Danrock Holdings Ltd. is the beneficial owner of the listed shares. Ori Rosen and Avigdor Klagsbald possess the ultimate voting and dispositve power with respect to the listed shares.</w:t>
      </w:r>
    </w:p>
    <w:p>
      <w:pPr>
        <w:spacing w:after="0" w:line="212" w:lineRule="exact"/>
        <w:rPr>
          <w:rFonts w:ascii="Arial" w:cs="Arial" w:eastAsia="Arial" w:hAnsi="Arial"/>
          <w:sz w:val="18"/>
          <w:szCs w:val="18"/>
          <w:color w:val="auto"/>
        </w:rPr>
      </w:pPr>
    </w:p>
    <w:p>
      <w:pPr>
        <w:ind w:left="580" w:hanging="572"/>
        <w:spacing w:after="0" w:line="256" w:lineRule="auto"/>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August Capital III LP, August Capital III Founders Fund, L.P., August Capital Strategic Partners III, L.P. and August Capital Management III, L.P. are the beneficial owners of the listed shares. August Capital Management III, LLC is the General Partner of each of August Capital III LP and along with its investment members, David F. Marquardt, John Johnston and Andy Rappaport possess the ultimate voting and dispositive power with respect to the listed shares.</w:t>
      </w:r>
    </w:p>
    <w:p>
      <w:pPr>
        <w:spacing w:after="0" w:line="224"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Eri M. Steimatzky is the beneficial owner and possesses sole voting and dispositive power with respect to the listed shares.</w:t>
      </w:r>
    </w:p>
    <w:p>
      <w:pPr>
        <w:spacing w:after="0" w:line="252" w:lineRule="exact"/>
        <w:rPr>
          <w:rFonts w:ascii="Arial" w:cs="Arial" w:eastAsia="Arial" w:hAnsi="Arial"/>
          <w:sz w:val="18"/>
          <w:szCs w:val="18"/>
          <w:color w:val="auto"/>
        </w:rPr>
      </w:pPr>
    </w:p>
    <w:p>
      <w:pPr>
        <w:ind w:left="580" w:hanging="572"/>
        <w:spacing w:after="0"/>
        <w:tabs>
          <w:tab w:leader="none" w:pos="5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Benny Hanigal is the beneficial owner and possesses sole voting and dispositive power with respect to the listed shares.</w:t>
      </w:r>
    </w:p>
    <w:p>
      <w:pPr>
        <w:spacing w:after="0" w:line="21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PLAN OF DISTRIBUTION</w:t>
      </w:r>
    </w:p>
    <w:p>
      <w:pPr>
        <w:spacing w:after="0" w:line="258" w:lineRule="exact"/>
        <w:rPr>
          <w:sz w:val="20"/>
          <w:szCs w:val="20"/>
          <w:color w:val="auto"/>
        </w:rPr>
      </w:pPr>
    </w:p>
    <w:p>
      <w:pPr>
        <w:ind w:right="60" w:firstLine="324"/>
        <w:spacing w:after="0" w:line="290" w:lineRule="auto"/>
        <w:rPr>
          <w:sz w:val="20"/>
          <w:szCs w:val="20"/>
          <w:color w:val="auto"/>
        </w:rPr>
      </w:pPr>
      <w:r>
        <w:rPr>
          <w:rFonts w:ascii="Arial" w:cs="Arial" w:eastAsia="Arial" w:hAnsi="Arial"/>
          <w:sz w:val="16"/>
          <w:szCs w:val="16"/>
          <w:color w:val="auto"/>
        </w:rPr>
        <w:t>We are registering for resale the shares on behalf of the selling shareholders. The selling shareholders may offer and sell the shares covered by this prospectus at various times. As used in this prospectus, the term “selling shareholders” includes donees, pledgees, transferees or other successors-in-interest selling shares received from a named selling shareholder as a gift, partnership distribution, or other non-sale-related transfer after the date of this prospectus. The selling shareholders will act independently of Marvell in making decisions with respect to the timing, manner and size of each sale. The shares may be sold by or for the account of the selling shareholders in transactions on the Nasdaq National Market, the over-the-counter market, or otherwise. These sales may be made at fixed prices, at market prices prevailing at the time of sale, at prices related to prevailing market prices, or at negotiated prices. The shares may be sold by means of one or more of the following methods:</w:t>
      </w:r>
    </w:p>
    <w:p>
      <w:pPr>
        <w:spacing w:after="0" w:line="172" w:lineRule="exact"/>
        <w:rPr>
          <w:sz w:val="20"/>
          <w:szCs w:val="20"/>
          <w:color w:val="auto"/>
        </w:rPr>
      </w:pPr>
    </w:p>
    <w:p>
      <w:pPr>
        <w:ind w:left="46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block trade in which the broker-dealer so engaged will attempt to sell the shares as agent, but may position and resell a portion of the block as principal to facilitate the transaction;</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purchases by a broker-dealer as principal and resale by that broker-dealer for its account pursuant to this prospectus;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ordinary brokerage transactions on which the broker solicits purchasers;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after the registration statement becomes effective, in connection with short sales, in which the shares are redelivered to close out short positions;</w:t>
      </w:r>
    </w:p>
    <w:p>
      <w:pPr>
        <w:spacing w:after="0" w:line="302" w:lineRule="exact"/>
        <w:rPr>
          <w:rFonts w:ascii="Arial" w:cs="Arial" w:eastAsia="Arial" w:hAnsi="Arial"/>
          <w:sz w:val="16"/>
          <w:szCs w:val="16"/>
          <w:color w:val="auto"/>
        </w:rPr>
      </w:pPr>
    </w:p>
    <w:p>
      <w:pPr>
        <w:ind w:left="460" w:right="42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loan or pledge of shares registered hereunder to a broker-dealer, and the sale of the shares so loaned or the sale of the shares so pledged upon a default;</w:t>
      </w:r>
    </w:p>
    <w:p>
      <w:pPr>
        <w:spacing w:after="0" w:line="212" w:lineRule="exact"/>
        <w:rPr>
          <w:rFonts w:ascii="Arial" w:cs="Arial" w:eastAsia="Arial" w:hAnsi="Arial"/>
          <w:sz w:val="18"/>
          <w:szCs w:val="18"/>
          <w:color w:val="auto"/>
        </w:rPr>
      </w:pPr>
    </w:p>
    <w:p>
      <w:pPr>
        <w:ind w:left="460" w:right="60" w:hanging="101"/>
        <w:spacing w:after="0" w:line="268" w:lineRule="auto"/>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 connection with the writing of non-traded and exchange-traded call options, in hedge transactions and in settlement of other transactions in standardized or over-the-counter options;</w:t>
      </w:r>
    </w:p>
    <w:p>
      <w:pPr>
        <w:spacing w:after="0" w:line="212" w:lineRule="exact"/>
        <w:rPr>
          <w:rFonts w:ascii="Arial" w:cs="Arial" w:eastAsia="Arial" w:hAnsi="Arial"/>
          <w:sz w:val="18"/>
          <w:szCs w:val="18"/>
          <w:color w:val="auto"/>
        </w:rPr>
      </w:pPr>
    </w:p>
    <w:p>
      <w:pPr>
        <w:ind w:left="460" w:hanging="101"/>
        <w:spacing w:after="0"/>
        <w:tabs>
          <w:tab w:leader="none" w:pos="4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privately negotiated transactions; or</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 in a combination of any of the above methods.</w:t>
      </w:r>
    </w:p>
    <w:p>
      <w:pPr>
        <w:spacing w:after="0" w:line="279" w:lineRule="exact"/>
        <w:rPr>
          <w:sz w:val="20"/>
          <w:szCs w:val="20"/>
          <w:color w:val="auto"/>
        </w:rPr>
      </w:pPr>
    </w:p>
    <w:p>
      <w:pPr>
        <w:ind w:left="340"/>
        <w:spacing w:after="0"/>
        <w:rPr>
          <w:sz w:val="20"/>
          <w:szCs w:val="20"/>
          <w:color w:val="auto"/>
        </w:rPr>
      </w:pPr>
      <w:r>
        <w:rPr>
          <w:rFonts w:ascii="Arial" w:cs="Arial" w:eastAsia="Arial" w:hAnsi="Arial"/>
          <w:sz w:val="18"/>
          <w:szCs w:val="18"/>
          <w:color w:val="auto"/>
        </w:rPr>
        <w:t>If required, we will distribute a supplement to this prospectus to describe material changes in the terms of the offering.</w:t>
      </w:r>
    </w:p>
    <w:p>
      <w:pPr>
        <w:spacing w:after="0" w:line="252"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The selling shareholders may sell the shares described in this prospectus directly to purchasers or to or through broker-dealers, which may act as agents or principals. In effecting sales, broker-dealers engaged by the selling shareholders may arrange for other broker-dealers to participate in resales. Broker-dealers may receive compensation in the form of discounts, concessions or commissions from the selling shareholders or from the purchasers of the shares or from both. This compensation may exceed customary commissions. The selling shareholders may also transfer, devise or gift these shares by other means not described in this prospectus.</w:t>
      </w:r>
    </w:p>
    <w:p>
      <w:pPr>
        <w:spacing w:after="0" w:line="224" w:lineRule="exact"/>
        <w:rPr>
          <w:sz w:val="20"/>
          <w:szCs w:val="20"/>
          <w:color w:val="auto"/>
        </w:rPr>
      </w:pPr>
    </w:p>
    <w:p>
      <w:pPr>
        <w:ind w:right="140" w:firstLine="324"/>
        <w:spacing w:after="0" w:line="268" w:lineRule="auto"/>
        <w:rPr>
          <w:sz w:val="20"/>
          <w:szCs w:val="20"/>
          <w:color w:val="auto"/>
        </w:rPr>
      </w:pPr>
      <w:r>
        <w:rPr>
          <w:rFonts w:ascii="Arial" w:cs="Arial" w:eastAsia="Arial" w:hAnsi="Arial"/>
          <w:sz w:val="18"/>
          <w:szCs w:val="18"/>
          <w:color w:val="auto"/>
        </w:rPr>
        <w:t>The selling shareholders also may resell all or a portion of the shares covered by this prospectus that qualify for sale under Rule 144 of the Securities Act in open market transactions in reliance upon Rule 144 under the Securities Act.</w:t>
      </w:r>
    </w:p>
    <w:p>
      <w:pPr>
        <w:spacing w:after="0" w:line="213" w:lineRule="exact"/>
        <w:rPr>
          <w:sz w:val="20"/>
          <w:szCs w:val="20"/>
          <w:color w:val="auto"/>
        </w:rPr>
      </w:pPr>
    </w:p>
    <w:p>
      <w:pPr>
        <w:ind w:right="100" w:firstLine="324"/>
        <w:spacing w:after="0" w:line="256" w:lineRule="auto"/>
        <w:rPr>
          <w:sz w:val="20"/>
          <w:szCs w:val="20"/>
          <w:color w:val="auto"/>
        </w:rPr>
      </w:pPr>
      <w:r>
        <w:rPr>
          <w:rFonts w:ascii="Arial" w:cs="Arial" w:eastAsia="Arial" w:hAnsi="Arial"/>
          <w:sz w:val="18"/>
          <w:szCs w:val="18"/>
          <w:color w:val="auto"/>
        </w:rPr>
        <w:t>The selling shareholders have not advised us of any specific plans for the distribution of the shares covered by this prospectus. When and if we are notified by the selling shareholders that any material arrangement has been entered into with a broker-dealer or underwriter for the sale of a material portion of the shares covered by this prospectus, we will file a prospectus supplement or post-effective amendment to the registration statement with the SEC. This supplement or amendment will include the following information:</w:t>
      </w:r>
    </w:p>
    <w:p>
      <w:pPr>
        <w:spacing w:after="0" w:line="197" w:lineRule="exact"/>
        <w:rPr>
          <w:sz w:val="20"/>
          <w:szCs w:val="20"/>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name of the participating selling shareholder(s) and broker-dealer(s) or underwriters;</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number of shares involved;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price(s) at which the shares were sold;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commissions paid or discounts or concessions allowed by the selling shareholders to the broker-dealers or underwriters, if any; and</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other information material to the transaction.</w:t>
      </w:r>
    </w:p>
    <w:p>
      <w:pPr>
        <w:spacing w:after="0" w:line="279" w:lineRule="exact"/>
        <w:rPr>
          <w:sz w:val="20"/>
          <w:szCs w:val="20"/>
          <w:color w:val="auto"/>
        </w:rPr>
      </w:pPr>
    </w:p>
    <w:p>
      <w:pPr>
        <w:ind w:right="440" w:firstLine="324"/>
        <w:spacing w:after="0" w:line="268" w:lineRule="auto"/>
        <w:rPr>
          <w:sz w:val="20"/>
          <w:szCs w:val="20"/>
          <w:color w:val="auto"/>
        </w:rPr>
      </w:pPr>
      <w:r>
        <w:rPr>
          <w:rFonts w:ascii="Arial" w:cs="Arial" w:eastAsia="Arial" w:hAnsi="Arial"/>
          <w:sz w:val="18"/>
          <w:szCs w:val="18"/>
          <w:color w:val="auto"/>
        </w:rPr>
        <w:t>The selling shareholders shall have sole and absolute discretion not to accept any purchase, offer or make any sale if they deem the purchase price to be unsatisfactory at any particular time.</w:t>
      </w:r>
    </w:p>
    <w:p>
      <w:pPr>
        <w:spacing w:after="0" w:line="213"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The selling shareholders and any broker-dealers, agents or underwriters that participate with the selling shareholders in the distribution of the shares may be deemed to be “underwriters” within the meaning of Section 2(11) of the Securities Act in connection with sales of shares covered by this prospectus. Any commissions paid or any discounts or concessions allowed to any of those persons, and any profits received on the resale of the shares purchased by them, may be deemed to be underwriting commissions or discounts under the Securities Act. Because selling shareholders may be deemed to be “underwriters,” the selling shareholders will be subject to the prospectus delivery requirements of the Securities Act. We have advised the selling shareholders that the anti-manipulation rules promulgated under the Exchange Act, including Regulation M, may apply to sales of the shares offered by the selling shareholders.</w:t>
      </w:r>
    </w:p>
    <w:p>
      <w:pPr>
        <w:spacing w:after="0" w:line="201" w:lineRule="exact"/>
        <w:rPr>
          <w:sz w:val="20"/>
          <w:szCs w:val="20"/>
          <w:color w:val="auto"/>
        </w:rPr>
      </w:pPr>
    </w:p>
    <w:p>
      <w:pPr>
        <w:ind w:right="560" w:firstLine="324"/>
        <w:spacing w:after="0" w:line="268" w:lineRule="auto"/>
        <w:rPr>
          <w:sz w:val="20"/>
          <w:szCs w:val="20"/>
          <w:color w:val="auto"/>
        </w:rPr>
      </w:pPr>
      <w:r>
        <w:rPr>
          <w:rFonts w:ascii="Arial" w:cs="Arial" w:eastAsia="Arial" w:hAnsi="Arial"/>
          <w:sz w:val="18"/>
          <w:szCs w:val="18"/>
          <w:color w:val="auto"/>
        </w:rPr>
        <w:t>Selling shareholders may agree to indemnify any agent, broker or dealer that participates in sales of common stock against liabilities arising under the Securities Act from sales of common stock.</w:t>
      </w:r>
    </w:p>
    <w:p>
      <w:pPr>
        <w:spacing w:after="0" w:line="213" w:lineRule="exact"/>
        <w:rPr>
          <w:sz w:val="20"/>
          <w:szCs w:val="20"/>
          <w:color w:val="auto"/>
        </w:rPr>
      </w:pPr>
    </w:p>
    <w:p>
      <w:pPr>
        <w:ind w:right="80" w:firstLine="324"/>
        <w:spacing w:after="0" w:line="259" w:lineRule="auto"/>
        <w:rPr>
          <w:sz w:val="20"/>
          <w:szCs w:val="20"/>
          <w:color w:val="auto"/>
        </w:rPr>
      </w:pPr>
      <w:r>
        <w:rPr>
          <w:rFonts w:ascii="Arial" w:cs="Arial" w:eastAsia="Arial" w:hAnsi="Arial"/>
          <w:sz w:val="18"/>
          <w:szCs w:val="18"/>
          <w:color w:val="auto"/>
        </w:rPr>
        <w:t>We have agreed to bear all expenses of registration of the shares other than fees and expenses, if any, of counsel or other advisors to the selling shareholders. Any commissions, discounts, concessions or other fees, if any, payable to broker-dealers in connection with any sale of the shares will be paid by the selling shareholders or other party selling those shares.</w:t>
      </w:r>
    </w:p>
    <w:p>
      <w:pPr>
        <w:spacing w:after="0" w:line="18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LEGAL MATTERS</w:t>
      </w:r>
    </w:p>
    <w:p>
      <w:pPr>
        <w:spacing w:after="0" w:line="258"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Appleby Spurling &amp; Kempe, Bermuda, will pass on the validity of the common stock offered by this prospectus.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EXPERTS</w:t>
      </w:r>
    </w:p>
    <w:p>
      <w:pPr>
        <w:spacing w:after="0" w:line="258" w:lineRule="exact"/>
        <w:rPr>
          <w:sz w:val="20"/>
          <w:szCs w:val="20"/>
          <w:color w:val="auto"/>
        </w:rPr>
      </w:pPr>
    </w:p>
    <w:p>
      <w:pPr>
        <w:ind w:right="100" w:firstLine="324"/>
        <w:spacing w:after="0" w:line="259" w:lineRule="auto"/>
        <w:rPr>
          <w:sz w:val="20"/>
          <w:szCs w:val="20"/>
          <w:color w:val="auto"/>
        </w:rPr>
      </w:pPr>
      <w:r>
        <w:rPr>
          <w:rFonts w:ascii="Arial" w:cs="Arial" w:eastAsia="Arial" w:hAnsi="Arial"/>
          <w:sz w:val="18"/>
          <w:szCs w:val="18"/>
          <w:color w:val="auto"/>
        </w:rPr>
        <w:t>The financial statements incorporated in this Prospectus by reference to the Annual Report on Form 10-K for the year ended February 1, 2003 have been so incorporated in reliance on the report of PricewaterhouseCoopers LLP, independent accountants, given on the authority of said firm as experts in auditing and accounting.</w:t>
      </w:r>
    </w:p>
    <w:p>
      <w:pPr>
        <w:spacing w:after="0" w:line="188"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WHERE YOU CAN FIND ADDITIONAL INFORMATION</w:t>
      </w:r>
    </w:p>
    <w:p>
      <w:pPr>
        <w:spacing w:after="0" w:line="258" w:lineRule="exact"/>
        <w:rPr>
          <w:sz w:val="20"/>
          <w:szCs w:val="20"/>
          <w:color w:val="auto"/>
        </w:rPr>
      </w:pPr>
    </w:p>
    <w:p>
      <w:pPr>
        <w:ind w:right="20" w:firstLine="324"/>
        <w:spacing w:after="0" w:line="256" w:lineRule="auto"/>
        <w:rPr>
          <w:sz w:val="20"/>
          <w:szCs w:val="20"/>
          <w:color w:val="auto"/>
        </w:rPr>
      </w:pPr>
      <w:r>
        <w:rPr>
          <w:rFonts w:ascii="Arial" w:cs="Arial" w:eastAsia="Arial" w:hAnsi="Arial"/>
          <w:sz w:val="18"/>
          <w:szCs w:val="18"/>
          <w:color w:val="auto"/>
        </w:rPr>
        <w:t>We file annual, quarterly and special reports, proxy statements, and other information with the SEC. You may read and copy any materials we file with the SEC, at the SEC’s Public Reference Room at 450 Fifth Street, N.W., Washington, D.C. 20549. Please call the SEC at 1-800-SEC-0330 for more information on the Public Reference Room. The SEC also maintains an Internet website at http://www.sec.gov that contains reports, proxy and information statements, and other information regarding issuers that file electronically with the SEC.</w:t>
      </w:r>
    </w:p>
    <w:p>
      <w:pPr>
        <w:spacing w:after="0" w:line="224" w:lineRule="exact"/>
        <w:rPr>
          <w:sz w:val="20"/>
          <w:szCs w:val="20"/>
          <w:color w:val="auto"/>
        </w:rPr>
      </w:pPr>
    </w:p>
    <w:p>
      <w:pPr>
        <w:ind w:firstLine="324"/>
        <w:spacing w:after="0" w:line="291" w:lineRule="auto"/>
        <w:rPr>
          <w:sz w:val="20"/>
          <w:szCs w:val="20"/>
          <w:color w:val="auto"/>
        </w:rPr>
      </w:pPr>
      <w:r>
        <w:rPr>
          <w:rFonts w:ascii="Arial" w:cs="Arial" w:eastAsia="Arial" w:hAnsi="Arial"/>
          <w:sz w:val="16"/>
          <w:szCs w:val="16"/>
          <w:color w:val="auto"/>
        </w:rPr>
        <w:t>We have filed with the SEC a registration statement, which contains this prospectus, on Form S-3 under the Securities Act. The registration statement relates to the common stock offered by the selling shareholders. This prospectus does not contain all of the information set forth in the registration statement and the exhibits and schedules to the registration statement. Please refer to the registration statement and its exhibits and schedules for further information with respect to Marvell and the common stock. Statements contained in this prospectus as to the contents of any contract or other document are not necessarily complete and, in each instance, we refer you to the copy of that contract or document filed as an exhibit to the registration statement. You may read and obtain a copy of the registration statement and its exhibits and schedules from the SEC, as described in the preceding paragraph.</w:t>
      </w:r>
    </w:p>
    <w:p>
      <w:pPr>
        <w:spacing w:after="0" w:line="168"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58" w:lineRule="exact"/>
        <w:rPr>
          <w:sz w:val="20"/>
          <w:szCs w:val="20"/>
          <w:color w:val="auto"/>
        </w:rPr>
      </w:pPr>
    </w:p>
    <w:p>
      <w:pPr>
        <w:ind w:firstLine="324"/>
        <w:spacing w:after="0" w:line="294" w:lineRule="auto"/>
        <w:rPr>
          <w:sz w:val="20"/>
          <w:szCs w:val="20"/>
          <w:color w:val="auto"/>
        </w:rPr>
      </w:pPr>
      <w:r>
        <w:rPr>
          <w:rFonts w:ascii="Arial" w:cs="Arial" w:eastAsia="Arial" w:hAnsi="Arial"/>
          <w:sz w:val="16"/>
          <w:szCs w:val="16"/>
          <w:color w:val="auto"/>
        </w:rPr>
        <w:t>The SEC allows us to “incorporate by reference” the information we file with it, which means that we can disclose important information to you by referring you to those documents. The information incorporated by reference is considered to be a part of this prospectus, and later information that we file with the SEC will automatically update and supersede this information. We incorporate by reference the documents listed below and any future filings we make with the SEC under Section 13(a), 13(c), 14 or 15(d) of the Exchange Act until we file a post-effective amendment which indicates that all securities offered have been sold or which deregisters all securities then remaining unsold or this offering is completed. The documents we incorporate by reference are:</w:t>
      </w:r>
    </w:p>
    <w:p>
      <w:pPr>
        <w:spacing w:after="0" w:line="170" w:lineRule="exact"/>
        <w:rPr>
          <w:sz w:val="20"/>
          <w:szCs w:val="20"/>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Annual Report on Form 10-K for the fiscal year ended February 1,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February 6,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May 3,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Quarterly Report on Form 10-Q filed under the Exchange Act for the fiscal quarter ended August 2,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June 27, 2003.</w:t>
      </w:r>
    </w:p>
    <w:p>
      <w:pPr>
        <w:spacing w:after="0" w:line="279" w:lineRule="exact"/>
        <w:rPr>
          <w:rFonts w:ascii="Arial" w:cs="Arial" w:eastAsia="Arial" w:hAnsi="Arial"/>
          <w:sz w:val="18"/>
          <w:szCs w:val="18"/>
          <w:color w:val="auto"/>
        </w:rPr>
      </w:pPr>
    </w:p>
    <w:p>
      <w:pPr>
        <w:ind w:left="460" w:hanging="101"/>
        <w:spacing w:after="0"/>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Current Report on Form 8-K filed under the Exchange Act on August 28, 2003.</w:t>
      </w:r>
    </w:p>
    <w:p>
      <w:pPr>
        <w:spacing w:after="0" w:line="279" w:lineRule="exact"/>
        <w:rPr>
          <w:rFonts w:ascii="Arial" w:cs="Arial" w:eastAsia="Arial" w:hAnsi="Arial"/>
          <w:sz w:val="18"/>
          <w:szCs w:val="18"/>
          <w:color w:val="auto"/>
        </w:rPr>
      </w:pPr>
    </w:p>
    <w:p>
      <w:pPr>
        <w:ind w:left="460" w:right="160" w:hanging="101"/>
        <w:spacing w:after="0" w:line="268" w:lineRule="auto"/>
        <w:tabs>
          <w:tab w:leader="none" w:pos="4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description of our common stock contained in our registration statement on Form 8-A filed under the Exchange Act on June 22, 2000, including any amendment or report filed for the purpose of updating such description.</w:t>
      </w:r>
    </w:p>
    <w:p>
      <w:pPr>
        <w:spacing w:after="0" w:line="18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4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You may request a copy of these filings, at no cost, by writing or telephoning us at the following address and number between the hours of 9:00 a.m.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4:00 p.m., Pacific time:</w:t>
      </w:r>
    </w:p>
    <w:p>
      <w:pPr>
        <w:spacing w:after="0" w:line="21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Investor Relations</w:t>
      </w:r>
    </w:p>
    <w:p>
      <w:pPr>
        <w:spacing w:after="0" w:line="252" w:lineRule="exact"/>
        <w:rPr>
          <w:sz w:val="20"/>
          <w:szCs w:val="20"/>
          <w:color w:val="auto"/>
        </w:rPr>
      </w:pPr>
    </w:p>
    <w:p>
      <w:pPr>
        <w:ind w:left="320"/>
        <w:spacing w:after="0"/>
        <w:rPr>
          <w:sz w:val="20"/>
          <w:szCs w:val="20"/>
          <w:color w:val="auto"/>
        </w:rPr>
      </w:pPr>
      <w:r>
        <w:rPr>
          <w:rFonts w:ascii="Arial" w:cs="Arial" w:eastAsia="Arial" w:hAnsi="Arial"/>
          <w:sz w:val="18"/>
          <w:szCs w:val="18"/>
          <w:color w:val="auto"/>
        </w:rPr>
        <w:t>c/o Marvell Semiconductor, Inc.</w:t>
      </w:r>
    </w:p>
    <w:p>
      <w:pPr>
        <w:spacing w:after="0" w:line="15" w:lineRule="exact"/>
        <w:rPr>
          <w:sz w:val="20"/>
          <w:szCs w:val="20"/>
          <w:color w:val="auto"/>
        </w:rPr>
      </w:pPr>
    </w:p>
    <w:p>
      <w:pPr>
        <w:ind w:left="320" w:right="9020" w:hanging="5"/>
        <w:spacing w:after="0" w:line="255" w:lineRule="auto"/>
        <w:tabs>
          <w:tab w:leader="none" w:pos="627" w:val="left"/>
        </w:tabs>
        <w:numPr>
          <w:ilvl w:val="0"/>
          <w:numId w:val="16"/>
        </w:numPr>
        <w:rPr>
          <w:rFonts w:ascii="Arial" w:cs="Arial" w:eastAsia="Arial" w:hAnsi="Arial"/>
          <w:sz w:val="18"/>
          <w:szCs w:val="18"/>
          <w:color w:val="auto"/>
        </w:rPr>
      </w:pPr>
      <w:r>
        <w:rPr>
          <w:rFonts w:ascii="Arial" w:cs="Arial" w:eastAsia="Arial" w:hAnsi="Arial"/>
          <w:sz w:val="18"/>
          <w:szCs w:val="18"/>
          <w:color w:val="auto"/>
        </w:rPr>
        <w:t>First Avenue Sunnyvale, California 94089 (408) 222-2500</w:t>
      </w:r>
    </w:p>
    <w:p>
      <w:pPr>
        <w:spacing w:after="0" w:line="225" w:lineRule="exact"/>
        <w:rPr>
          <w:sz w:val="20"/>
          <w:szCs w:val="20"/>
          <w:color w:val="auto"/>
        </w:rPr>
      </w:pPr>
    </w:p>
    <w:p>
      <w:pPr>
        <w:ind w:firstLine="324"/>
        <w:spacing w:after="0" w:line="298" w:lineRule="auto"/>
        <w:rPr>
          <w:sz w:val="20"/>
          <w:szCs w:val="20"/>
          <w:color w:val="auto"/>
        </w:rPr>
      </w:pPr>
      <w:r>
        <w:rPr>
          <w:rFonts w:ascii="Arial" w:cs="Arial" w:eastAsia="Arial" w:hAnsi="Arial"/>
          <w:sz w:val="16"/>
          <w:szCs w:val="16"/>
          <w:color w:val="auto"/>
        </w:rPr>
        <w:t>We have not authorized anyone to provide you with information or to represent anything that is different from or that is not contained in this prospectus. You must not rely on any unauthorized information or representations. The selling shareholders are offering to sell, and seeking offers to buy, only the shares of Marvell common stock covered by this prospectus, and only under circumstances and in jurisdictions where it is lawful to do so. The information contained in this prospectus is current only as of its date, regardless of the time of delivery of this prospectus or of any sale of the shares.</w:t>
      </w:r>
    </w:p>
    <w:p>
      <w:pPr>
        <w:spacing w:after="0" w:line="1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3640"/>
        <w:spacing w:after="0"/>
        <w:rPr>
          <w:sz w:val="20"/>
          <w:szCs w:val="20"/>
          <w:color w:val="auto"/>
        </w:rPr>
      </w:pPr>
      <w:r>
        <w:rPr>
          <w:rFonts w:ascii="Arial" w:cs="Arial" w:eastAsia="Arial" w:hAnsi="Arial"/>
          <w:sz w:val="18"/>
          <w:szCs w:val="18"/>
          <w:b w:val="1"/>
          <w:bCs w:val="1"/>
          <w:color w:val="auto"/>
        </w:rPr>
        <w:t>INFORMATION NOT REQUIRED IN PROSPECTUS</w:t>
      </w:r>
    </w:p>
    <w:p>
      <w:pPr>
        <w:spacing w:after="0" w:line="225"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Other Expenses of Issuance and Distribution</w:t>
      </w:r>
    </w:p>
    <w:p>
      <w:pPr>
        <w:spacing w:after="0" w:line="258" w:lineRule="exact"/>
        <w:rPr>
          <w:sz w:val="20"/>
          <w:szCs w:val="20"/>
          <w:color w:val="auto"/>
        </w:rPr>
      </w:pPr>
    </w:p>
    <w:p>
      <w:pPr>
        <w:jc w:val="both"/>
        <w:ind w:right="220" w:firstLine="324"/>
        <w:spacing w:after="0" w:line="259" w:lineRule="auto"/>
        <w:rPr>
          <w:sz w:val="20"/>
          <w:szCs w:val="20"/>
          <w:color w:val="auto"/>
        </w:rPr>
      </w:pPr>
      <w:r>
        <w:rPr>
          <w:rFonts w:ascii="Arial" w:cs="Arial" w:eastAsia="Arial" w:hAnsi="Arial"/>
          <w:sz w:val="18"/>
          <w:szCs w:val="18"/>
          <w:color w:val="auto"/>
        </w:rPr>
        <w:t>The following table sets forth the various expenses payable by the Registrant in connection with the sale and distribution of the securities being registered hereby. Normal commission expenses and brokerage fees are payable individually by the selling shareholders or by the purchasers. All amounts are estimated except the SEC’s registration fee.</w:t>
      </w:r>
    </w:p>
    <w:p>
      <w:pPr>
        <w:spacing w:after="0" w:line="200" w:lineRule="exact"/>
        <w:rPr>
          <w:sz w:val="20"/>
          <w:szCs w:val="20"/>
          <w:color w:val="auto"/>
        </w:rPr>
      </w:pPr>
    </w:p>
    <w:p>
      <w:pPr>
        <w:spacing w:after="0" w:line="206" w:lineRule="exact"/>
        <w:rPr>
          <w:sz w:val="20"/>
          <w:szCs w:val="20"/>
          <w:color w:val="auto"/>
        </w:rPr>
      </w:pPr>
    </w:p>
    <w:tbl>
      <w:tblPr>
        <w:tblLayout w:type="fixed"/>
        <w:tblInd w:w="2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56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900" w:type="dxa"/>
            <w:vAlign w:val="bottom"/>
            <w:gridSpan w:val="2"/>
          </w:tcPr>
          <w:p>
            <w:pPr>
              <w:ind w:left="6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Securities and Exchange Commission registration fee</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11,030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Accounting fees and expenses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25,000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Legal fees and expenses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Printing fees</w:t>
            </w:r>
          </w:p>
        </w:tc>
        <w:tc>
          <w:tcPr>
            <w:tcW w:w="3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7,500</w:t>
            </w:r>
          </w:p>
        </w:tc>
        <w:tc>
          <w:tcPr>
            <w:tcW w:w="3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Transfer agent fees</w:t>
            </w:r>
          </w:p>
        </w:tc>
        <w:tc>
          <w:tcPr>
            <w:tcW w:w="32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600" w:type="dxa"/>
            <w:vAlign w:val="bottom"/>
          </w:tcPr>
          <w:p>
            <w:pPr>
              <w:spacing w:after="0"/>
              <w:rPr>
                <w:sz w:val="20"/>
                <w:szCs w:val="20"/>
                <w:color w:val="auto"/>
              </w:rPr>
            </w:pPr>
            <w:r>
              <w:rPr>
                <w:rFonts w:ascii="Arial" w:cs="Arial" w:eastAsia="Arial" w:hAnsi="Arial"/>
                <w:sz w:val="18"/>
                <w:szCs w:val="18"/>
                <w:color w:val="auto"/>
              </w:rPr>
              <w:t>Miscellaneous fees and expenses</w:t>
            </w:r>
          </w:p>
        </w:tc>
        <w:tc>
          <w:tcPr>
            <w:tcW w:w="3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10,000</w:t>
            </w:r>
          </w:p>
        </w:tc>
        <w:tc>
          <w:tcPr>
            <w:tcW w:w="3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6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600" w:type="dxa"/>
            <w:vAlign w:val="bottom"/>
            <w:shd w:val="clear" w:color="auto" w:fill="EEEEEE"/>
          </w:tcPr>
          <w:p>
            <w:pPr>
              <w:spacing w:after="0"/>
              <w:rPr>
                <w:sz w:val="20"/>
                <w:szCs w:val="20"/>
                <w:color w:val="auto"/>
              </w:rPr>
            </w:pPr>
            <w:r>
              <w:rPr>
                <w:rFonts w:ascii="Arial" w:cs="Arial" w:eastAsia="Arial" w:hAnsi="Arial"/>
                <w:sz w:val="18"/>
                <w:szCs w:val="18"/>
                <w:color w:val="auto"/>
              </w:rPr>
              <w:t>Total</w:t>
            </w:r>
          </w:p>
        </w:tc>
        <w:tc>
          <w:tcPr>
            <w:tcW w:w="3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113,530</w:t>
            </w:r>
          </w:p>
        </w:tc>
        <w:tc>
          <w:tcPr>
            <w:tcW w:w="3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Indemnification of Directors and Officers</w:t>
      </w:r>
    </w:p>
    <w:p>
      <w:pPr>
        <w:spacing w:after="0" w:line="258" w:lineRule="exact"/>
        <w:rPr>
          <w:sz w:val="20"/>
          <w:szCs w:val="20"/>
          <w:color w:val="auto"/>
        </w:rPr>
      </w:pPr>
    </w:p>
    <w:p>
      <w:pPr>
        <w:ind w:right="240" w:firstLine="324"/>
        <w:spacing w:after="0" w:line="255" w:lineRule="auto"/>
        <w:rPr>
          <w:sz w:val="20"/>
          <w:szCs w:val="20"/>
          <w:color w:val="auto"/>
        </w:rPr>
      </w:pPr>
      <w:r>
        <w:rPr>
          <w:rFonts w:ascii="Arial" w:cs="Arial" w:eastAsia="Arial" w:hAnsi="Arial"/>
          <w:sz w:val="18"/>
          <w:szCs w:val="18"/>
          <w:color w:val="auto"/>
        </w:rPr>
        <w:t>Set forth below is a description of certain provisions of the Companies Act of 1981 of Bermuda (the “Companies Act”), the Company’s Memorandum of Association, as presently in effect (the “Memorandum of Association”), and the Company’s Bye-laws (the “Bye-laws”), as such provisions relate to the indemnification of the directors and officers of the Company. This description is intended only as a summary and is qualified in its entirety by reference to the applicable provisions of the Companies Act, the Company’s Memorandum of Association and the Company’s Bye-laws, which are incorporated herein by reference.</w:t>
      </w:r>
    </w:p>
    <w:p>
      <w:pPr>
        <w:spacing w:after="0" w:line="224" w:lineRule="exact"/>
        <w:rPr>
          <w:sz w:val="20"/>
          <w:szCs w:val="20"/>
          <w:color w:val="auto"/>
        </w:rPr>
      </w:pPr>
    </w:p>
    <w:p>
      <w:pPr>
        <w:jc w:val="both"/>
        <w:ind w:right="60" w:firstLine="324"/>
        <w:spacing w:after="0" w:line="259" w:lineRule="auto"/>
        <w:rPr>
          <w:sz w:val="20"/>
          <w:szCs w:val="20"/>
          <w:color w:val="auto"/>
        </w:rPr>
      </w:pPr>
      <w:r>
        <w:rPr>
          <w:rFonts w:ascii="Arial" w:cs="Arial" w:eastAsia="Arial" w:hAnsi="Arial"/>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221"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194" w:lineRule="exact"/>
        <w:rPr>
          <w:sz w:val="20"/>
          <w:szCs w:val="20"/>
          <w:color w:val="auto"/>
        </w:rPr>
      </w:pPr>
    </w:p>
    <w:p>
      <w:pPr>
        <w:ind w:right="60" w:firstLine="324"/>
        <w:spacing w:after="0" w:line="298" w:lineRule="auto"/>
        <w:rPr>
          <w:sz w:val="20"/>
          <w:szCs w:val="20"/>
          <w:color w:val="auto"/>
        </w:rPr>
      </w:pPr>
      <w:r>
        <w:rPr>
          <w:rFonts w:ascii="Arial" w:cs="Arial" w:eastAsia="Arial" w:hAnsi="Arial"/>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94" w:lineRule="exact"/>
        <w:rPr>
          <w:sz w:val="20"/>
          <w:szCs w:val="20"/>
          <w:color w:val="auto"/>
        </w:rPr>
      </w:pPr>
    </w:p>
    <w:p>
      <w:pPr>
        <w:jc w:val="both"/>
        <w:ind w:firstLine="324"/>
        <w:spacing w:after="0" w:line="259" w:lineRule="auto"/>
        <w:rPr>
          <w:sz w:val="20"/>
          <w:szCs w:val="20"/>
          <w:color w:val="auto"/>
        </w:rPr>
      </w:pPr>
      <w:r>
        <w:rPr>
          <w:rFonts w:ascii="Arial" w:cs="Arial" w:eastAsia="Arial" w:hAnsi="Arial"/>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II-1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5"/>
          <w:szCs w:val="15"/>
          <w:b w:val="1"/>
          <w:bCs w:val="1"/>
          <w:i w:val="1"/>
          <w:iCs w:val="1"/>
          <w:color w:val="auto"/>
        </w:rPr>
        <w:t>Exhibits</w:t>
      </w: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640" w:type="dxa"/>
            <w:vAlign w:val="bottom"/>
          </w:tcPr>
          <w:p>
            <w:pPr>
              <w:jc w:val="right"/>
              <w:ind w:right="519"/>
              <w:spacing w:after="0"/>
              <w:rPr>
                <w:sz w:val="20"/>
                <w:szCs w:val="20"/>
                <w:color w:val="auto"/>
              </w:rPr>
            </w:pPr>
            <w:r>
              <w:rPr>
                <w:rFonts w:ascii="Arial" w:cs="Arial" w:eastAsia="Arial" w:hAnsi="Arial"/>
                <w:sz w:val="14"/>
                <w:szCs w:val="14"/>
                <w:b w:val="1"/>
                <w:bCs w:val="1"/>
                <w:color w:val="auto"/>
              </w:rPr>
              <w:t>Exhibit</w:t>
            </w:r>
          </w:p>
        </w:tc>
        <w:tc>
          <w:tcPr>
            <w:tcW w:w="340" w:type="dxa"/>
            <w:vAlign w:val="bottom"/>
          </w:tcPr>
          <w:p>
            <w:pPr>
              <w:spacing w:after="0"/>
              <w:rPr>
                <w:sz w:val="14"/>
                <w:szCs w:val="14"/>
                <w:color w:val="auto"/>
              </w:rPr>
            </w:pPr>
          </w:p>
        </w:tc>
        <w:tc>
          <w:tcPr>
            <w:tcW w:w="9440" w:type="dxa"/>
            <w:vAlign w:val="bottom"/>
          </w:tcPr>
          <w:p>
            <w:pPr>
              <w:spacing w:after="0"/>
              <w:rPr>
                <w:sz w:val="14"/>
                <w:szCs w:val="14"/>
                <w:color w:val="auto"/>
              </w:rPr>
            </w:pPr>
          </w:p>
        </w:tc>
      </w:tr>
      <w:tr>
        <w:trPr>
          <w:trHeight w:val="174"/>
        </w:trPr>
        <w:tc>
          <w:tcPr>
            <w:tcW w:w="1640" w:type="dxa"/>
            <w:vAlign w:val="bottom"/>
          </w:tcPr>
          <w:p>
            <w:pPr>
              <w:jc w:val="right"/>
              <w:ind w:right="499"/>
              <w:spacing w:after="0"/>
              <w:rPr>
                <w:sz w:val="20"/>
                <w:szCs w:val="20"/>
                <w:color w:val="auto"/>
              </w:rPr>
            </w:pPr>
            <w:r>
              <w:rPr>
                <w:rFonts w:ascii="Arial" w:cs="Arial" w:eastAsia="Arial" w:hAnsi="Arial"/>
                <w:sz w:val="14"/>
                <w:szCs w:val="14"/>
                <w:b w:val="1"/>
                <w:bCs w:val="1"/>
                <w:color w:val="auto"/>
              </w:rPr>
              <w:t>Number</w:t>
            </w:r>
          </w:p>
        </w:tc>
        <w:tc>
          <w:tcPr>
            <w:tcW w:w="340" w:type="dxa"/>
            <w:vAlign w:val="bottom"/>
          </w:tcPr>
          <w:p>
            <w:pPr>
              <w:spacing w:after="0"/>
              <w:rPr>
                <w:sz w:val="15"/>
                <w:szCs w:val="15"/>
                <w:color w:val="auto"/>
              </w:rPr>
            </w:pPr>
          </w:p>
        </w:tc>
        <w:tc>
          <w:tcPr>
            <w:tcW w:w="9440" w:type="dxa"/>
            <w:vAlign w:val="bottom"/>
          </w:tcPr>
          <w:p>
            <w:pPr>
              <w:ind w:left="400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164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9440" w:type="dxa"/>
            <w:vAlign w:val="bottom"/>
            <w:tcBorders>
              <w:bottom w:val="single" w:sz="8" w:color="808080"/>
            </w:tcBorders>
          </w:tcPr>
          <w:p>
            <w:pPr>
              <w:spacing w:after="0"/>
              <w:rPr>
                <w:sz w:val="8"/>
                <w:szCs w:val="8"/>
                <w:color w:val="auto"/>
              </w:rPr>
            </w:pPr>
          </w:p>
        </w:tc>
      </w:tr>
      <w:tr>
        <w:trPr>
          <w:trHeight w:val="309"/>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5.1*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1640" w:type="dxa"/>
            <w:vAlign w:val="bottom"/>
          </w:tcPr>
          <w:p>
            <w:pPr>
              <w:jc w:val="right"/>
              <w:ind w:right="579"/>
              <w:spacing w:after="0"/>
              <w:rPr>
                <w:sz w:val="20"/>
                <w:szCs w:val="20"/>
                <w:color w:val="auto"/>
              </w:rPr>
            </w:pPr>
            <w:r>
              <w:rPr>
                <w:rFonts w:ascii="Arial" w:cs="Arial" w:eastAsia="Arial" w:hAnsi="Arial"/>
                <w:sz w:val="18"/>
                <w:szCs w:val="18"/>
                <w:color w:val="auto"/>
              </w:rPr>
              <w:t>23.1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23.2*</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1640" w:type="dxa"/>
            <w:vAlign w:val="bottom"/>
          </w:tcPr>
          <w:p>
            <w:pPr>
              <w:jc w:val="right"/>
              <w:ind w:right="499"/>
              <w:spacing w:after="0"/>
              <w:rPr>
                <w:sz w:val="20"/>
                <w:szCs w:val="20"/>
                <w:color w:val="auto"/>
              </w:rPr>
            </w:pPr>
            <w:r>
              <w:rPr>
                <w:rFonts w:ascii="Arial" w:cs="Arial" w:eastAsia="Arial" w:hAnsi="Arial"/>
                <w:sz w:val="18"/>
                <w:szCs w:val="18"/>
                <w:color w:val="auto"/>
              </w:rPr>
              <w:t>24.1*</w:t>
            </w:r>
          </w:p>
        </w:tc>
        <w:tc>
          <w:tcPr>
            <w:tcW w:w="9780" w:type="dxa"/>
            <w:vAlign w:val="bottom"/>
            <w:gridSpan w:val="2"/>
          </w:tcPr>
          <w:p>
            <w:pPr>
              <w:ind w:left="340"/>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pacing w:after="0" w:line="219" w:lineRule="exact"/>
        <w:rPr>
          <w:sz w:val="20"/>
          <w:szCs w:val="20"/>
          <w:color w:val="auto"/>
        </w:rPr>
      </w:pPr>
    </w:p>
    <w:p>
      <w:pPr>
        <w:spacing w:after="0"/>
        <w:tabs>
          <w:tab w:leader="none" w:pos="820" w:val="left"/>
        </w:tabs>
        <w:rPr>
          <w:sz w:val="20"/>
          <w:szCs w:val="20"/>
          <w:color w:val="auto"/>
        </w:rPr>
      </w:pPr>
      <w:r>
        <w:rPr>
          <w:rFonts w:ascii="Arial" w:cs="Arial" w:eastAsia="Arial" w:hAnsi="Arial"/>
          <w:sz w:val="18"/>
          <w:szCs w:val="18"/>
          <w:b w:val="1"/>
          <w:bCs w:val="1"/>
          <w:color w:val="auto"/>
        </w:rPr>
        <w:t>Item 17.</w:t>
      </w:r>
      <w:r>
        <w:rPr>
          <w:sz w:val="20"/>
          <w:szCs w:val="20"/>
          <w:color w:val="auto"/>
        </w:rPr>
        <w:tab/>
      </w:r>
      <w:r>
        <w:rPr>
          <w:rFonts w:ascii="Arial" w:cs="Arial" w:eastAsia="Arial" w:hAnsi="Arial"/>
          <w:sz w:val="15"/>
          <w:szCs w:val="15"/>
          <w:b w:val="1"/>
          <w:bCs w:val="1"/>
          <w:i w:val="1"/>
          <w:iCs w:val="1"/>
          <w:color w:val="auto"/>
        </w:rPr>
        <w:t>Undertakings</w:t>
      </w:r>
    </w:p>
    <w:p>
      <w:pPr>
        <w:spacing w:after="0" w:line="258" w:lineRule="exact"/>
        <w:rPr>
          <w:sz w:val="20"/>
          <w:szCs w:val="20"/>
          <w:color w:val="auto"/>
        </w:rPr>
      </w:pPr>
    </w:p>
    <w:p>
      <w:pPr>
        <w:ind w:left="560" w:hanging="228"/>
        <w:spacing w:after="0"/>
        <w:tabs>
          <w:tab w:leader="none" w:pos="5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undersigned Registrant hereby undertakes:</w:t>
      </w:r>
    </w:p>
    <w:p>
      <w:pPr>
        <w:spacing w:after="0" w:line="252" w:lineRule="exact"/>
        <w:rPr>
          <w:rFonts w:ascii="Arial" w:cs="Arial" w:eastAsia="Arial" w:hAnsi="Arial"/>
          <w:sz w:val="18"/>
          <w:szCs w:val="18"/>
          <w:color w:val="auto"/>
        </w:rPr>
      </w:pPr>
    </w:p>
    <w:p>
      <w:pPr>
        <w:ind w:left="920" w:hanging="237"/>
        <w:spacing w:after="0"/>
        <w:tabs>
          <w:tab w:leader="none" w:pos="920" w:val="left"/>
        </w:tabs>
        <w:numPr>
          <w:ilvl w:val="1"/>
          <w:numId w:val="17"/>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the Registration Statement:</w:t>
      </w:r>
    </w:p>
    <w:p>
      <w:pPr>
        <w:spacing w:after="0" w:line="252" w:lineRule="exact"/>
        <w:rPr>
          <w:rFonts w:ascii="Arial" w:cs="Arial" w:eastAsia="Arial" w:hAnsi="Arial"/>
          <w:sz w:val="18"/>
          <w:szCs w:val="18"/>
          <w:color w:val="auto"/>
        </w:rPr>
      </w:pPr>
    </w:p>
    <w:p>
      <w:pPr>
        <w:ind w:left="1220" w:hanging="199"/>
        <w:spacing w:after="0"/>
        <w:tabs>
          <w:tab w:leader="none" w:pos="1220"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279" w:lineRule="exact"/>
        <w:rPr>
          <w:rFonts w:ascii="Arial" w:cs="Arial" w:eastAsia="Arial" w:hAnsi="Arial"/>
          <w:sz w:val="18"/>
          <w:szCs w:val="18"/>
          <w:color w:val="auto"/>
        </w:rPr>
      </w:pPr>
    </w:p>
    <w:p>
      <w:pPr>
        <w:ind w:left="700" w:right="140" w:firstLine="321"/>
        <w:spacing w:after="0" w:line="314" w:lineRule="auto"/>
        <w:tabs>
          <w:tab w:leader="none" w:pos="1279" w:val="left"/>
        </w:tabs>
        <w:numPr>
          <w:ilvl w:val="2"/>
          <w:numId w:val="17"/>
        </w:numPr>
        <w:rPr>
          <w:rFonts w:ascii="Arial" w:cs="Arial" w:eastAsia="Arial" w:hAnsi="Arial"/>
          <w:sz w:val="15"/>
          <w:szCs w:val="15"/>
          <w:color w:val="auto"/>
        </w:rPr>
      </w:pPr>
      <w:r>
        <w:rPr>
          <w:rFonts w:ascii="Arial" w:cs="Arial" w:eastAsia="Arial" w:hAnsi="Arial"/>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212" w:lineRule="exact"/>
        <w:rPr>
          <w:rFonts w:ascii="Arial" w:cs="Arial" w:eastAsia="Arial" w:hAnsi="Arial"/>
          <w:sz w:val="15"/>
          <w:szCs w:val="15"/>
          <w:color w:val="auto"/>
        </w:rPr>
      </w:pPr>
    </w:p>
    <w:p>
      <w:pPr>
        <w:ind w:left="700" w:right="520" w:firstLine="321"/>
        <w:spacing w:after="0" w:line="268" w:lineRule="auto"/>
        <w:tabs>
          <w:tab w:leader="none" w:pos="1328" w:val="left"/>
        </w:tabs>
        <w:numPr>
          <w:ilvl w:val="2"/>
          <w:numId w:val="17"/>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186" w:lineRule="exact"/>
        <w:rPr>
          <w:sz w:val="20"/>
          <w:szCs w:val="20"/>
          <w:color w:val="auto"/>
        </w:rPr>
      </w:pPr>
    </w:p>
    <w:p>
      <w:pPr>
        <w:ind w:left="360" w:right="100"/>
        <w:spacing w:after="0" w:line="259" w:lineRule="auto"/>
        <w:rPr>
          <w:sz w:val="20"/>
          <w:szCs w:val="20"/>
          <w:color w:val="auto"/>
        </w:rPr>
      </w:pPr>
      <w:r>
        <w:rPr>
          <w:rFonts w:ascii="Arial" w:cs="Arial" w:eastAsia="Arial" w:hAnsi="Arial"/>
          <w:sz w:val="18"/>
          <w:szCs w:val="18"/>
          <w:color w:val="auto"/>
        </w:rPr>
        <w:t>provided, however, that paragraphs (i) and (ii) do not apply if the registration statement is on Form S-3 or Form S-8 and information required to be included in a post-effective amendment by those paragraphs is contained in periodic reports filed by the Registrant pursuant to Section 13 or Section 15(d) of the Exchange Act that are incorporated by reference in the Registration Statement.</w:t>
      </w:r>
    </w:p>
    <w:p>
      <w:pPr>
        <w:spacing w:after="0" w:line="221" w:lineRule="exact"/>
        <w:rPr>
          <w:sz w:val="20"/>
          <w:szCs w:val="20"/>
          <w:color w:val="auto"/>
        </w:rPr>
      </w:pPr>
    </w:p>
    <w:p>
      <w:pPr>
        <w:ind w:left="360" w:right="460" w:firstLine="323"/>
        <w:spacing w:after="0" w:line="259"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48" w:lineRule="exact"/>
        <w:rPr>
          <w:rFonts w:ascii="Arial" w:cs="Arial" w:eastAsia="Arial" w:hAnsi="Arial"/>
          <w:sz w:val="18"/>
          <w:szCs w:val="18"/>
          <w:color w:val="auto"/>
        </w:rPr>
      </w:pPr>
    </w:p>
    <w:p>
      <w:pPr>
        <w:ind w:left="360" w:firstLine="323"/>
        <w:spacing w:after="0" w:line="268" w:lineRule="auto"/>
        <w:tabs>
          <w:tab w:leader="none" w:pos="930" w:val="left"/>
        </w:tabs>
        <w:numPr>
          <w:ilvl w:val="1"/>
          <w:numId w:val="18"/>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212" w:lineRule="exact"/>
        <w:rPr>
          <w:rFonts w:ascii="Arial" w:cs="Arial" w:eastAsia="Arial" w:hAnsi="Arial"/>
          <w:sz w:val="18"/>
          <w:szCs w:val="18"/>
          <w:color w:val="auto"/>
        </w:rPr>
      </w:pPr>
    </w:p>
    <w:p>
      <w:pPr>
        <w:ind w:right="40" w:firstLine="332"/>
        <w:spacing w:after="0" w:line="256" w:lineRule="auto"/>
        <w:tabs>
          <w:tab w:leader="none" w:pos="57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undersigned Registrant hereby undertakes that, for purposes of determining any liability under the Securities Act, each filing of the Registrant’s annual report pursuant to Section 13(a) or Section 15(d) of the Exchange Act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224" w:lineRule="exact"/>
        <w:rPr>
          <w:rFonts w:ascii="Arial" w:cs="Arial" w:eastAsia="Arial" w:hAnsi="Arial"/>
          <w:sz w:val="18"/>
          <w:szCs w:val="18"/>
          <w:color w:val="auto"/>
        </w:rPr>
      </w:pPr>
    </w:p>
    <w:p>
      <w:pPr>
        <w:ind w:right="160" w:firstLine="332"/>
        <w:spacing w:after="0" w:line="259" w:lineRule="auto"/>
        <w:tabs>
          <w:tab w:leader="none" w:pos="563"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Securities Act and is, therefore, unenforceable. In</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II-2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II-3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58" w:lineRule="exact"/>
        <w:rPr>
          <w:sz w:val="20"/>
          <w:szCs w:val="20"/>
          <w:color w:val="auto"/>
        </w:rPr>
      </w:pPr>
    </w:p>
    <w:p>
      <w:pPr>
        <w:ind w:right="700" w:firstLine="324"/>
        <w:spacing w:after="0" w:line="306" w:lineRule="auto"/>
        <w:rPr>
          <w:sz w:val="20"/>
          <w:szCs w:val="20"/>
          <w:color w:val="auto"/>
        </w:rPr>
      </w:pPr>
      <w:r>
        <w:rPr>
          <w:rFonts w:ascii="Arial" w:cs="Arial" w:eastAsia="Arial" w:hAnsi="Arial"/>
          <w:sz w:val="16"/>
          <w:szCs w:val="16"/>
          <w:color w:val="auto"/>
        </w:rPr>
        <w:t>Pursuant to the requirements of the Securities Act of 1933, the Registrant certifies that it has reasonable grounds to believe that it meets all of the requirements for filing on Form S-3, and has duly caused this Amendment No. 2 to Registration Statement to be signed on its behalf by the undersigned, thereunto duly authorized, in the City of Sunnyvale, State of California, on the 15th day of September, 2003.</w:t>
      </w:r>
    </w:p>
    <w:p>
      <w:pPr>
        <w:spacing w:after="0" w:line="161"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MARVELL TECHNOLOGY GROUP LTD.</w:t>
      </w:r>
    </w:p>
    <w:p>
      <w:pPr>
        <w:spacing w:after="0" w:line="252"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260" w:firstLine="324"/>
        <w:spacing w:after="0" w:line="370" w:lineRule="auto"/>
        <w:rPr>
          <w:sz w:val="20"/>
          <w:szCs w:val="20"/>
          <w:color w:val="auto"/>
        </w:rPr>
      </w:pPr>
      <w:r>
        <w:rPr>
          <w:rFonts w:ascii="Arial" w:cs="Arial" w:eastAsia="Arial" w:hAnsi="Arial"/>
          <w:sz w:val="15"/>
          <w:szCs w:val="15"/>
          <w:color w:val="auto"/>
        </w:rPr>
        <w:t>Pursuant to the requirements of the Securities Act of 1933, the undersigned, the duly authorized representative in the United States of Marvell Technology Group Ltd., has signed this Amendment No. 2 to Registration Statement in the City of Sunnyvale, State of California, on the 15th day of September, 2003.</w:t>
      </w:r>
    </w:p>
    <w:p>
      <w:pPr>
        <w:spacing w:after="0" w:line="116" w:lineRule="exact"/>
        <w:rPr>
          <w:sz w:val="20"/>
          <w:szCs w:val="20"/>
          <w:color w:val="auto"/>
        </w:rPr>
      </w:pPr>
    </w:p>
    <w:p>
      <w:pPr>
        <w:ind w:left="454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2903855</wp:posOffset>
            </wp:positionH>
            <wp:positionV relativeFrom="paragraph">
              <wp:posOffset>97155</wp:posOffset>
            </wp:positionV>
            <wp:extent cx="434784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4347845" cy="8890"/>
                    </a:xfrm>
                    <a:prstGeom prst="rect">
                      <a:avLst/>
                    </a:prstGeom>
                    <a:noFill/>
                  </pic:spPr>
                </pic:pic>
              </a:graphicData>
            </a:graphic>
          </wp:anchor>
        </w:drawing>
      </w:r>
    </w:p>
    <w:p>
      <w:pPr>
        <w:spacing w:after="0" w:line="259" w:lineRule="exact"/>
        <w:rPr>
          <w:sz w:val="20"/>
          <w:szCs w:val="20"/>
          <w:color w:val="auto"/>
        </w:rPr>
      </w:pPr>
    </w:p>
    <w:p>
      <w:pPr>
        <w:jc w:val="center"/>
        <w:ind w:left="4580"/>
        <w:spacing w:after="0"/>
        <w:rPr>
          <w:sz w:val="20"/>
          <w:szCs w:val="20"/>
          <w:color w:val="auto"/>
        </w:rPr>
      </w:pPr>
      <w:r>
        <w:rPr>
          <w:rFonts w:ascii="Arial" w:cs="Arial" w:eastAsia="Arial" w:hAnsi="Arial"/>
          <w:sz w:val="18"/>
          <w:szCs w:val="18"/>
          <w:color w:val="auto"/>
        </w:rPr>
        <w:t>Dr. Sehat Sutardja</w:t>
      </w:r>
    </w:p>
    <w:p>
      <w:pPr>
        <w:spacing w:after="0" w:line="36" w:lineRule="exact"/>
        <w:rPr>
          <w:sz w:val="20"/>
          <w:szCs w:val="20"/>
          <w:color w:val="auto"/>
        </w:rPr>
      </w:pPr>
    </w:p>
    <w:p>
      <w:pPr>
        <w:jc w:val="center"/>
        <w:ind w:left="458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279" w:lineRule="exact"/>
        <w:rPr>
          <w:sz w:val="20"/>
          <w:szCs w:val="20"/>
          <w:color w:val="auto"/>
        </w:rPr>
      </w:pPr>
    </w:p>
    <w:p>
      <w:pPr>
        <w:ind w:right="120" w:firstLine="324"/>
        <w:spacing w:after="0" w:line="268" w:lineRule="auto"/>
        <w:rPr>
          <w:sz w:val="20"/>
          <w:szCs w:val="20"/>
          <w:color w:val="auto"/>
        </w:rPr>
      </w:pPr>
      <w:r>
        <w:rPr>
          <w:rFonts w:ascii="Arial" w:cs="Arial" w:eastAsia="Arial" w:hAnsi="Arial"/>
          <w:sz w:val="18"/>
          <w:szCs w:val="18"/>
          <w:color w:val="auto"/>
        </w:rPr>
        <w:t>Pursuant to the requirements of the Securities Act of 1933, this Amendment No. 2 to Registration Statement has been signed by the following persons in the capacities and on the dates indicated.</w:t>
      </w:r>
    </w:p>
    <w:p>
      <w:pPr>
        <w:spacing w:after="0" w:line="398" w:lineRule="exact"/>
        <w:rPr>
          <w:sz w:val="20"/>
          <w:szCs w:val="20"/>
          <w:color w:val="auto"/>
        </w:rPr>
      </w:pPr>
    </w:p>
    <w:p>
      <w:pPr>
        <w:ind w:left="2480"/>
        <w:spacing w:after="0"/>
        <w:tabs>
          <w:tab w:leader="none" w:pos="7520" w:val="left"/>
          <w:tab w:leader="none" w:pos="1046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500" w:type="dxa"/>
            <w:vAlign w:val="bottom"/>
          </w:tcPr>
          <w:p>
            <w:pPr>
              <w:jc w:val="center"/>
              <w:spacing w:after="0"/>
              <w:rPr>
                <w:sz w:val="20"/>
                <w:szCs w:val="20"/>
                <w:color w:val="auto"/>
              </w:rPr>
            </w:pPr>
            <w:r>
              <w:rPr>
                <w:rFonts w:ascii="Arial" w:cs="Arial" w:eastAsia="Arial" w:hAnsi="Arial"/>
                <w:sz w:val="18"/>
                <w:szCs w:val="18"/>
                <w:color w:val="auto"/>
                <w:w w:val="91"/>
              </w:rPr>
              <w:t>/s/ SEHAT SUTARDJA</w:t>
            </w:r>
          </w:p>
        </w:tc>
        <w:tc>
          <w:tcPr>
            <w:tcW w:w="4160" w:type="dxa"/>
            <w:vAlign w:val="bottom"/>
          </w:tcPr>
          <w:p>
            <w:pPr>
              <w:jc w:val="center"/>
              <w:ind w:left="92"/>
              <w:spacing w:after="0"/>
              <w:rPr>
                <w:sz w:val="20"/>
                <w:szCs w:val="20"/>
                <w:color w:val="auto"/>
              </w:rPr>
            </w:pPr>
            <w:r>
              <w:rPr>
                <w:rFonts w:ascii="Arial" w:cs="Arial" w:eastAsia="Arial" w:hAnsi="Arial"/>
                <w:sz w:val="18"/>
                <w:szCs w:val="18"/>
                <w:color w:val="auto"/>
                <w:w w:val="88"/>
              </w:rPr>
              <w:t>Co-Chairman of the Board, President,</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103"/>
        </w:trPr>
        <w:tc>
          <w:tcPr>
            <w:tcW w:w="5500" w:type="dxa"/>
            <w:vAlign w:val="bottom"/>
            <w:tcBorders>
              <w:bottom w:val="single" w:sz="8" w:color="808080"/>
            </w:tcBorders>
          </w:tcPr>
          <w:p>
            <w:pPr>
              <w:spacing w:after="0"/>
              <w:rPr>
                <w:sz w:val="8"/>
                <w:szCs w:val="8"/>
                <w:color w:val="auto"/>
              </w:rPr>
            </w:pPr>
          </w:p>
        </w:tc>
        <w:tc>
          <w:tcPr>
            <w:tcW w:w="4160" w:type="dxa"/>
            <w:vAlign w:val="bottom"/>
            <w:vMerge w:val="restart"/>
          </w:tcPr>
          <w:p>
            <w:pPr>
              <w:jc w:val="center"/>
              <w:ind w:left="92"/>
              <w:spacing w:after="0"/>
              <w:rPr>
                <w:sz w:val="20"/>
                <w:szCs w:val="20"/>
                <w:color w:val="auto"/>
              </w:rPr>
            </w:pPr>
            <w:r>
              <w:rPr>
                <w:rFonts w:ascii="Arial" w:cs="Arial" w:eastAsia="Arial" w:hAnsi="Arial"/>
                <w:sz w:val="18"/>
                <w:szCs w:val="18"/>
                <w:color w:val="auto"/>
                <w:w w:val="90"/>
              </w:rPr>
              <w:t>and Chief Executive Officer</w:t>
            </w: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500" w:type="dxa"/>
            <w:vAlign w:val="bottom"/>
            <w:vMerge w:val="restart"/>
          </w:tcPr>
          <w:p>
            <w:pPr>
              <w:jc w:val="center"/>
              <w:spacing w:after="0"/>
              <w:rPr>
                <w:sz w:val="20"/>
                <w:szCs w:val="20"/>
                <w:color w:val="auto"/>
              </w:rPr>
            </w:pPr>
            <w:r>
              <w:rPr>
                <w:rFonts w:ascii="Arial" w:cs="Arial" w:eastAsia="Arial" w:hAnsi="Arial"/>
                <w:sz w:val="18"/>
                <w:szCs w:val="18"/>
                <w:color w:val="auto"/>
                <w:w w:val="86"/>
              </w:rPr>
              <w:t>Dr. Sehat Sutardja</w:t>
            </w:r>
          </w:p>
        </w:tc>
        <w:tc>
          <w:tcPr>
            <w:tcW w:w="4160" w:type="dxa"/>
            <w:vAlign w:val="bottom"/>
            <w:vMerge w:val="continue"/>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500" w:type="dxa"/>
            <w:vAlign w:val="bottom"/>
            <w:vMerge w:val="continue"/>
          </w:tcPr>
          <w:p>
            <w:pPr>
              <w:spacing w:after="0"/>
              <w:rPr>
                <w:sz w:val="19"/>
                <w:szCs w:val="19"/>
                <w:color w:val="auto"/>
              </w:rPr>
            </w:pPr>
          </w:p>
        </w:tc>
        <w:tc>
          <w:tcPr>
            <w:tcW w:w="4160" w:type="dxa"/>
            <w:vAlign w:val="bottom"/>
          </w:tcPr>
          <w:p>
            <w:pPr>
              <w:jc w:val="center"/>
              <w:ind w:left="72"/>
              <w:spacing w:after="0"/>
              <w:rPr>
                <w:sz w:val="20"/>
                <w:szCs w:val="20"/>
                <w:color w:val="auto"/>
              </w:rPr>
            </w:pPr>
            <w:r>
              <w:rPr>
                <w:rFonts w:ascii="Arial" w:cs="Arial" w:eastAsia="Arial" w:hAnsi="Arial"/>
                <w:sz w:val="18"/>
                <w:szCs w:val="18"/>
                <w:color w:val="auto"/>
                <w:w w:val="91"/>
              </w:rPr>
              <w:t>(Principal Executive Officer)</w:t>
            </w:r>
          </w:p>
        </w:tc>
        <w:tc>
          <w:tcPr>
            <w:tcW w:w="1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26"/>
        </w:trPr>
        <w:tc>
          <w:tcPr>
            <w:tcW w:w="5500" w:type="dxa"/>
            <w:vAlign w:val="bottom"/>
          </w:tcPr>
          <w:p>
            <w:pPr>
              <w:jc w:val="center"/>
              <w:spacing w:after="0"/>
              <w:rPr>
                <w:sz w:val="20"/>
                <w:szCs w:val="20"/>
                <w:color w:val="auto"/>
              </w:rPr>
            </w:pPr>
            <w:r>
              <w:rPr>
                <w:rFonts w:ascii="Arial" w:cs="Arial" w:eastAsia="Arial" w:hAnsi="Arial"/>
                <w:sz w:val="18"/>
                <w:szCs w:val="18"/>
                <w:color w:val="auto"/>
                <w:w w:val="91"/>
              </w:rPr>
              <w:t>/s/ GEORGE HERVEY</w:t>
            </w:r>
          </w:p>
        </w:tc>
        <w:tc>
          <w:tcPr>
            <w:tcW w:w="4160" w:type="dxa"/>
            <w:vAlign w:val="bottom"/>
          </w:tcPr>
          <w:p>
            <w:pPr>
              <w:jc w:val="center"/>
              <w:ind w:left="72"/>
              <w:spacing w:after="0"/>
              <w:rPr>
                <w:sz w:val="20"/>
                <w:szCs w:val="20"/>
                <w:color w:val="auto"/>
              </w:rPr>
            </w:pPr>
            <w:r>
              <w:rPr>
                <w:rFonts w:ascii="Arial" w:cs="Arial" w:eastAsia="Arial" w:hAnsi="Arial"/>
                <w:sz w:val="18"/>
                <w:szCs w:val="18"/>
                <w:color w:val="auto"/>
                <w:w w:val="88"/>
              </w:rPr>
              <w:t>Vice President of Finance and Chief Financial</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103"/>
        </w:trPr>
        <w:tc>
          <w:tcPr>
            <w:tcW w:w="5500" w:type="dxa"/>
            <w:vAlign w:val="bottom"/>
            <w:tcBorders>
              <w:bottom w:val="single" w:sz="8" w:color="808080"/>
            </w:tcBorders>
          </w:tcPr>
          <w:p>
            <w:pPr>
              <w:spacing w:after="0"/>
              <w:rPr>
                <w:sz w:val="8"/>
                <w:szCs w:val="8"/>
                <w:color w:val="auto"/>
              </w:rPr>
            </w:pPr>
          </w:p>
        </w:tc>
        <w:tc>
          <w:tcPr>
            <w:tcW w:w="4160" w:type="dxa"/>
            <w:vAlign w:val="bottom"/>
            <w:vMerge w:val="restart"/>
          </w:tcPr>
          <w:p>
            <w:pPr>
              <w:jc w:val="center"/>
              <w:ind w:left="92"/>
              <w:spacing w:after="0"/>
              <w:rPr>
                <w:sz w:val="20"/>
                <w:szCs w:val="20"/>
                <w:color w:val="auto"/>
              </w:rPr>
            </w:pPr>
            <w:r>
              <w:rPr>
                <w:rFonts w:ascii="Arial" w:cs="Arial" w:eastAsia="Arial" w:hAnsi="Arial"/>
                <w:sz w:val="18"/>
                <w:szCs w:val="18"/>
                <w:color w:val="auto"/>
                <w:w w:val="91"/>
              </w:rPr>
              <w:t>Officer (Principal Financial and Accounting</w:t>
            </w: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5500" w:type="dxa"/>
            <w:vAlign w:val="bottom"/>
            <w:vMerge w:val="restart"/>
          </w:tcPr>
          <w:p>
            <w:pPr>
              <w:jc w:val="center"/>
              <w:spacing w:after="0"/>
              <w:rPr>
                <w:sz w:val="20"/>
                <w:szCs w:val="20"/>
                <w:color w:val="auto"/>
              </w:rPr>
            </w:pPr>
            <w:r>
              <w:rPr>
                <w:rFonts w:ascii="Arial" w:cs="Arial" w:eastAsia="Arial" w:hAnsi="Arial"/>
                <w:sz w:val="18"/>
                <w:szCs w:val="18"/>
                <w:color w:val="auto"/>
                <w:w w:val="88"/>
              </w:rPr>
              <w:t>George Hervey</w:t>
            </w:r>
          </w:p>
        </w:tc>
        <w:tc>
          <w:tcPr>
            <w:tcW w:w="4160" w:type="dxa"/>
            <w:vAlign w:val="bottom"/>
            <w:vMerge w:val="continue"/>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5500" w:type="dxa"/>
            <w:vAlign w:val="bottom"/>
            <w:vMerge w:val="continue"/>
          </w:tcPr>
          <w:p>
            <w:pPr>
              <w:spacing w:after="0"/>
              <w:rPr>
                <w:sz w:val="19"/>
                <w:szCs w:val="19"/>
                <w:color w:val="auto"/>
              </w:rPr>
            </w:pPr>
          </w:p>
        </w:tc>
        <w:tc>
          <w:tcPr>
            <w:tcW w:w="4160" w:type="dxa"/>
            <w:vAlign w:val="bottom"/>
          </w:tcPr>
          <w:p>
            <w:pPr>
              <w:jc w:val="center"/>
              <w:ind w:left="72"/>
              <w:spacing w:after="0"/>
              <w:rPr>
                <w:sz w:val="20"/>
                <w:szCs w:val="20"/>
                <w:color w:val="auto"/>
              </w:rPr>
            </w:pPr>
            <w:r>
              <w:rPr>
                <w:rFonts w:ascii="Arial" w:cs="Arial" w:eastAsia="Arial" w:hAnsi="Arial"/>
                <w:sz w:val="18"/>
                <w:szCs w:val="18"/>
                <w:color w:val="auto"/>
                <w:w w:val="94"/>
              </w:rPr>
              <w:t>Officer)</w:t>
            </w:r>
          </w:p>
        </w:tc>
        <w:tc>
          <w:tcPr>
            <w:tcW w:w="1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8"/>
              </w:rPr>
              <w:t>/s/ WEILI DAI</w:t>
            </w:r>
          </w:p>
        </w:tc>
        <w:tc>
          <w:tcPr>
            <w:tcW w:w="4160" w:type="dxa"/>
            <w:vAlign w:val="bottom"/>
          </w:tcPr>
          <w:p>
            <w:pPr>
              <w:jc w:val="center"/>
              <w:ind w:left="72"/>
              <w:spacing w:after="0"/>
              <w:rPr>
                <w:sz w:val="20"/>
                <w:szCs w:val="20"/>
                <w:color w:val="auto"/>
              </w:rPr>
            </w:pPr>
            <w:r>
              <w:rPr>
                <w:rFonts w:ascii="Arial" w:cs="Arial" w:eastAsia="Arial" w:hAnsi="Arial"/>
                <w:sz w:val="18"/>
                <w:szCs w:val="18"/>
                <w:color w:val="auto"/>
                <w:w w:val="88"/>
              </w:rPr>
              <w:t>Executive Vice President, Secretary and Director</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97"/>
        </w:trPr>
        <w:tc>
          <w:tcPr>
            <w:tcW w:w="5500" w:type="dxa"/>
            <w:vAlign w:val="bottom"/>
            <w:tcBorders>
              <w:bottom w:val="single" w:sz="8" w:color="808080"/>
            </w:tcBorders>
          </w:tcPr>
          <w:p>
            <w:pPr>
              <w:spacing w:after="0"/>
              <w:rPr>
                <w:sz w:val="8"/>
                <w:szCs w:val="8"/>
                <w:color w:val="auto"/>
              </w:rPr>
            </w:pPr>
          </w:p>
        </w:tc>
        <w:tc>
          <w:tcPr>
            <w:tcW w:w="41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95"/>
              </w:rPr>
              <w:t>Weili Dai</w:t>
            </w:r>
          </w:p>
        </w:tc>
        <w:tc>
          <w:tcPr>
            <w:tcW w:w="41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1"/>
              </w:rPr>
              <w:t>/s/ PANTAS SUTARDJA</w:t>
            </w:r>
          </w:p>
        </w:tc>
        <w:tc>
          <w:tcPr>
            <w:tcW w:w="4160" w:type="dxa"/>
            <w:vAlign w:val="bottom"/>
          </w:tcPr>
          <w:p>
            <w:pPr>
              <w:jc w:val="center"/>
              <w:ind w:left="92"/>
              <w:spacing w:after="0"/>
              <w:rPr>
                <w:sz w:val="20"/>
                <w:szCs w:val="20"/>
                <w:color w:val="auto"/>
              </w:rPr>
            </w:pPr>
            <w:r>
              <w:rPr>
                <w:rFonts w:ascii="Arial" w:cs="Arial" w:eastAsia="Arial" w:hAnsi="Arial"/>
                <w:sz w:val="18"/>
                <w:szCs w:val="18"/>
                <w:color w:val="auto"/>
                <w:w w:val="88"/>
              </w:rPr>
              <w:t>Vice President and Director</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97"/>
        </w:trPr>
        <w:tc>
          <w:tcPr>
            <w:tcW w:w="5500" w:type="dxa"/>
            <w:vAlign w:val="bottom"/>
            <w:tcBorders>
              <w:bottom w:val="single" w:sz="8" w:color="808080"/>
            </w:tcBorders>
          </w:tcPr>
          <w:p>
            <w:pPr>
              <w:spacing w:after="0"/>
              <w:rPr>
                <w:sz w:val="8"/>
                <w:szCs w:val="8"/>
                <w:color w:val="auto"/>
              </w:rPr>
            </w:pPr>
          </w:p>
        </w:tc>
        <w:tc>
          <w:tcPr>
            <w:tcW w:w="41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86"/>
              </w:rPr>
              <w:t>Dr. Pantas Sutardja</w:t>
            </w:r>
          </w:p>
        </w:tc>
        <w:tc>
          <w:tcPr>
            <w:tcW w:w="41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4"/>
              </w:rPr>
              <w:t>/s/ DIOSDADO BANATAO</w:t>
            </w:r>
          </w:p>
        </w:tc>
        <w:tc>
          <w:tcPr>
            <w:tcW w:w="4160" w:type="dxa"/>
            <w:vAlign w:val="bottom"/>
          </w:tcPr>
          <w:p>
            <w:pPr>
              <w:jc w:val="center"/>
              <w:ind w:left="72"/>
              <w:spacing w:after="0"/>
              <w:rPr>
                <w:sz w:val="20"/>
                <w:szCs w:val="20"/>
                <w:color w:val="auto"/>
              </w:rPr>
            </w:pPr>
            <w:r>
              <w:rPr>
                <w:rFonts w:ascii="Arial" w:cs="Arial" w:eastAsia="Arial" w:hAnsi="Arial"/>
                <w:sz w:val="18"/>
                <w:szCs w:val="18"/>
                <w:color w:val="auto"/>
                <w:w w:val="89"/>
              </w:rPr>
              <w:t>Co-Chairman of the Board</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97"/>
        </w:trPr>
        <w:tc>
          <w:tcPr>
            <w:tcW w:w="5500" w:type="dxa"/>
            <w:vAlign w:val="bottom"/>
            <w:tcBorders>
              <w:bottom w:val="single" w:sz="8" w:color="808080"/>
            </w:tcBorders>
          </w:tcPr>
          <w:p>
            <w:pPr>
              <w:spacing w:after="0"/>
              <w:rPr>
                <w:sz w:val="8"/>
                <w:szCs w:val="8"/>
                <w:color w:val="auto"/>
              </w:rPr>
            </w:pPr>
          </w:p>
        </w:tc>
        <w:tc>
          <w:tcPr>
            <w:tcW w:w="41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85"/>
              </w:rPr>
              <w:t>Diosdado P. Banatao</w:t>
            </w:r>
          </w:p>
        </w:tc>
        <w:tc>
          <w:tcPr>
            <w:tcW w:w="41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8"/>
              </w:rPr>
              <w:t>/s/ MANUEL ALBA</w:t>
            </w:r>
          </w:p>
        </w:tc>
        <w:tc>
          <w:tcPr>
            <w:tcW w:w="4160" w:type="dxa"/>
            <w:vAlign w:val="bottom"/>
          </w:tcPr>
          <w:p>
            <w:pPr>
              <w:jc w:val="center"/>
              <w:ind w:left="92"/>
              <w:spacing w:after="0"/>
              <w:rPr>
                <w:sz w:val="20"/>
                <w:szCs w:val="20"/>
                <w:color w:val="auto"/>
              </w:rPr>
            </w:pPr>
            <w:r>
              <w:rPr>
                <w:rFonts w:ascii="Arial" w:cs="Arial" w:eastAsia="Arial" w:hAnsi="Arial"/>
                <w:sz w:val="18"/>
                <w:szCs w:val="18"/>
                <w:color w:val="auto"/>
                <w:w w:val="91"/>
              </w:rPr>
              <w:t>Director</w:t>
            </w:r>
          </w:p>
        </w:tc>
        <w:tc>
          <w:tcPr>
            <w:tcW w:w="1760" w:type="dxa"/>
            <w:vAlign w:val="bottom"/>
          </w:tcPr>
          <w:p>
            <w:pPr>
              <w:ind w:left="260"/>
              <w:spacing w:after="0"/>
              <w:rPr>
                <w:sz w:val="20"/>
                <w:szCs w:val="20"/>
                <w:color w:val="auto"/>
              </w:rPr>
            </w:pPr>
            <w:r>
              <w:rPr>
                <w:rFonts w:ascii="Arial" w:cs="Arial" w:eastAsia="Arial" w:hAnsi="Arial"/>
                <w:sz w:val="18"/>
                <w:szCs w:val="18"/>
                <w:color w:val="auto"/>
                <w:w w:val="90"/>
              </w:rPr>
              <w:t>September 15, 2003</w:t>
            </w:r>
          </w:p>
        </w:tc>
        <w:tc>
          <w:tcPr>
            <w:tcW w:w="0" w:type="dxa"/>
            <w:vAlign w:val="bottom"/>
          </w:tcPr>
          <w:p>
            <w:pPr>
              <w:spacing w:after="0"/>
              <w:rPr>
                <w:sz w:val="1"/>
                <w:szCs w:val="1"/>
                <w:color w:val="auto"/>
              </w:rPr>
            </w:pPr>
          </w:p>
        </w:tc>
      </w:tr>
      <w:tr>
        <w:trPr>
          <w:trHeight w:val="97"/>
        </w:trPr>
        <w:tc>
          <w:tcPr>
            <w:tcW w:w="5500" w:type="dxa"/>
            <w:vAlign w:val="bottom"/>
            <w:tcBorders>
              <w:bottom w:val="single" w:sz="8" w:color="808080"/>
            </w:tcBorders>
          </w:tcPr>
          <w:p>
            <w:pPr>
              <w:spacing w:after="0"/>
              <w:rPr>
                <w:sz w:val="8"/>
                <w:szCs w:val="8"/>
                <w:color w:val="auto"/>
              </w:rPr>
            </w:pPr>
          </w:p>
        </w:tc>
        <w:tc>
          <w:tcPr>
            <w:tcW w:w="41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91"/>
              </w:rPr>
              <w:t>Manuel Alba</w:t>
            </w:r>
          </w:p>
        </w:tc>
        <w:tc>
          <w:tcPr>
            <w:tcW w:w="416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5500" w:type="dxa"/>
            <w:vAlign w:val="bottom"/>
          </w:tcPr>
          <w:p>
            <w:pPr>
              <w:spacing w:after="0"/>
              <w:rPr>
                <w:sz w:val="24"/>
                <w:szCs w:val="24"/>
                <w:color w:val="auto"/>
              </w:rPr>
            </w:pPr>
          </w:p>
        </w:tc>
        <w:tc>
          <w:tcPr>
            <w:tcW w:w="4160" w:type="dxa"/>
            <w:vAlign w:val="bottom"/>
          </w:tcPr>
          <w:p>
            <w:pPr>
              <w:ind w:left="80"/>
              <w:spacing w:after="0"/>
              <w:rPr>
                <w:sz w:val="20"/>
                <w:szCs w:val="20"/>
                <w:color w:val="auto"/>
              </w:rPr>
            </w:pPr>
            <w:r>
              <w:rPr>
                <w:rFonts w:ascii="Arial" w:cs="Arial" w:eastAsia="Arial" w:hAnsi="Arial"/>
                <w:sz w:val="18"/>
                <w:szCs w:val="18"/>
                <w:color w:val="auto"/>
              </w:rPr>
              <w:t>II-4</w:t>
            </w: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5500" w:type="dxa"/>
            <w:vAlign w:val="bottom"/>
            <w:tcBorders>
              <w:bottom w:val="single" w:sz="8" w:color="808080"/>
            </w:tcBorders>
          </w:tcPr>
          <w:p>
            <w:pPr>
              <w:spacing w:after="0"/>
              <w:rPr>
                <w:sz w:val="19"/>
                <w:szCs w:val="19"/>
                <w:color w:val="auto"/>
              </w:rPr>
            </w:pPr>
          </w:p>
        </w:tc>
        <w:tc>
          <w:tcPr>
            <w:tcW w:w="4160" w:type="dxa"/>
            <w:vAlign w:val="bottom"/>
            <w:tcBorders>
              <w:bottom w:val="single" w:sz="8" w:color="808080"/>
            </w:tcBorders>
          </w:tcPr>
          <w:p>
            <w:pPr>
              <w:spacing w:after="0"/>
              <w:rPr>
                <w:sz w:val="19"/>
                <w:szCs w:val="19"/>
                <w:color w:val="auto"/>
              </w:rPr>
            </w:pPr>
          </w:p>
        </w:tc>
        <w:tc>
          <w:tcPr>
            <w:tcW w:w="17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327" w:lineRule="exact"/>
        <w:rPr>
          <w:sz w:val="20"/>
          <w:szCs w:val="20"/>
          <w:color w:val="auto"/>
        </w:rPr>
      </w:pPr>
    </w:p>
    <w:p>
      <w:pPr>
        <w:ind w:left="2480"/>
        <w:spacing w:after="0"/>
        <w:tabs>
          <w:tab w:leader="none" w:pos="7520" w:val="left"/>
          <w:tab w:leader="none" w:pos="10460" w:val="left"/>
        </w:tabs>
        <w:rPr>
          <w:sz w:val="20"/>
          <w:szCs w:val="20"/>
          <w:color w:val="auto"/>
        </w:rPr>
      </w:pPr>
      <w:r>
        <w:rPr>
          <w:rFonts w:ascii="Arial" w:cs="Arial" w:eastAsia="Arial" w:hAnsi="Arial"/>
          <w:sz w:val="14"/>
          <w:szCs w:val="14"/>
          <w:b w:val="1"/>
          <w:bCs w:val="1"/>
          <w:color w:val="auto"/>
        </w:rPr>
        <w:t>Signature</w:t>
      </w:r>
      <w:r>
        <w:rPr>
          <w:sz w:val="20"/>
          <w:szCs w:val="20"/>
          <w:color w:val="auto"/>
        </w:rPr>
        <w:tab/>
      </w:r>
      <w:r>
        <w:rPr>
          <w:rFonts w:ascii="Arial" w:cs="Arial" w:eastAsia="Arial" w:hAnsi="Arial"/>
          <w:sz w:val="14"/>
          <w:szCs w:val="14"/>
          <w:b w:val="1"/>
          <w:bCs w:val="1"/>
          <w:color w:val="auto"/>
        </w:rPr>
        <w:t>Title</w:t>
      </w:r>
      <w:r>
        <w:rPr>
          <w:sz w:val="20"/>
          <w:szCs w:val="20"/>
          <w:color w:val="auto"/>
        </w:rPr>
        <w:tab/>
      </w:r>
      <w:r>
        <w:rPr>
          <w:rFonts w:ascii="Arial" w:cs="Arial" w:eastAsia="Arial" w:hAnsi="Arial"/>
          <w:sz w:val="12"/>
          <w:szCs w:val="12"/>
          <w:b w:val="1"/>
          <w:bCs w:val="1"/>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4662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5500" w:type="dxa"/>
            <w:vAlign w:val="bottom"/>
          </w:tcPr>
          <w:p>
            <w:pPr>
              <w:jc w:val="center"/>
              <w:spacing w:after="0"/>
              <w:rPr>
                <w:sz w:val="20"/>
                <w:szCs w:val="20"/>
                <w:color w:val="auto"/>
              </w:rPr>
            </w:pPr>
            <w:r>
              <w:rPr>
                <w:rFonts w:ascii="Arial" w:cs="Arial" w:eastAsia="Arial" w:hAnsi="Arial"/>
                <w:sz w:val="18"/>
                <w:szCs w:val="18"/>
                <w:color w:val="auto"/>
                <w:w w:val="93"/>
              </w:rPr>
              <w:t>/s/ HERBERT CHANG</w:t>
            </w:r>
          </w:p>
        </w:tc>
        <w:tc>
          <w:tcPr>
            <w:tcW w:w="3440" w:type="dxa"/>
            <w:vAlign w:val="bottom"/>
          </w:tcPr>
          <w:p>
            <w:pPr>
              <w:ind w:left="1880"/>
              <w:spacing w:after="0"/>
              <w:rPr>
                <w:sz w:val="20"/>
                <w:szCs w:val="20"/>
                <w:color w:val="auto"/>
              </w:rPr>
            </w:pPr>
            <w:r>
              <w:rPr>
                <w:rFonts w:ascii="Arial" w:cs="Arial" w:eastAsia="Arial" w:hAnsi="Arial"/>
                <w:sz w:val="18"/>
                <w:szCs w:val="18"/>
                <w:color w:val="auto"/>
              </w:rPr>
              <w:t>Director</w:t>
            </w:r>
          </w:p>
        </w:tc>
        <w:tc>
          <w:tcPr>
            <w:tcW w:w="2480" w:type="dxa"/>
            <w:vAlign w:val="bottom"/>
          </w:tcPr>
          <w:p>
            <w:pPr>
              <w:ind w:left="980"/>
              <w:spacing w:after="0"/>
              <w:rPr>
                <w:sz w:val="20"/>
                <w:szCs w:val="20"/>
                <w:color w:val="auto"/>
              </w:rPr>
            </w:pPr>
            <w:r>
              <w:rPr>
                <w:rFonts w:ascii="Arial" w:cs="Arial" w:eastAsia="Arial" w:hAnsi="Arial"/>
                <w:sz w:val="18"/>
                <w:szCs w:val="18"/>
                <w:color w:val="auto"/>
                <w:w w:val="90"/>
              </w:rPr>
              <w:t>September 15, 2003</w:t>
            </w:r>
          </w:p>
        </w:tc>
      </w:tr>
      <w:tr>
        <w:trPr>
          <w:trHeight w:val="97"/>
        </w:trPr>
        <w:tc>
          <w:tcPr>
            <w:tcW w:w="5500" w:type="dxa"/>
            <w:vAlign w:val="bottom"/>
            <w:tcBorders>
              <w:bottom w:val="single" w:sz="8" w:color="808080"/>
            </w:tcBorders>
          </w:tcPr>
          <w:p>
            <w:pPr>
              <w:spacing w:after="0"/>
              <w:rPr>
                <w:sz w:val="8"/>
                <w:szCs w:val="8"/>
                <w:color w:val="auto"/>
              </w:rPr>
            </w:pPr>
          </w:p>
        </w:tc>
        <w:tc>
          <w:tcPr>
            <w:tcW w:w="3440" w:type="dxa"/>
            <w:vAlign w:val="bottom"/>
          </w:tcPr>
          <w:p>
            <w:pPr>
              <w:spacing w:after="0"/>
              <w:rPr>
                <w:sz w:val="8"/>
                <w:szCs w:val="8"/>
                <w:color w:val="auto"/>
              </w:rPr>
            </w:pPr>
          </w:p>
        </w:tc>
        <w:tc>
          <w:tcPr>
            <w:tcW w:w="2480" w:type="dxa"/>
            <w:vAlign w:val="bottom"/>
          </w:tcPr>
          <w:p>
            <w:pPr>
              <w:spacing w:after="0"/>
              <w:rPr>
                <w:sz w:val="8"/>
                <w:szCs w:val="8"/>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88"/>
              </w:rPr>
              <w:t>Herbert Chang</w:t>
            </w:r>
          </w:p>
        </w:tc>
        <w:tc>
          <w:tcPr>
            <w:tcW w:w="3440" w:type="dxa"/>
            <w:vAlign w:val="bottom"/>
          </w:tcPr>
          <w:p>
            <w:pPr>
              <w:spacing w:after="0"/>
              <w:rPr>
                <w:sz w:val="24"/>
                <w:szCs w:val="24"/>
                <w:color w:val="auto"/>
              </w:rPr>
            </w:pPr>
          </w:p>
        </w:tc>
        <w:tc>
          <w:tcPr>
            <w:tcW w:w="2480" w:type="dxa"/>
            <w:vAlign w:val="bottom"/>
          </w:tcPr>
          <w:p>
            <w:pPr>
              <w:spacing w:after="0"/>
              <w:rPr>
                <w:sz w:val="24"/>
                <w:szCs w:val="24"/>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2"/>
              </w:rPr>
              <w:t>/s/ JOHN M. CIOFFI</w:t>
            </w:r>
          </w:p>
        </w:tc>
        <w:tc>
          <w:tcPr>
            <w:tcW w:w="3440" w:type="dxa"/>
            <w:vAlign w:val="bottom"/>
          </w:tcPr>
          <w:p>
            <w:pPr>
              <w:ind w:left="1880"/>
              <w:spacing w:after="0"/>
              <w:rPr>
                <w:sz w:val="20"/>
                <w:szCs w:val="20"/>
                <w:color w:val="auto"/>
              </w:rPr>
            </w:pPr>
            <w:r>
              <w:rPr>
                <w:rFonts w:ascii="Arial" w:cs="Arial" w:eastAsia="Arial" w:hAnsi="Arial"/>
                <w:sz w:val="18"/>
                <w:szCs w:val="18"/>
                <w:color w:val="auto"/>
              </w:rPr>
              <w:t>Director</w:t>
            </w:r>
          </w:p>
        </w:tc>
        <w:tc>
          <w:tcPr>
            <w:tcW w:w="2480" w:type="dxa"/>
            <w:vAlign w:val="bottom"/>
          </w:tcPr>
          <w:p>
            <w:pPr>
              <w:ind w:left="980"/>
              <w:spacing w:after="0"/>
              <w:rPr>
                <w:sz w:val="20"/>
                <w:szCs w:val="20"/>
                <w:color w:val="auto"/>
              </w:rPr>
            </w:pPr>
            <w:r>
              <w:rPr>
                <w:rFonts w:ascii="Arial" w:cs="Arial" w:eastAsia="Arial" w:hAnsi="Arial"/>
                <w:sz w:val="18"/>
                <w:szCs w:val="18"/>
                <w:color w:val="auto"/>
                <w:w w:val="90"/>
              </w:rPr>
              <w:t>September 15, 2003</w:t>
            </w:r>
          </w:p>
        </w:tc>
      </w:tr>
      <w:tr>
        <w:trPr>
          <w:trHeight w:val="97"/>
        </w:trPr>
        <w:tc>
          <w:tcPr>
            <w:tcW w:w="5500" w:type="dxa"/>
            <w:vAlign w:val="bottom"/>
            <w:tcBorders>
              <w:bottom w:val="single" w:sz="8" w:color="808080"/>
            </w:tcBorders>
          </w:tcPr>
          <w:p>
            <w:pPr>
              <w:spacing w:after="0"/>
              <w:rPr>
                <w:sz w:val="8"/>
                <w:szCs w:val="8"/>
                <w:color w:val="auto"/>
              </w:rPr>
            </w:pPr>
          </w:p>
        </w:tc>
        <w:tc>
          <w:tcPr>
            <w:tcW w:w="3440" w:type="dxa"/>
            <w:vAlign w:val="bottom"/>
          </w:tcPr>
          <w:p>
            <w:pPr>
              <w:spacing w:after="0"/>
              <w:rPr>
                <w:sz w:val="8"/>
                <w:szCs w:val="8"/>
                <w:color w:val="auto"/>
              </w:rPr>
            </w:pPr>
          </w:p>
        </w:tc>
        <w:tc>
          <w:tcPr>
            <w:tcW w:w="2480" w:type="dxa"/>
            <w:vAlign w:val="bottom"/>
          </w:tcPr>
          <w:p>
            <w:pPr>
              <w:spacing w:after="0"/>
              <w:rPr>
                <w:sz w:val="8"/>
                <w:szCs w:val="8"/>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93"/>
              </w:rPr>
              <w:t>Dr. John M. Cioffi</w:t>
            </w:r>
          </w:p>
        </w:tc>
        <w:tc>
          <w:tcPr>
            <w:tcW w:w="3440" w:type="dxa"/>
            <w:vAlign w:val="bottom"/>
          </w:tcPr>
          <w:p>
            <w:pPr>
              <w:spacing w:after="0"/>
              <w:rPr>
                <w:sz w:val="24"/>
                <w:szCs w:val="24"/>
                <w:color w:val="auto"/>
              </w:rPr>
            </w:pPr>
          </w:p>
        </w:tc>
        <w:tc>
          <w:tcPr>
            <w:tcW w:w="2480" w:type="dxa"/>
            <w:vAlign w:val="bottom"/>
          </w:tcPr>
          <w:p>
            <w:pPr>
              <w:spacing w:after="0"/>
              <w:rPr>
                <w:sz w:val="24"/>
                <w:szCs w:val="24"/>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1"/>
              </w:rPr>
              <w:t>/s/ PAUL R. GRAY</w:t>
            </w:r>
          </w:p>
        </w:tc>
        <w:tc>
          <w:tcPr>
            <w:tcW w:w="3440" w:type="dxa"/>
            <w:vAlign w:val="bottom"/>
          </w:tcPr>
          <w:p>
            <w:pPr>
              <w:ind w:left="1880"/>
              <w:spacing w:after="0"/>
              <w:rPr>
                <w:sz w:val="20"/>
                <w:szCs w:val="20"/>
                <w:color w:val="auto"/>
              </w:rPr>
            </w:pPr>
            <w:r>
              <w:rPr>
                <w:rFonts w:ascii="Arial" w:cs="Arial" w:eastAsia="Arial" w:hAnsi="Arial"/>
                <w:sz w:val="18"/>
                <w:szCs w:val="18"/>
                <w:color w:val="auto"/>
              </w:rPr>
              <w:t>Director</w:t>
            </w:r>
          </w:p>
        </w:tc>
        <w:tc>
          <w:tcPr>
            <w:tcW w:w="2480" w:type="dxa"/>
            <w:vAlign w:val="bottom"/>
          </w:tcPr>
          <w:p>
            <w:pPr>
              <w:ind w:left="980"/>
              <w:spacing w:after="0"/>
              <w:rPr>
                <w:sz w:val="20"/>
                <w:szCs w:val="20"/>
                <w:color w:val="auto"/>
              </w:rPr>
            </w:pPr>
            <w:r>
              <w:rPr>
                <w:rFonts w:ascii="Arial" w:cs="Arial" w:eastAsia="Arial" w:hAnsi="Arial"/>
                <w:sz w:val="18"/>
                <w:szCs w:val="18"/>
                <w:color w:val="auto"/>
                <w:w w:val="90"/>
              </w:rPr>
              <w:t>September 15, 2003</w:t>
            </w:r>
          </w:p>
        </w:tc>
      </w:tr>
      <w:tr>
        <w:trPr>
          <w:trHeight w:val="97"/>
        </w:trPr>
        <w:tc>
          <w:tcPr>
            <w:tcW w:w="5500" w:type="dxa"/>
            <w:vAlign w:val="bottom"/>
            <w:tcBorders>
              <w:bottom w:val="single" w:sz="8" w:color="808080"/>
            </w:tcBorders>
          </w:tcPr>
          <w:p>
            <w:pPr>
              <w:spacing w:after="0"/>
              <w:rPr>
                <w:sz w:val="8"/>
                <w:szCs w:val="8"/>
                <w:color w:val="auto"/>
              </w:rPr>
            </w:pPr>
          </w:p>
        </w:tc>
        <w:tc>
          <w:tcPr>
            <w:tcW w:w="3440" w:type="dxa"/>
            <w:vAlign w:val="bottom"/>
          </w:tcPr>
          <w:p>
            <w:pPr>
              <w:spacing w:after="0"/>
              <w:rPr>
                <w:sz w:val="8"/>
                <w:szCs w:val="8"/>
                <w:color w:val="auto"/>
              </w:rPr>
            </w:pPr>
          </w:p>
        </w:tc>
        <w:tc>
          <w:tcPr>
            <w:tcW w:w="2480" w:type="dxa"/>
            <w:vAlign w:val="bottom"/>
          </w:tcPr>
          <w:p>
            <w:pPr>
              <w:spacing w:after="0"/>
              <w:rPr>
                <w:sz w:val="8"/>
                <w:szCs w:val="8"/>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89"/>
              </w:rPr>
              <w:t>Dr. Paul R. Gray</w:t>
            </w:r>
          </w:p>
        </w:tc>
        <w:tc>
          <w:tcPr>
            <w:tcW w:w="3440" w:type="dxa"/>
            <w:vAlign w:val="bottom"/>
          </w:tcPr>
          <w:p>
            <w:pPr>
              <w:spacing w:after="0"/>
              <w:rPr>
                <w:sz w:val="24"/>
                <w:szCs w:val="24"/>
                <w:color w:val="auto"/>
              </w:rPr>
            </w:pPr>
          </w:p>
        </w:tc>
        <w:tc>
          <w:tcPr>
            <w:tcW w:w="2480" w:type="dxa"/>
            <w:vAlign w:val="bottom"/>
          </w:tcPr>
          <w:p>
            <w:pPr>
              <w:spacing w:after="0"/>
              <w:rPr>
                <w:sz w:val="24"/>
                <w:szCs w:val="24"/>
                <w:color w:val="auto"/>
              </w:rPr>
            </w:pPr>
          </w:p>
        </w:tc>
      </w:tr>
      <w:tr>
        <w:trPr>
          <w:trHeight w:val="432"/>
        </w:trPr>
        <w:tc>
          <w:tcPr>
            <w:tcW w:w="5500" w:type="dxa"/>
            <w:vAlign w:val="bottom"/>
          </w:tcPr>
          <w:p>
            <w:pPr>
              <w:jc w:val="center"/>
              <w:spacing w:after="0"/>
              <w:rPr>
                <w:sz w:val="20"/>
                <w:szCs w:val="20"/>
                <w:color w:val="auto"/>
              </w:rPr>
            </w:pPr>
            <w:r>
              <w:rPr>
                <w:rFonts w:ascii="Arial" w:cs="Arial" w:eastAsia="Arial" w:hAnsi="Arial"/>
                <w:sz w:val="18"/>
                <w:szCs w:val="18"/>
                <w:color w:val="auto"/>
                <w:w w:val="92"/>
              </w:rPr>
              <w:t>/s/ RON VERDOORN</w:t>
            </w:r>
          </w:p>
        </w:tc>
        <w:tc>
          <w:tcPr>
            <w:tcW w:w="3440" w:type="dxa"/>
            <w:vAlign w:val="bottom"/>
          </w:tcPr>
          <w:p>
            <w:pPr>
              <w:ind w:left="1880"/>
              <w:spacing w:after="0"/>
              <w:rPr>
                <w:sz w:val="20"/>
                <w:szCs w:val="20"/>
                <w:color w:val="auto"/>
              </w:rPr>
            </w:pPr>
            <w:r>
              <w:rPr>
                <w:rFonts w:ascii="Arial" w:cs="Arial" w:eastAsia="Arial" w:hAnsi="Arial"/>
                <w:sz w:val="18"/>
                <w:szCs w:val="18"/>
                <w:color w:val="auto"/>
              </w:rPr>
              <w:t>Director</w:t>
            </w:r>
          </w:p>
        </w:tc>
        <w:tc>
          <w:tcPr>
            <w:tcW w:w="2480" w:type="dxa"/>
            <w:vAlign w:val="bottom"/>
          </w:tcPr>
          <w:p>
            <w:pPr>
              <w:ind w:left="980"/>
              <w:spacing w:after="0"/>
              <w:rPr>
                <w:sz w:val="20"/>
                <w:szCs w:val="20"/>
                <w:color w:val="auto"/>
              </w:rPr>
            </w:pPr>
            <w:r>
              <w:rPr>
                <w:rFonts w:ascii="Arial" w:cs="Arial" w:eastAsia="Arial" w:hAnsi="Arial"/>
                <w:sz w:val="18"/>
                <w:szCs w:val="18"/>
                <w:color w:val="auto"/>
                <w:w w:val="90"/>
              </w:rPr>
              <w:t>September 15, 2003</w:t>
            </w:r>
          </w:p>
        </w:tc>
      </w:tr>
      <w:tr>
        <w:trPr>
          <w:trHeight w:val="97"/>
        </w:trPr>
        <w:tc>
          <w:tcPr>
            <w:tcW w:w="5500" w:type="dxa"/>
            <w:vAlign w:val="bottom"/>
            <w:tcBorders>
              <w:bottom w:val="single" w:sz="8" w:color="808080"/>
            </w:tcBorders>
          </w:tcPr>
          <w:p>
            <w:pPr>
              <w:spacing w:after="0"/>
              <w:rPr>
                <w:sz w:val="8"/>
                <w:szCs w:val="8"/>
                <w:color w:val="auto"/>
              </w:rPr>
            </w:pPr>
          </w:p>
        </w:tc>
        <w:tc>
          <w:tcPr>
            <w:tcW w:w="3440" w:type="dxa"/>
            <w:vAlign w:val="bottom"/>
          </w:tcPr>
          <w:p>
            <w:pPr>
              <w:spacing w:after="0"/>
              <w:rPr>
                <w:sz w:val="8"/>
                <w:szCs w:val="8"/>
                <w:color w:val="auto"/>
              </w:rPr>
            </w:pPr>
          </w:p>
        </w:tc>
        <w:tc>
          <w:tcPr>
            <w:tcW w:w="2480" w:type="dxa"/>
            <w:vAlign w:val="bottom"/>
          </w:tcPr>
          <w:p>
            <w:pPr>
              <w:spacing w:after="0"/>
              <w:rPr>
                <w:sz w:val="8"/>
                <w:szCs w:val="8"/>
                <w:color w:val="auto"/>
              </w:rPr>
            </w:pPr>
          </w:p>
        </w:tc>
      </w:tr>
      <w:tr>
        <w:trPr>
          <w:trHeight w:val="289"/>
        </w:trPr>
        <w:tc>
          <w:tcPr>
            <w:tcW w:w="5500" w:type="dxa"/>
            <w:vAlign w:val="bottom"/>
          </w:tcPr>
          <w:p>
            <w:pPr>
              <w:jc w:val="center"/>
              <w:spacing w:after="0"/>
              <w:rPr>
                <w:sz w:val="20"/>
                <w:szCs w:val="20"/>
                <w:color w:val="auto"/>
              </w:rPr>
            </w:pPr>
            <w:r>
              <w:rPr>
                <w:rFonts w:ascii="Arial" w:cs="Arial" w:eastAsia="Arial" w:hAnsi="Arial"/>
                <w:sz w:val="18"/>
                <w:szCs w:val="18"/>
                <w:color w:val="auto"/>
                <w:w w:val="89"/>
              </w:rPr>
              <w:t>Ron Verdoorn</w:t>
            </w:r>
          </w:p>
        </w:tc>
        <w:tc>
          <w:tcPr>
            <w:tcW w:w="3440" w:type="dxa"/>
            <w:vAlign w:val="bottom"/>
          </w:tcPr>
          <w:p>
            <w:pPr>
              <w:spacing w:after="0"/>
              <w:rPr>
                <w:sz w:val="24"/>
                <w:szCs w:val="24"/>
                <w:color w:val="auto"/>
              </w:rPr>
            </w:pPr>
          </w:p>
        </w:tc>
        <w:tc>
          <w:tcPr>
            <w:tcW w:w="2480" w:type="dxa"/>
            <w:vAlign w:val="bottom"/>
          </w:tcPr>
          <w:p>
            <w:pPr>
              <w:spacing w:after="0"/>
              <w:rPr>
                <w:sz w:val="24"/>
                <w:szCs w:val="24"/>
                <w:color w:val="auto"/>
              </w:rPr>
            </w:pPr>
          </w:p>
        </w:tc>
      </w:tr>
      <w:tr>
        <w:trPr>
          <w:trHeight w:val="432"/>
        </w:trPr>
        <w:tc>
          <w:tcPr>
            <w:tcW w:w="5500" w:type="dxa"/>
            <w:vAlign w:val="bottom"/>
          </w:tcPr>
          <w:p>
            <w:pPr>
              <w:spacing w:after="0"/>
              <w:rPr>
                <w:sz w:val="24"/>
                <w:szCs w:val="24"/>
                <w:color w:val="auto"/>
              </w:rPr>
            </w:pPr>
          </w:p>
        </w:tc>
        <w:tc>
          <w:tcPr>
            <w:tcW w:w="3440" w:type="dxa"/>
            <w:vAlign w:val="bottom"/>
          </w:tcPr>
          <w:p>
            <w:pPr>
              <w:ind w:left="80"/>
              <w:spacing w:after="0"/>
              <w:rPr>
                <w:sz w:val="20"/>
                <w:szCs w:val="20"/>
                <w:color w:val="auto"/>
              </w:rPr>
            </w:pPr>
            <w:r>
              <w:rPr>
                <w:rFonts w:ascii="Arial" w:cs="Arial" w:eastAsia="Arial" w:hAnsi="Arial"/>
                <w:sz w:val="18"/>
                <w:szCs w:val="18"/>
                <w:color w:val="auto"/>
              </w:rPr>
              <w:t>II-5</w:t>
            </w:r>
          </w:p>
        </w:tc>
        <w:tc>
          <w:tcPr>
            <w:tcW w:w="2480" w:type="dxa"/>
            <w:vAlign w:val="bottom"/>
          </w:tcPr>
          <w:p>
            <w:pPr>
              <w:spacing w:after="0"/>
              <w:rPr>
                <w:sz w:val="24"/>
                <w:szCs w:val="24"/>
                <w:color w:val="auto"/>
              </w:rPr>
            </w:pPr>
          </w:p>
        </w:tc>
      </w:tr>
      <w:tr>
        <w:trPr>
          <w:trHeight w:val="228"/>
        </w:trPr>
        <w:tc>
          <w:tcPr>
            <w:tcW w:w="5500" w:type="dxa"/>
            <w:vAlign w:val="bottom"/>
            <w:tcBorders>
              <w:bottom w:val="single" w:sz="8" w:color="808080"/>
            </w:tcBorders>
          </w:tcPr>
          <w:p>
            <w:pPr>
              <w:spacing w:after="0"/>
              <w:rPr>
                <w:sz w:val="19"/>
                <w:szCs w:val="19"/>
                <w:color w:val="auto"/>
              </w:rPr>
            </w:pPr>
          </w:p>
        </w:tc>
        <w:tc>
          <w:tcPr>
            <w:tcW w:w="3440" w:type="dxa"/>
            <w:vAlign w:val="bottom"/>
            <w:tcBorders>
              <w:bottom w:val="single" w:sz="8" w:color="808080"/>
            </w:tcBorders>
          </w:tcPr>
          <w:p>
            <w:pPr>
              <w:spacing w:after="0"/>
              <w:rPr>
                <w:sz w:val="19"/>
                <w:szCs w:val="19"/>
                <w:color w:val="auto"/>
              </w:rPr>
            </w:pPr>
          </w:p>
        </w:tc>
        <w:tc>
          <w:tcPr>
            <w:tcW w:w="248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4">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5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500" w:type="dxa"/>
            <w:vAlign w:val="bottom"/>
          </w:tcPr>
          <w:p>
            <w:pPr>
              <w:ind w:left="2120"/>
              <w:spacing w:after="0"/>
              <w:rPr>
                <w:sz w:val="20"/>
                <w:szCs w:val="20"/>
                <w:color w:val="auto"/>
              </w:rPr>
            </w:pPr>
            <w:r>
              <w:rPr>
                <w:rFonts w:ascii="Arial" w:cs="Arial" w:eastAsia="Arial" w:hAnsi="Arial"/>
                <w:sz w:val="18"/>
                <w:szCs w:val="18"/>
                <w:b w:val="1"/>
                <w:bCs w:val="1"/>
                <w:color w:val="auto"/>
              </w:rPr>
              <w:t>EXHIBIT INDEX</w:t>
            </w:r>
          </w:p>
        </w:tc>
      </w:tr>
      <w:tr>
        <w:trPr>
          <w:trHeight w:val="596"/>
        </w:trPr>
        <w:tc>
          <w:tcPr>
            <w:tcW w:w="2580" w:type="dxa"/>
            <w:vAlign w:val="bottom"/>
          </w:tcPr>
          <w:p>
            <w:pPr>
              <w:jc w:val="right"/>
              <w:ind w:right="736"/>
              <w:spacing w:after="0"/>
              <w:rPr>
                <w:sz w:val="20"/>
                <w:szCs w:val="20"/>
                <w:color w:val="auto"/>
              </w:rPr>
            </w:pPr>
            <w:r>
              <w:rPr>
                <w:rFonts w:ascii="Arial" w:cs="Arial" w:eastAsia="Arial" w:hAnsi="Arial"/>
                <w:sz w:val="14"/>
                <w:szCs w:val="14"/>
                <w:b w:val="1"/>
                <w:bCs w:val="1"/>
                <w:color w:val="auto"/>
              </w:rPr>
              <w:t>Exhibit Number</w:t>
            </w:r>
          </w:p>
        </w:tc>
        <w:tc>
          <w:tcPr>
            <w:tcW w:w="340" w:type="dxa"/>
            <w:vAlign w:val="bottom"/>
          </w:tcPr>
          <w:p>
            <w:pPr>
              <w:spacing w:after="0"/>
              <w:rPr>
                <w:sz w:val="24"/>
                <w:szCs w:val="24"/>
                <w:color w:val="auto"/>
              </w:rPr>
            </w:pPr>
          </w:p>
        </w:tc>
        <w:tc>
          <w:tcPr>
            <w:tcW w:w="8500" w:type="dxa"/>
            <w:vAlign w:val="bottom"/>
          </w:tcPr>
          <w:p>
            <w:pPr>
              <w:ind w:left="3540"/>
              <w:spacing w:after="0"/>
              <w:rPr>
                <w:sz w:val="20"/>
                <w:szCs w:val="20"/>
                <w:color w:val="auto"/>
              </w:rPr>
            </w:pPr>
            <w:r>
              <w:rPr>
                <w:rFonts w:ascii="Arial" w:cs="Arial" w:eastAsia="Arial" w:hAnsi="Arial"/>
                <w:sz w:val="14"/>
                <w:szCs w:val="14"/>
                <w:b w:val="1"/>
                <w:bCs w:val="1"/>
                <w:color w:val="auto"/>
              </w:rPr>
              <w:t>Description of Document</w:t>
            </w:r>
          </w:p>
        </w:tc>
      </w:tr>
      <w:tr>
        <w:trPr>
          <w:trHeight w:val="95"/>
        </w:trPr>
        <w:tc>
          <w:tcPr>
            <w:tcW w:w="2580" w:type="dxa"/>
            <w:vAlign w:val="bottom"/>
            <w:tcBorders>
              <w:bottom w:val="single" w:sz="8" w:color="808080"/>
            </w:tcBorders>
          </w:tcPr>
          <w:p>
            <w:pPr>
              <w:spacing w:after="0"/>
              <w:rPr>
                <w:sz w:val="8"/>
                <w:szCs w:val="8"/>
                <w:color w:val="auto"/>
              </w:rPr>
            </w:pPr>
          </w:p>
        </w:tc>
        <w:tc>
          <w:tcPr>
            <w:tcW w:w="340" w:type="dxa"/>
            <w:vAlign w:val="bottom"/>
          </w:tcPr>
          <w:p>
            <w:pPr>
              <w:spacing w:after="0"/>
              <w:rPr>
                <w:sz w:val="8"/>
                <w:szCs w:val="8"/>
                <w:color w:val="auto"/>
              </w:rPr>
            </w:pPr>
          </w:p>
        </w:tc>
        <w:tc>
          <w:tcPr>
            <w:tcW w:w="8500" w:type="dxa"/>
            <w:vAlign w:val="bottom"/>
            <w:tcBorders>
              <w:bottom w:val="single" w:sz="8" w:color="808080"/>
            </w:tcBorders>
          </w:tcPr>
          <w:p>
            <w:pPr>
              <w:spacing w:after="0"/>
              <w:rPr>
                <w:sz w:val="8"/>
                <w:szCs w:val="8"/>
                <w:color w:val="auto"/>
              </w:rPr>
            </w:pPr>
          </w:p>
        </w:tc>
      </w:tr>
      <w:tr>
        <w:trPr>
          <w:trHeight w:val="309"/>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5.1*</w:t>
            </w:r>
          </w:p>
        </w:tc>
        <w:tc>
          <w:tcPr>
            <w:tcW w:w="340" w:type="dxa"/>
            <w:vAlign w:val="bottom"/>
          </w:tcPr>
          <w:p>
            <w:pPr>
              <w:spacing w:after="0"/>
              <w:rPr>
                <w:sz w:val="24"/>
                <w:szCs w:val="24"/>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Opinion of Appleby Spurling &amp; Kempe.</w:t>
            </w:r>
          </w:p>
        </w:tc>
      </w:tr>
      <w:tr>
        <w:trPr>
          <w:trHeight w:val="216"/>
        </w:trPr>
        <w:tc>
          <w:tcPr>
            <w:tcW w:w="2580" w:type="dxa"/>
            <w:vAlign w:val="bottom"/>
          </w:tcPr>
          <w:p>
            <w:pPr>
              <w:jc w:val="right"/>
              <w:ind w:right="956"/>
              <w:spacing w:after="0"/>
              <w:rPr>
                <w:sz w:val="20"/>
                <w:szCs w:val="20"/>
                <w:color w:val="auto"/>
              </w:rPr>
            </w:pPr>
            <w:r>
              <w:rPr>
                <w:rFonts w:ascii="Arial" w:cs="Arial" w:eastAsia="Arial" w:hAnsi="Arial"/>
                <w:sz w:val="18"/>
                <w:szCs w:val="18"/>
                <w:color w:val="auto"/>
              </w:rPr>
              <w:t>23.1</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PricewaterhouseCoopers LLP, Independent Accountants.</w:t>
            </w:r>
          </w:p>
        </w:tc>
      </w:tr>
      <w:tr>
        <w:trPr>
          <w:trHeight w:val="216"/>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23.2*</w:t>
            </w:r>
          </w:p>
        </w:tc>
        <w:tc>
          <w:tcPr>
            <w:tcW w:w="34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Consent of Appleby Spurling &amp; Kempe (included in its opinion filed as Exhibit 5.1).</w:t>
            </w:r>
          </w:p>
        </w:tc>
      </w:tr>
      <w:tr>
        <w:trPr>
          <w:trHeight w:val="222"/>
        </w:trPr>
        <w:tc>
          <w:tcPr>
            <w:tcW w:w="2580" w:type="dxa"/>
            <w:vAlign w:val="bottom"/>
          </w:tcPr>
          <w:p>
            <w:pPr>
              <w:jc w:val="right"/>
              <w:ind w:right="876"/>
              <w:spacing w:after="0"/>
              <w:rPr>
                <w:sz w:val="20"/>
                <w:szCs w:val="20"/>
                <w:color w:val="auto"/>
              </w:rPr>
            </w:pPr>
            <w:r>
              <w:rPr>
                <w:rFonts w:ascii="Arial" w:cs="Arial" w:eastAsia="Arial" w:hAnsi="Arial"/>
                <w:sz w:val="18"/>
                <w:szCs w:val="18"/>
                <w:color w:val="auto"/>
              </w:rPr>
              <w:t>24.1*</w:t>
            </w:r>
          </w:p>
        </w:tc>
        <w:tc>
          <w:tcPr>
            <w:tcW w:w="340" w:type="dxa"/>
            <w:vAlign w:val="bottom"/>
          </w:tcPr>
          <w:p>
            <w:pPr>
              <w:spacing w:after="0"/>
              <w:rPr>
                <w:sz w:val="19"/>
                <w:szCs w:val="19"/>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Power of Attorney.</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200" w:lineRule="exact"/>
        <w:rPr>
          <w:sz w:val="20"/>
          <w:szCs w:val="20"/>
          <w:color w:val="auto"/>
        </w:rPr>
      </w:pPr>
    </w:p>
    <w:p>
      <w:pPr>
        <w:spacing w:after="0" w:line="219" w:lineRule="exact"/>
        <w:rPr>
          <w:sz w:val="20"/>
          <w:szCs w:val="20"/>
          <w:color w:val="auto"/>
        </w:rPr>
      </w:pPr>
    </w:p>
    <w:p>
      <w:pPr>
        <w:spacing w:after="0"/>
        <w:tabs>
          <w:tab w:leader="none" w:pos="22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Filed previously.</w:t>
      </w:r>
    </w:p>
    <w:p>
      <w:pPr>
        <w:sectPr>
          <w:pgSz w:w="11900" w:h="16838" w:orient="portrait"/>
          <w:cols w:equalWidth="0" w:num="1">
            <w:col w:w="11420"/>
          </w:cols>
          <w:pgMar w:left="240" w:top="419" w:right="239" w:bottom="1440" w:gutter="0" w:footer="0" w:header="0"/>
        </w:sectPr>
      </w:pPr>
    </w:p>
    <w:bookmarkStart w:id="39" w:name="page40"/>
    <w:bookmarkEnd w:id="39"/>
    <w:p>
      <w:pPr>
        <w:jc w:val="right"/>
        <w:ind w:right="1779"/>
        <w:spacing w:after="0"/>
        <w:rPr>
          <w:sz w:val="20"/>
          <w:szCs w:val="20"/>
          <w:color w:val="auto"/>
        </w:rPr>
      </w:pPr>
      <w:r>
        <w:rPr>
          <w:rFonts w:ascii="Courier New" w:cs="Courier New" w:eastAsia="Courier New" w:hAnsi="Courier New"/>
          <w:sz w:val="18"/>
          <w:szCs w:val="18"/>
          <w:color w:val="auto"/>
        </w:rPr>
        <w:t>EXHIBIT 23.1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We hereby consent to the incorporation by reference in this Registration Statement on Form S-3 of our report dated February 26, 2003 relating to the financial statements, which appears in Marvell Technology Group Ltd.'s Annual Report on Form 10-K for the year ended February 1, 2003. We also consent to the reference to us under the heading "Experts" in such Registration Statement.</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PricewaterhouseCoopers LLP</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 Jose, California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September 15, 2003</w:t>
      </w:r>
    </w:p>
    <w:sectPr>
      <w:pgSz w:w="11900" w:h="16838" w:orient="portrait"/>
      <w:cols w:equalWidth="0" w:num="1">
        <w:col w:w="10219"/>
      </w:cols>
      <w:pgMar w:left="240" w:top="7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
      <w:numFmt w:val="bullet"/>
      <w:start w:val="1"/>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
      <w:numFmt w:val="bullet"/>
      <w:start w:val="1"/>
    </w:lvl>
  </w:abstractNum>
  <w:abstractNum w:abstractNumId="4">
    <w:nsid w:val="66EF438D"/>
    <w:multiLevelType w:val="hybridMultilevel"/>
    <w:lvl w:ilvl="0">
      <w:lvlJc w:val="left"/>
      <w:lvlText w:val="•"/>
      <w:numFmt w:val="bullet"/>
      <w:start w:val="1"/>
    </w:lvl>
  </w:abstractNum>
  <w:abstractNum w:abstractNumId="5">
    <w:nsid w:val="140E0F76"/>
    <w:multiLevelType w:val="hybridMultilevel"/>
    <w:lvl w:ilvl="0">
      <w:lvlJc w:val="left"/>
      <w:lvlText w:val="•"/>
      <w:numFmt w:val="bullet"/>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1)"/>
      <w:numFmt w:val="decimal"/>
      <w:start w:val="1"/>
    </w:lvl>
  </w:abstractNum>
  <w:abstractNum w:abstractNumId="11">
    <w:nsid w:val="41A7C4C9"/>
    <w:multiLevelType w:val="hybridMultilevel"/>
    <w:lvl w:ilvl="0">
      <w:lvlJc w:val="left"/>
      <w:lvlText w:val="(%1)"/>
      <w:numFmt w:val="decimal"/>
      <w:start w:val="10"/>
    </w:lvl>
  </w:abstractNum>
  <w:abstractNum w:abstractNumId="12">
    <w:nsid w:val="6B68079A"/>
    <w:multiLevelType w:val="hybridMultilevel"/>
    <w:lvl w:ilvl="0">
      <w:lvlJc w:val="left"/>
      <w:lvlText w:val="•"/>
      <w:numFmt w:val="bullet"/>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1"/>
      <w:numFmt w:val="decimal"/>
      <w:start w:val="700"/>
    </w:lvl>
  </w:abstractNum>
  <w:abstractNum w:abstractNumId="16">
    <w:nsid w:val="431BD7B7"/>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17">
    <w:nsid w:val="3F2DBA31"/>
    <w:multiLevelType w:val="hybridMultilevel"/>
    <w:lvl w:ilvl="0">
      <w:lvlJc w:val="left"/>
      <w:lvlText w:val="%1"/>
      <w:numFmt w:val="lowerLetter"/>
      <w:start w:val="1"/>
    </w:lvl>
    <w:lvl w:ilvl="1">
      <w:lvlJc w:val="left"/>
      <w:lvlText w:val="(%2)"/>
      <w:numFmt w:val="decimal"/>
      <w:start w:val="2"/>
    </w:lvl>
  </w:abstractNum>
  <w:abstractNum w:abstractNumId="18">
    <w:nsid w:val="7C83E458"/>
    <w:multiLevelType w:val="hybridMultilevel"/>
    <w:lvl w:ilvl="0">
      <w:lvlJc w:val="left"/>
      <w:lvlText w:val="(%1)"/>
      <w:numFmt w:val="lowerLetter"/>
      <w:start w:val="2"/>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2019-12-14T20:12:35Z</dcterms:created>
  <dcterms:modified xsi:type="dcterms:W3CDTF">2019-12-14T20:12:35Z</dcterms:modified>
</cp:coreProperties>
</file>