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265" w:lineRule="exact"/>
        <w:rPr>
          <w:sz w:val="20"/>
          <w:szCs w:val="20"/>
          <w:color w:val="auto"/>
        </w:rPr>
      </w:pPr>
    </w:p>
    <w:p>
      <w:pPr>
        <w:jc w:val="center"/>
        <w:ind w:right="-1200"/>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ind w:left="4920"/>
        <w:spacing w:after="0"/>
        <w:rPr>
          <w:sz w:val="20"/>
          <w:szCs w:val="20"/>
          <w:color w:val="auto"/>
        </w:rPr>
      </w:pPr>
      <w:r>
        <w:rPr>
          <w:rFonts w:ascii="Arial" w:cs="Arial" w:eastAsia="Arial" w:hAnsi="Arial"/>
          <w:sz w:val="32"/>
          <w:szCs w:val="32"/>
          <w:b w:val="1"/>
          <w:bCs w:val="1"/>
          <w:color w:val="auto"/>
        </w:rPr>
        <w:t>FORM 8-K</w:t>
      </w:r>
    </w:p>
    <w:p>
      <w:pPr>
        <w:spacing w:after="0" w:line="24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CURRENT REPORT</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PURSUANT TO SECTION 13 OR 15(d) OF</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THE SECURITIES EXCHANGE ACT OF 1934</w:t>
      </w:r>
    </w:p>
    <w:p>
      <w:pPr>
        <w:spacing w:after="0" w:line="213"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August 21, 2003</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Date of report</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(Date of earliest event reported)</w:t>
      </w:r>
    </w:p>
    <w:p>
      <w:pPr>
        <w:spacing w:after="0" w:line="184" w:lineRule="exact"/>
        <w:rPr>
          <w:sz w:val="20"/>
          <w:szCs w:val="20"/>
          <w:color w:val="auto"/>
        </w:rPr>
      </w:pPr>
    </w:p>
    <w:p>
      <w:pPr>
        <w:jc w:val="right"/>
        <w:ind w:right="419"/>
        <w:spacing w:after="0"/>
        <w:rPr>
          <w:sz w:val="20"/>
          <w:szCs w:val="20"/>
          <w:color w:val="auto"/>
        </w:rPr>
      </w:pPr>
      <w:r>
        <w:rPr>
          <w:rFonts w:ascii="Arial" w:cs="Arial" w:eastAsia="Arial" w:hAnsi="Arial"/>
          <w:sz w:val="43"/>
          <w:szCs w:val="43"/>
          <w:b w:val="1"/>
          <w:bCs w:val="1"/>
          <w:color w:val="auto"/>
        </w:rPr>
        <w:t>MARVELL TECHNOLOGY GROUP LTD.</w:t>
      </w:r>
    </w:p>
    <w:p>
      <w:pPr>
        <w:spacing w:after="0" w:line="250" w:lineRule="exact"/>
        <w:rPr>
          <w:sz w:val="20"/>
          <w:szCs w:val="20"/>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52" w:lineRule="exact"/>
        <w:rPr>
          <w:sz w:val="20"/>
          <w:szCs w:val="20"/>
          <w:color w:val="auto"/>
        </w:rPr>
      </w:pPr>
    </w:p>
    <w:tbl>
      <w:tblPr>
        <w:tblLayout w:type="fixed"/>
        <w:tblInd w:w="1380" w:type="dxa"/>
        <w:tblCellMar>
          <w:top w:w="0" w:type="dxa"/>
          <w:left w:w="0" w:type="dxa"/>
          <w:bottom w:w="0" w:type="dxa"/>
          <w:right w:w="0" w:type="dxa"/>
        </w:tblCellMar>
      </w:tblPr>
      <w:tr>
        <w:trPr>
          <w:trHeight w:val="216"/>
        </w:trPr>
        <w:tc>
          <w:tcPr>
            <w:tcW w:w="2680" w:type="dxa"/>
            <w:vAlign w:val="bottom"/>
          </w:tcPr>
          <w:p>
            <w:pPr>
              <w:jc w:val="center"/>
              <w:ind w:right="312"/>
              <w:spacing w:after="0"/>
              <w:rPr>
                <w:sz w:val="20"/>
                <w:szCs w:val="20"/>
                <w:color w:val="auto"/>
              </w:rPr>
            </w:pPr>
            <w:r>
              <w:rPr>
                <w:rFonts w:ascii="Arial" w:cs="Arial" w:eastAsia="Arial" w:hAnsi="Arial"/>
                <w:sz w:val="18"/>
                <w:szCs w:val="18"/>
                <w:b w:val="1"/>
                <w:bCs w:val="1"/>
                <w:color w:val="auto"/>
                <w:w w:val="92"/>
              </w:rPr>
              <w:t>Bermuda</w:t>
            </w:r>
          </w:p>
        </w:tc>
        <w:tc>
          <w:tcPr>
            <w:tcW w:w="3840" w:type="dxa"/>
            <w:vAlign w:val="bottom"/>
          </w:tcPr>
          <w:p>
            <w:pPr>
              <w:jc w:val="center"/>
              <w:ind w:right="12"/>
              <w:spacing w:after="0"/>
              <w:rPr>
                <w:sz w:val="20"/>
                <w:szCs w:val="20"/>
                <w:color w:val="auto"/>
              </w:rPr>
            </w:pPr>
            <w:r>
              <w:rPr>
                <w:rFonts w:ascii="Arial" w:cs="Arial" w:eastAsia="Arial" w:hAnsi="Arial"/>
                <w:sz w:val="18"/>
                <w:szCs w:val="18"/>
                <w:b w:val="1"/>
                <w:bCs w:val="1"/>
                <w:color w:val="auto"/>
                <w:w w:val="87"/>
              </w:rPr>
              <w:t>0-30877</w:t>
            </w:r>
          </w:p>
        </w:tc>
        <w:tc>
          <w:tcPr>
            <w:tcW w:w="1900" w:type="dxa"/>
            <w:vAlign w:val="bottom"/>
          </w:tcPr>
          <w:p>
            <w:pPr>
              <w:jc w:val="center"/>
              <w:ind w:left="432"/>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2680" w:type="dxa"/>
            <w:vAlign w:val="bottom"/>
          </w:tcPr>
          <w:p>
            <w:pPr>
              <w:jc w:val="center"/>
              <w:ind w:right="312"/>
              <w:spacing w:after="0"/>
              <w:rPr>
                <w:sz w:val="20"/>
                <w:szCs w:val="20"/>
                <w:color w:val="auto"/>
              </w:rPr>
            </w:pPr>
            <w:r>
              <w:rPr>
                <w:rFonts w:ascii="Arial" w:cs="Arial" w:eastAsia="Arial" w:hAnsi="Arial"/>
                <w:sz w:val="18"/>
                <w:szCs w:val="18"/>
                <w:b w:val="1"/>
                <w:bCs w:val="1"/>
                <w:color w:val="auto"/>
                <w:w w:val="89"/>
              </w:rPr>
              <w:t>(State or other jurisdiction of</w:t>
            </w:r>
          </w:p>
        </w:tc>
        <w:tc>
          <w:tcPr>
            <w:tcW w:w="3840" w:type="dxa"/>
            <w:vAlign w:val="bottom"/>
          </w:tcPr>
          <w:p>
            <w:pPr>
              <w:jc w:val="center"/>
              <w:ind w:right="32"/>
              <w:spacing w:after="0"/>
              <w:rPr>
                <w:sz w:val="20"/>
                <w:szCs w:val="20"/>
                <w:color w:val="auto"/>
              </w:rPr>
            </w:pPr>
            <w:r>
              <w:rPr>
                <w:rFonts w:ascii="Arial" w:cs="Arial" w:eastAsia="Arial" w:hAnsi="Arial"/>
                <w:sz w:val="18"/>
                <w:szCs w:val="18"/>
                <w:b w:val="1"/>
                <w:bCs w:val="1"/>
                <w:color w:val="auto"/>
                <w:w w:val="87"/>
              </w:rPr>
              <w:t>(Commission File</w:t>
            </w:r>
          </w:p>
        </w:tc>
        <w:tc>
          <w:tcPr>
            <w:tcW w:w="1900" w:type="dxa"/>
            <w:vAlign w:val="bottom"/>
          </w:tcPr>
          <w:p>
            <w:pPr>
              <w:jc w:val="center"/>
              <w:ind w:left="432"/>
              <w:spacing w:after="0"/>
              <w:rPr>
                <w:sz w:val="20"/>
                <w:szCs w:val="20"/>
                <w:color w:val="auto"/>
              </w:rPr>
            </w:pPr>
            <w:r>
              <w:rPr>
                <w:rFonts w:ascii="Arial" w:cs="Arial" w:eastAsia="Arial" w:hAnsi="Arial"/>
                <w:sz w:val="18"/>
                <w:szCs w:val="18"/>
                <w:b w:val="1"/>
                <w:bCs w:val="1"/>
                <w:color w:val="auto"/>
                <w:w w:val="91"/>
              </w:rPr>
              <w:t>(I.R.S. Employer</w:t>
            </w:r>
          </w:p>
        </w:tc>
      </w:tr>
      <w:tr>
        <w:trPr>
          <w:trHeight w:val="228"/>
        </w:trPr>
        <w:tc>
          <w:tcPr>
            <w:tcW w:w="2680" w:type="dxa"/>
            <w:vAlign w:val="bottom"/>
          </w:tcPr>
          <w:p>
            <w:pPr>
              <w:jc w:val="center"/>
              <w:ind w:right="312"/>
              <w:spacing w:after="0"/>
              <w:rPr>
                <w:sz w:val="20"/>
                <w:szCs w:val="20"/>
                <w:color w:val="auto"/>
              </w:rPr>
            </w:pPr>
            <w:r>
              <w:rPr>
                <w:rFonts w:ascii="Arial" w:cs="Arial" w:eastAsia="Arial" w:hAnsi="Arial"/>
                <w:sz w:val="18"/>
                <w:szCs w:val="18"/>
                <w:b w:val="1"/>
                <w:bCs w:val="1"/>
                <w:color w:val="auto"/>
                <w:w w:val="88"/>
              </w:rPr>
              <w:t>incorporation or organization)</w:t>
            </w:r>
          </w:p>
        </w:tc>
        <w:tc>
          <w:tcPr>
            <w:tcW w:w="3840" w:type="dxa"/>
            <w:vAlign w:val="bottom"/>
          </w:tcPr>
          <w:p>
            <w:pPr>
              <w:jc w:val="center"/>
              <w:ind w:right="32"/>
              <w:spacing w:after="0"/>
              <w:rPr>
                <w:sz w:val="20"/>
                <w:szCs w:val="20"/>
                <w:color w:val="auto"/>
              </w:rPr>
            </w:pPr>
            <w:r>
              <w:rPr>
                <w:rFonts w:ascii="Arial" w:cs="Arial" w:eastAsia="Arial" w:hAnsi="Arial"/>
                <w:sz w:val="18"/>
                <w:szCs w:val="18"/>
                <w:b w:val="1"/>
                <w:bCs w:val="1"/>
                <w:color w:val="auto"/>
                <w:w w:val="91"/>
              </w:rPr>
              <w:t>Number)</w:t>
            </w:r>
          </w:p>
        </w:tc>
        <w:tc>
          <w:tcPr>
            <w:tcW w:w="1900" w:type="dxa"/>
            <w:vAlign w:val="bottom"/>
          </w:tcPr>
          <w:p>
            <w:pPr>
              <w:jc w:val="center"/>
              <w:ind w:left="432"/>
              <w:spacing w:after="0"/>
              <w:rPr>
                <w:sz w:val="20"/>
                <w:szCs w:val="20"/>
                <w:color w:val="auto"/>
              </w:rPr>
            </w:pPr>
            <w:r>
              <w:rPr>
                <w:rFonts w:ascii="Arial" w:cs="Arial" w:eastAsia="Arial" w:hAnsi="Arial"/>
                <w:sz w:val="18"/>
                <w:szCs w:val="18"/>
                <w:b w:val="1"/>
                <w:bCs w:val="1"/>
                <w:color w:val="auto"/>
                <w:w w:val="90"/>
              </w:rPr>
              <w:t>Identification No.)</w:t>
            </w:r>
          </w:p>
        </w:tc>
      </w:tr>
      <w:tr>
        <w:trPr>
          <w:trHeight w:val="420"/>
        </w:trPr>
        <w:tc>
          <w:tcPr>
            <w:tcW w:w="2680" w:type="dxa"/>
            <w:vAlign w:val="bottom"/>
          </w:tcPr>
          <w:p>
            <w:pPr>
              <w:spacing w:after="0"/>
              <w:rPr>
                <w:sz w:val="24"/>
                <w:szCs w:val="24"/>
                <w:color w:val="auto"/>
              </w:rPr>
            </w:pPr>
          </w:p>
        </w:tc>
        <w:tc>
          <w:tcPr>
            <w:tcW w:w="3840" w:type="dxa"/>
            <w:vAlign w:val="bottom"/>
          </w:tcPr>
          <w:p>
            <w:pPr>
              <w:jc w:val="center"/>
              <w:ind w:right="12"/>
              <w:spacing w:after="0"/>
              <w:rPr>
                <w:sz w:val="20"/>
                <w:szCs w:val="20"/>
                <w:color w:val="auto"/>
              </w:rPr>
            </w:pPr>
            <w:r>
              <w:rPr>
                <w:rFonts w:ascii="Arial" w:cs="Arial" w:eastAsia="Arial" w:hAnsi="Arial"/>
                <w:sz w:val="18"/>
                <w:szCs w:val="18"/>
                <w:b w:val="1"/>
                <w:bCs w:val="1"/>
                <w:color w:val="auto"/>
                <w:w w:val="90"/>
              </w:rPr>
              <w:t>4th Floor</w:t>
            </w:r>
          </w:p>
        </w:tc>
        <w:tc>
          <w:tcPr>
            <w:tcW w:w="1900" w:type="dxa"/>
            <w:vAlign w:val="bottom"/>
          </w:tcPr>
          <w:p>
            <w:pPr>
              <w:spacing w:after="0"/>
              <w:rPr>
                <w:sz w:val="24"/>
                <w:szCs w:val="24"/>
                <w:color w:val="auto"/>
              </w:rPr>
            </w:pPr>
          </w:p>
        </w:tc>
      </w:tr>
      <w:tr>
        <w:trPr>
          <w:trHeight w:val="216"/>
        </w:trPr>
        <w:tc>
          <w:tcPr>
            <w:tcW w:w="2680" w:type="dxa"/>
            <w:vAlign w:val="bottom"/>
          </w:tcPr>
          <w:p>
            <w:pPr>
              <w:spacing w:after="0"/>
              <w:rPr>
                <w:sz w:val="18"/>
                <w:szCs w:val="18"/>
                <w:color w:val="auto"/>
              </w:rPr>
            </w:pPr>
          </w:p>
        </w:tc>
        <w:tc>
          <w:tcPr>
            <w:tcW w:w="3840" w:type="dxa"/>
            <w:vAlign w:val="bottom"/>
          </w:tcPr>
          <w:p>
            <w:pPr>
              <w:jc w:val="center"/>
              <w:ind w:right="12"/>
              <w:spacing w:after="0"/>
              <w:rPr>
                <w:sz w:val="20"/>
                <w:szCs w:val="20"/>
                <w:color w:val="auto"/>
              </w:rPr>
            </w:pPr>
            <w:r>
              <w:rPr>
                <w:rFonts w:ascii="Arial" w:cs="Arial" w:eastAsia="Arial" w:hAnsi="Arial"/>
                <w:sz w:val="18"/>
                <w:szCs w:val="18"/>
                <w:b w:val="1"/>
                <w:bCs w:val="1"/>
                <w:color w:val="auto"/>
                <w:w w:val="88"/>
              </w:rPr>
              <w:t>Windsor Place</w:t>
            </w:r>
          </w:p>
        </w:tc>
        <w:tc>
          <w:tcPr>
            <w:tcW w:w="1900" w:type="dxa"/>
            <w:vAlign w:val="bottom"/>
          </w:tcPr>
          <w:p>
            <w:pPr>
              <w:spacing w:after="0"/>
              <w:rPr>
                <w:sz w:val="18"/>
                <w:szCs w:val="18"/>
                <w:color w:val="auto"/>
              </w:rPr>
            </w:pPr>
          </w:p>
        </w:tc>
      </w:tr>
      <w:tr>
        <w:trPr>
          <w:trHeight w:val="216"/>
        </w:trPr>
        <w:tc>
          <w:tcPr>
            <w:tcW w:w="2680" w:type="dxa"/>
            <w:vAlign w:val="bottom"/>
          </w:tcPr>
          <w:p>
            <w:pPr>
              <w:spacing w:after="0"/>
              <w:rPr>
                <w:sz w:val="18"/>
                <w:szCs w:val="18"/>
                <w:color w:val="auto"/>
              </w:rPr>
            </w:pPr>
          </w:p>
        </w:tc>
        <w:tc>
          <w:tcPr>
            <w:tcW w:w="3840" w:type="dxa"/>
            <w:vAlign w:val="bottom"/>
          </w:tcPr>
          <w:p>
            <w:pPr>
              <w:jc w:val="center"/>
              <w:ind w:right="32"/>
              <w:spacing w:after="0"/>
              <w:rPr>
                <w:sz w:val="20"/>
                <w:szCs w:val="20"/>
                <w:color w:val="auto"/>
              </w:rPr>
            </w:pPr>
            <w:r>
              <w:rPr>
                <w:rFonts w:ascii="Arial" w:cs="Arial" w:eastAsia="Arial" w:hAnsi="Arial"/>
                <w:sz w:val="18"/>
                <w:szCs w:val="18"/>
                <w:b w:val="1"/>
                <w:bCs w:val="1"/>
                <w:color w:val="auto"/>
                <w:w w:val="87"/>
              </w:rPr>
              <w:t>22 Queen Street</w:t>
            </w:r>
          </w:p>
        </w:tc>
        <w:tc>
          <w:tcPr>
            <w:tcW w:w="1900" w:type="dxa"/>
            <w:vAlign w:val="bottom"/>
          </w:tcPr>
          <w:p>
            <w:pPr>
              <w:spacing w:after="0"/>
              <w:rPr>
                <w:sz w:val="18"/>
                <w:szCs w:val="18"/>
                <w:color w:val="auto"/>
              </w:rPr>
            </w:pPr>
          </w:p>
        </w:tc>
      </w:tr>
      <w:tr>
        <w:trPr>
          <w:trHeight w:val="216"/>
        </w:trPr>
        <w:tc>
          <w:tcPr>
            <w:tcW w:w="2680" w:type="dxa"/>
            <w:vAlign w:val="bottom"/>
          </w:tcPr>
          <w:p>
            <w:pPr>
              <w:spacing w:after="0"/>
              <w:rPr>
                <w:sz w:val="18"/>
                <w:szCs w:val="18"/>
                <w:color w:val="auto"/>
              </w:rPr>
            </w:pPr>
          </w:p>
        </w:tc>
        <w:tc>
          <w:tcPr>
            <w:tcW w:w="3840" w:type="dxa"/>
            <w:vAlign w:val="bottom"/>
          </w:tcPr>
          <w:p>
            <w:pPr>
              <w:jc w:val="center"/>
              <w:ind w:right="12"/>
              <w:spacing w:after="0"/>
              <w:rPr>
                <w:sz w:val="20"/>
                <w:szCs w:val="20"/>
                <w:color w:val="auto"/>
              </w:rPr>
            </w:pPr>
            <w:r>
              <w:rPr>
                <w:rFonts w:ascii="Arial" w:cs="Arial" w:eastAsia="Arial" w:hAnsi="Arial"/>
                <w:sz w:val="18"/>
                <w:szCs w:val="18"/>
                <w:b w:val="1"/>
                <w:bCs w:val="1"/>
                <w:color w:val="auto"/>
                <w:w w:val="90"/>
              </w:rPr>
              <w:t>P.O. Box HM 1179</w:t>
            </w:r>
          </w:p>
        </w:tc>
        <w:tc>
          <w:tcPr>
            <w:tcW w:w="1900" w:type="dxa"/>
            <w:vAlign w:val="bottom"/>
          </w:tcPr>
          <w:p>
            <w:pPr>
              <w:spacing w:after="0"/>
              <w:rPr>
                <w:sz w:val="18"/>
                <w:szCs w:val="18"/>
                <w:color w:val="auto"/>
              </w:rPr>
            </w:pPr>
          </w:p>
        </w:tc>
      </w:tr>
      <w:tr>
        <w:trPr>
          <w:trHeight w:val="216"/>
        </w:trPr>
        <w:tc>
          <w:tcPr>
            <w:tcW w:w="2680" w:type="dxa"/>
            <w:vAlign w:val="bottom"/>
          </w:tcPr>
          <w:p>
            <w:pPr>
              <w:spacing w:after="0"/>
              <w:rPr>
                <w:sz w:val="18"/>
                <w:szCs w:val="18"/>
                <w:color w:val="auto"/>
              </w:rPr>
            </w:pPr>
          </w:p>
        </w:tc>
        <w:tc>
          <w:tcPr>
            <w:tcW w:w="3840" w:type="dxa"/>
            <w:vAlign w:val="bottom"/>
          </w:tcPr>
          <w:p>
            <w:pPr>
              <w:jc w:val="center"/>
              <w:ind w:right="12"/>
              <w:spacing w:after="0"/>
              <w:rPr>
                <w:sz w:val="20"/>
                <w:szCs w:val="20"/>
                <w:color w:val="auto"/>
              </w:rPr>
            </w:pPr>
            <w:r>
              <w:rPr>
                <w:rFonts w:ascii="Arial" w:cs="Arial" w:eastAsia="Arial" w:hAnsi="Arial"/>
                <w:sz w:val="18"/>
                <w:szCs w:val="18"/>
                <w:b w:val="1"/>
                <w:bCs w:val="1"/>
                <w:color w:val="auto"/>
                <w:w w:val="96"/>
              </w:rPr>
              <w:t>Hamilton HM EX</w:t>
            </w:r>
          </w:p>
        </w:tc>
        <w:tc>
          <w:tcPr>
            <w:tcW w:w="1900" w:type="dxa"/>
            <w:vAlign w:val="bottom"/>
          </w:tcPr>
          <w:p>
            <w:pPr>
              <w:spacing w:after="0"/>
              <w:rPr>
                <w:sz w:val="18"/>
                <w:szCs w:val="18"/>
                <w:color w:val="auto"/>
              </w:rPr>
            </w:pPr>
          </w:p>
        </w:tc>
      </w:tr>
      <w:tr>
        <w:trPr>
          <w:trHeight w:val="216"/>
        </w:trPr>
        <w:tc>
          <w:tcPr>
            <w:tcW w:w="2680" w:type="dxa"/>
            <w:vAlign w:val="bottom"/>
          </w:tcPr>
          <w:p>
            <w:pPr>
              <w:spacing w:after="0"/>
              <w:rPr>
                <w:sz w:val="18"/>
                <w:szCs w:val="18"/>
                <w:color w:val="auto"/>
              </w:rPr>
            </w:pPr>
          </w:p>
        </w:tc>
        <w:tc>
          <w:tcPr>
            <w:tcW w:w="3840" w:type="dxa"/>
            <w:vAlign w:val="bottom"/>
          </w:tcPr>
          <w:p>
            <w:pPr>
              <w:jc w:val="center"/>
              <w:ind w:right="12"/>
              <w:spacing w:after="0"/>
              <w:rPr>
                <w:sz w:val="20"/>
                <w:szCs w:val="20"/>
                <w:color w:val="auto"/>
              </w:rPr>
            </w:pPr>
            <w:r>
              <w:rPr>
                <w:rFonts w:ascii="Arial" w:cs="Arial" w:eastAsia="Arial" w:hAnsi="Arial"/>
                <w:sz w:val="18"/>
                <w:szCs w:val="18"/>
                <w:b w:val="1"/>
                <w:bCs w:val="1"/>
                <w:color w:val="auto"/>
                <w:w w:val="89"/>
              </w:rPr>
              <w:t>Bermuda</w:t>
            </w:r>
          </w:p>
        </w:tc>
        <w:tc>
          <w:tcPr>
            <w:tcW w:w="1900" w:type="dxa"/>
            <w:vAlign w:val="bottom"/>
          </w:tcPr>
          <w:p>
            <w:pPr>
              <w:spacing w:after="0"/>
              <w:rPr>
                <w:sz w:val="18"/>
                <w:szCs w:val="18"/>
                <w:color w:val="auto"/>
              </w:rPr>
            </w:pPr>
          </w:p>
        </w:tc>
      </w:tr>
      <w:tr>
        <w:trPr>
          <w:trHeight w:val="228"/>
        </w:trPr>
        <w:tc>
          <w:tcPr>
            <w:tcW w:w="2680" w:type="dxa"/>
            <w:vAlign w:val="bottom"/>
          </w:tcPr>
          <w:p>
            <w:pPr>
              <w:spacing w:after="0"/>
              <w:rPr>
                <w:sz w:val="19"/>
                <w:szCs w:val="19"/>
                <w:color w:val="auto"/>
              </w:rPr>
            </w:pPr>
          </w:p>
        </w:tc>
        <w:tc>
          <w:tcPr>
            <w:tcW w:w="3840" w:type="dxa"/>
            <w:vAlign w:val="bottom"/>
          </w:tcPr>
          <w:p>
            <w:pPr>
              <w:jc w:val="center"/>
              <w:ind w:right="12"/>
              <w:spacing w:after="0"/>
              <w:rPr>
                <w:sz w:val="20"/>
                <w:szCs w:val="20"/>
                <w:color w:val="auto"/>
              </w:rPr>
            </w:pPr>
            <w:r>
              <w:rPr>
                <w:rFonts w:ascii="Arial" w:cs="Arial" w:eastAsia="Arial" w:hAnsi="Arial"/>
                <w:sz w:val="18"/>
                <w:szCs w:val="18"/>
                <w:b w:val="1"/>
                <w:bCs w:val="1"/>
                <w:color w:val="auto"/>
                <w:w w:val="86"/>
              </w:rPr>
              <w:t>(Address of principal executive offices)</w:t>
            </w:r>
          </w:p>
        </w:tc>
        <w:tc>
          <w:tcPr>
            <w:tcW w:w="1900" w:type="dxa"/>
            <w:vAlign w:val="bottom"/>
          </w:tcPr>
          <w:p>
            <w:pPr>
              <w:jc w:val="center"/>
              <w:ind w:left="432"/>
              <w:spacing w:after="0"/>
              <w:rPr>
                <w:sz w:val="20"/>
                <w:szCs w:val="20"/>
                <w:color w:val="auto"/>
              </w:rPr>
            </w:pPr>
            <w:r>
              <w:rPr>
                <w:rFonts w:ascii="Arial" w:cs="Arial" w:eastAsia="Arial" w:hAnsi="Arial"/>
                <w:sz w:val="18"/>
                <w:szCs w:val="18"/>
                <w:b w:val="1"/>
                <w:bCs w:val="1"/>
                <w:color w:val="auto"/>
                <w:w w:val="92"/>
              </w:rPr>
              <w:t>(Zip Code)</w:t>
            </w:r>
          </w:p>
        </w:tc>
      </w:tr>
    </w:tbl>
    <w:p>
      <w:pPr>
        <w:spacing w:after="0" w:line="204"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Registrant’s telephone number, including area code: (441) 296-6395</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N/A</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(Former name and former address, if changed since last report)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116205</wp:posOffset>
            </wp:positionV>
            <wp:extent cx="7250430"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562610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122" w:right="1440" w:bottom="1440" w:gutter="0" w:footer="0" w:header="0"/>
        </w:sectPr>
      </w:pPr>
    </w:p>
    <w:bookmarkStart w:id="2" w:name="page3"/>
    <w:bookmarkEnd w:id="2"/>
    <w:p>
      <w:pPr>
        <w:ind w:left="3980"/>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24"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7. Financial Statements and Exhibits.</w:t>
        </w:r>
      </w:hyperlink>
    </w:p>
    <w:p>
      <w:pPr>
        <w:ind w:left="320"/>
        <w:spacing w:after="0" w:line="238" w:lineRule="auto"/>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12. Results of Operations and Financial Condition.</w:t>
        </w:r>
      </w:hyperlink>
    </w:p>
    <w:p>
      <w:pPr>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SIGNATURE</w:t>
        </w:r>
      </w:hyperlink>
    </w:p>
    <w:p>
      <w:pPr>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Financial Statements and Exhibits.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(c) Exhibits.</w:t>
      </w: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580" w:type="dxa"/>
            <w:vAlign w:val="bottom"/>
          </w:tcPr>
          <w:p>
            <w:pPr>
              <w:jc w:val="right"/>
              <w:spacing w:after="0"/>
              <w:rPr>
                <w:sz w:val="20"/>
                <w:szCs w:val="20"/>
                <w:color w:val="auto"/>
              </w:rPr>
            </w:pPr>
            <w:r>
              <w:rPr>
                <w:rFonts w:ascii="Arial" w:cs="Arial" w:eastAsia="Arial" w:hAnsi="Arial"/>
                <w:sz w:val="14"/>
                <w:szCs w:val="14"/>
                <w:b w:val="1"/>
                <w:bCs w:val="1"/>
                <w:color w:val="auto"/>
              </w:rPr>
              <w:t>Exhibit</w:t>
            </w:r>
          </w:p>
        </w:tc>
        <w:tc>
          <w:tcPr>
            <w:tcW w:w="580" w:type="dxa"/>
            <w:vAlign w:val="bottom"/>
          </w:tcPr>
          <w:p>
            <w:pPr>
              <w:spacing w:after="0"/>
              <w:rPr>
                <w:sz w:val="15"/>
                <w:szCs w:val="15"/>
                <w:color w:val="auto"/>
              </w:rPr>
            </w:pPr>
          </w:p>
        </w:tc>
        <w:tc>
          <w:tcPr>
            <w:tcW w:w="4560" w:type="dxa"/>
            <w:vAlign w:val="bottom"/>
          </w:tcPr>
          <w:p>
            <w:pPr>
              <w:ind w:left="194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58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4560" w:type="dxa"/>
            <w:vAlign w:val="bottom"/>
            <w:tcBorders>
              <w:bottom w:val="single" w:sz="8" w:color="808080"/>
            </w:tcBorders>
          </w:tcPr>
          <w:p>
            <w:pPr>
              <w:spacing w:after="0"/>
              <w:rPr>
                <w:sz w:val="8"/>
                <w:szCs w:val="8"/>
                <w:color w:val="auto"/>
              </w:rPr>
            </w:pPr>
          </w:p>
        </w:tc>
      </w:tr>
      <w:tr>
        <w:trPr>
          <w:trHeight w:val="316"/>
        </w:trPr>
        <w:tc>
          <w:tcPr>
            <w:tcW w:w="580" w:type="dxa"/>
            <w:vAlign w:val="bottom"/>
          </w:tcPr>
          <w:p>
            <w:pPr>
              <w:jc w:val="right"/>
              <w:ind w:right="182"/>
              <w:spacing w:after="0"/>
              <w:rPr>
                <w:sz w:val="20"/>
                <w:szCs w:val="20"/>
                <w:color w:val="auto"/>
              </w:rPr>
            </w:pPr>
            <w:r>
              <w:rPr>
                <w:rFonts w:ascii="Arial" w:cs="Arial" w:eastAsia="Arial" w:hAnsi="Arial"/>
                <w:sz w:val="18"/>
                <w:szCs w:val="18"/>
                <w:color w:val="auto"/>
                <w:w w:val="85"/>
              </w:rPr>
              <w:t>99.1</w:t>
            </w:r>
          </w:p>
        </w:tc>
        <w:tc>
          <w:tcPr>
            <w:tcW w:w="580" w:type="dxa"/>
            <w:vAlign w:val="bottom"/>
          </w:tcPr>
          <w:p>
            <w:pPr>
              <w:spacing w:after="0"/>
              <w:rPr>
                <w:sz w:val="24"/>
                <w:szCs w:val="24"/>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Press Release dated August 21, 2003.</w:t>
            </w:r>
          </w:p>
        </w:tc>
      </w:tr>
    </w:tbl>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12. Results of Operations and Financial Condition.</w:t>
      </w:r>
    </w:p>
    <w:p>
      <w:pPr>
        <w:spacing w:after="0" w:line="231" w:lineRule="exact"/>
        <w:rPr>
          <w:sz w:val="20"/>
          <w:szCs w:val="20"/>
          <w:color w:val="auto"/>
        </w:rPr>
      </w:pPr>
    </w:p>
    <w:p>
      <w:pPr>
        <w:jc w:val="both"/>
        <w:ind w:right="40" w:firstLine="216"/>
        <w:spacing w:after="0" w:line="306"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61" w:lineRule="exact"/>
        <w:rPr>
          <w:sz w:val="20"/>
          <w:szCs w:val="20"/>
          <w:color w:val="auto"/>
        </w:rPr>
      </w:pPr>
    </w:p>
    <w:p>
      <w:pPr>
        <w:ind w:right="300" w:firstLine="220"/>
        <w:spacing w:after="0" w:line="268" w:lineRule="auto"/>
        <w:rPr>
          <w:sz w:val="20"/>
          <w:szCs w:val="20"/>
          <w:color w:val="auto"/>
        </w:rPr>
      </w:pPr>
      <w:r>
        <w:rPr>
          <w:rFonts w:ascii="Arial" w:cs="Arial" w:eastAsia="Arial" w:hAnsi="Arial"/>
          <w:sz w:val="18"/>
          <w:szCs w:val="18"/>
          <w:color w:val="auto"/>
        </w:rPr>
        <w:t>On August 21, 2003, Marvell Technology Group, Ltd. (“Marvell”) issued a press release regarding its financial results for its second fiscal quarter ended August 2, 2003. The full text of Marvell’s press release is furnished herewith as Exhibit 99.1.</w:t>
      </w:r>
    </w:p>
    <w:p>
      <w:pPr>
        <w:spacing w:after="0" w:line="186" w:lineRule="exact"/>
        <w:rPr>
          <w:sz w:val="20"/>
          <w:szCs w:val="20"/>
          <w:color w:val="auto"/>
        </w:rPr>
      </w:pPr>
    </w:p>
    <w:p>
      <w:pPr>
        <w:ind w:firstLine="216"/>
        <w:spacing w:after="0" w:line="306" w:lineRule="auto"/>
        <w:rPr>
          <w:sz w:val="20"/>
          <w:szCs w:val="20"/>
          <w:color w:val="auto"/>
        </w:rPr>
      </w:pPr>
      <w:r>
        <w:rPr>
          <w:rFonts w:ascii="Arial" w:cs="Arial" w:eastAsia="Arial" w:hAnsi="Arial"/>
          <w:sz w:val="16"/>
          <w:szCs w:val="16"/>
          <w:color w:val="auto"/>
        </w:rPr>
        <w:t>The following non-GAAP financial measures are included in the press release: pro forma net income (loss) and basic and diluted net income (loss)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61" w:lineRule="exact"/>
        <w:rPr>
          <w:sz w:val="20"/>
          <w:szCs w:val="20"/>
          <w:color w:val="auto"/>
        </w:rPr>
      </w:pPr>
    </w:p>
    <w:p>
      <w:pPr>
        <w:ind w:right="260" w:firstLine="220"/>
        <w:spacing w:after="0" w:line="335" w:lineRule="auto"/>
        <w:rPr>
          <w:sz w:val="20"/>
          <w:szCs w:val="20"/>
          <w:color w:val="auto"/>
        </w:rPr>
      </w:pPr>
      <w:r>
        <w:rPr>
          <w:rFonts w:ascii="Arial" w:cs="Arial" w:eastAsia="Arial" w:hAnsi="Arial"/>
          <w:sz w:val="15"/>
          <w:szCs w:val="15"/>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367665</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60"/>
          </w:cols>
          <w:pgMar w:left="240" w:top="419" w:right="39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SIGNATURE</w:t>
      </w:r>
    </w:p>
    <w:p>
      <w:pPr>
        <w:spacing w:after="0" w:line="231" w:lineRule="exact"/>
        <w:rPr>
          <w:sz w:val="20"/>
          <w:szCs w:val="20"/>
          <w:color w:val="auto"/>
        </w:rPr>
      </w:pPr>
    </w:p>
    <w:p>
      <w:pPr>
        <w:ind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29" w:lineRule="exact"/>
        <w:rPr>
          <w:sz w:val="20"/>
          <w:szCs w:val="20"/>
          <w:color w:val="auto"/>
        </w:rPr>
      </w:pPr>
    </w:p>
    <w:p>
      <w:pPr>
        <w:ind w:left="300"/>
        <w:spacing w:after="0"/>
        <w:rPr>
          <w:sz w:val="20"/>
          <w:szCs w:val="20"/>
          <w:color w:val="auto"/>
        </w:rPr>
      </w:pPr>
      <w:r>
        <w:rPr>
          <w:rFonts w:ascii="Arial" w:cs="Arial" w:eastAsia="Arial" w:hAnsi="Arial"/>
          <w:sz w:val="18"/>
          <w:szCs w:val="18"/>
          <w:color w:val="auto"/>
        </w:rPr>
        <w:t>Date: August 21, 2003</w:t>
      </w:r>
    </w:p>
    <w:p>
      <w:pPr>
        <w:spacing w:after="0" w:line="15" w:lineRule="exact"/>
        <w:rPr>
          <w:sz w:val="20"/>
          <w:szCs w:val="20"/>
          <w:color w:val="auto"/>
        </w:rPr>
      </w:pPr>
    </w:p>
    <w:p>
      <w:pPr>
        <w:ind w:left="6160"/>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235" w:lineRule="exact"/>
        <w:rPr>
          <w:sz w:val="20"/>
          <w:szCs w:val="20"/>
          <w:color w:val="auto"/>
        </w:rPr>
      </w:pPr>
    </w:p>
    <w:p>
      <w:pPr>
        <w:ind w:left="6160"/>
        <w:spacing w:after="0"/>
        <w:tabs>
          <w:tab w:leader="none" w:pos="81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4190365</wp:posOffset>
            </wp:positionH>
            <wp:positionV relativeFrom="paragraph">
              <wp:posOffset>71120</wp:posOffset>
            </wp:positionV>
            <wp:extent cx="288163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881630" cy="8890"/>
                    </a:xfrm>
                    <a:prstGeom prst="rect">
                      <a:avLst/>
                    </a:prstGeom>
                    <a:noFill/>
                  </pic:spPr>
                </pic:pic>
              </a:graphicData>
            </a:graphic>
          </wp:anchor>
        </w:drawing>
      </w:r>
    </w:p>
    <w:p>
      <w:pPr>
        <w:spacing w:after="0" w:line="178" w:lineRule="exact"/>
        <w:rPr>
          <w:sz w:val="20"/>
          <w:szCs w:val="20"/>
          <w:color w:val="auto"/>
        </w:rPr>
      </w:pPr>
    </w:p>
    <w:p>
      <w:pPr>
        <w:jc w:val="center"/>
        <w:ind w:left="6300"/>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jc w:val="center"/>
        <w:ind w:left="630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6300"/>
        <w:spacing w:after="0"/>
        <w:rPr>
          <w:sz w:val="20"/>
          <w:szCs w:val="20"/>
          <w:color w:val="auto"/>
        </w:rPr>
      </w:pPr>
      <w:r>
        <w:rPr>
          <w:rFonts w:ascii="Arial" w:cs="Arial" w:eastAsia="Arial" w:hAnsi="Arial"/>
          <w:sz w:val="18"/>
          <w:szCs w:val="18"/>
          <w:color w:val="auto"/>
        </w:rPr>
        <w:t>Chief Financial Officer</w:t>
      </w:r>
    </w:p>
    <w:p>
      <w:pPr>
        <w:spacing w:after="0" w:line="2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20"/>
          </w:cols>
          <w:pgMar w:left="240" w:top="419" w:right="4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right"/>
        <w:ind w:right="3859"/>
        <w:spacing w:after="0"/>
        <w:rPr>
          <w:sz w:val="20"/>
          <w:szCs w:val="20"/>
          <w:color w:val="auto"/>
        </w:rPr>
      </w:pPr>
      <w:r>
        <w:rPr>
          <w:rFonts w:ascii="Arial" w:cs="Arial" w:eastAsia="Arial" w:hAnsi="Arial"/>
          <w:sz w:val="18"/>
          <w:szCs w:val="18"/>
          <w:color w:val="auto"/>
        </w:rPr>
        <w:t>EXHIBIT INDEX</w:t>
      </w: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980" w:type="dxa"/>
            <w:vAlign w:val="bottom"/>
          </w:tcPr>
          <w:p>
            <w:pPr>
              <w:ind w:left="160"/>
              <w:spacing w:after="0"/>
              <w:rPr>
                <w:sz w:val="20"/>
                <w:szCs w:val="20"/>
                <w:color w:val="auto"/>
              </w:rPr>
            </w:pPr>
            <w:r>
              <w:rPr>
                <w:rFonts w:ascii="Arial" w:cs="Arial" w:eastAsia="Arial" w:hAnsi="Arial"/>
                <w:sz w:val="14"/>
                <w:szCs w:val="14"/>
                <w:b w:val="1"/>
                <w:bCs w:val="1"/>
                <w:color w:val="auto"/>
              </w:rPr>
              <w:t>Exhibit No.</w:t>
            </w:r>
          </w:p>
        </w:tc>
        <w:tc>
          <w:tcPr>
            <w:tcW w:w="1040" w:type="dxa"/>
            <w:vAlign w:val="bottom"/>
          </w:tcPr>
          <w:p>
            <w:pPr>
              <w:spacing w:after="0"/>
              <w:rPr>
                <w:sz w:val="15"/>
                <w:szCs w:val="15"/>
                <w:color w:val="auto"/>
              </w:rPr>
            </w:pPr>
          </w:p>
        </w:tc>
        <w:tc>
          <w:tcPr>
            <w:tcW w:w="3720" w:type="dxa"/>
            <w:vAlign w:val="bottom"/>
          </w:tcPr>
          <w:p>
            <w:pPr>
              <w:ind w:left="1560"/>
              <w:spacing w:after="0"/>
              <w:rPr>
                <w:sz w:val="20"/>
                <w:szCs w:val="20"/>
                <w:color w:val="auto"/>
              </w:rPr>
            </w:pPr>
            <w:r>
              <w:rPr>
                <w:rFonts w:ascii="Arial" w:cs="Arial" w:eastAsia="Arial" w:hAnsi="Arial"/>
                <w:sz w:val="14"/>
                <w:szCs w:val="14"/>
                <w:b w:val="1"/>
                <w:bCs w:val="1"/>
                <w:color w:val="auto"/>
              </w:rPr>
              <w:t>Document</w:t>
            </w:r>
          </w:p>
        </w:tc>
      </w:tr>
      <w:tr>
        <w:trPr>
          <w:trHeight w:val="95"/>
        </w:trPr>
        <w:tc>
          <w:tcPr>
            <w:tcW w:w="980" w:type="dxa"/>
            <w:vAlign w:val="bottom"/>
            <w:tcBorders>
              <w:bottom w:val="single" w:sz="8" w:color="808080"/>
            </w:tcBorders>
          </w:tcPr>
          <w:p>
            <w:pPr>
              <w:spacing w:after="0"/>
              <w:rPr>
                <w:sz w:val="8"/>
                <w:szCs w:val="8"/>
                <w:color w:val="auto"/>
              </w:rPr>
            </w:pPr>
          </w:p>
        </w:tc>
        <w:tc>
          <w:tcPr>
            <w:tcW w:w="1040" w:type="dxa"/>
            <w:vAlign w:val="bottom"/>
          </w:tcPr>
          <w:p>
            <w:pPr>
              <w:spacing w:after="0"/>
              <w:rPr>
                <w:sz w:val="8"/>
                <w:szCs w:val="8"/>
                <w:color w:val="auto"/>
              </w:rPr>
            </w:pPr>
          </w:p>
        </w:tc>
        <w:tc>
          <w:tcPr>
            <w:tcW w:w="3720" w:type="dxa"/>
            <w:vAlign w:val="bottom"/>
            <w:tcBorders>
              <w:bottom w:val="single" w:sz="8" w:color="808080"/>
            </w:tcBorders>
          </w:tcPr>
          <w:p>
            <w:pPr>
              <w:spacing w:after="0"/>
              <w:rPr>
                <w:sz w:val="8"/>
                <w:szCs w:val="8"/>
                <w:color w:val="auto"/>
              </w:rPr>
            </w:pPr>
          </w:p>
        </w:tc>
      </w:tr>
      <w:tr>
        <w:trPr>
          <w:trHeight w:val="316"/>
        </w:trPr>
        <w:tc>
          <w:tcPr>
            <w:tcW w:w="980" w:type="dxa"/>
            <w:vAlign w:val="bottom"/>
          </w:tcPr>
          <w:p>
            <w:pPr>
              <w:spacing w:after="0"/>
              <w:rPr>
                <w:sz w:val="20"/>
                <w:szCs w:val="20"/>
                <w:color w:val="auto"/>
              </w:rPr>
            </w:pPr>
            <w:r>
              <w:rPr>
                <w:rFonts w:ascii="Arial" w:cs="Arial" w:eastAsia="Arial" w:hAnsi="Arial"/>
                <w:sz w:val="18"/>
                <w:szCs w:val="18"/>
                <w:color w:val="auto"/>
              </w:rPr>
              <w:t>Exhibit 99.1</w:t>
            </w:r>
          </w:p>
        </w:tc>
        <w:tc>
          <w:tcPr>
            <w:tcW w:w="1040" w:type="dxa"/>
            <w:vAlign w:val="bottom"/>
          </w:tcPr>
          <w:p>
            <w:pPr>
              <w:spacing w:after="0"/>
              <w:rPr>
                <w:sz w:val="24"/>
                <w:szCs w:val="24"/>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Press Release issued August 21, 2003.</w:t>
            </w:r>
          </w:p>
        </w:tc>
      </w:tr>
    </w:tbl>
    <w:p>
      <w:pPr>
        <w:sectPr>
          <w:pgSz w:w="11900" w:h="16838" w:orient="portrait"/>
          <w:cols w:equalWidth="0" w:num="1">
            <w:col w:w="10219"/>
          </w:cols>
          <w:pgMar w:left="240" w:top="419" w:right="1440"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color w:val="auto"/>
        </w:rPr>
        <w:t>Exhibit 99.1</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color w:val="auto"/>
        </w:rPr>
        <w:t>NEWS RELEASE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Marvell® Technology Group Ltd. Reports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Record Second Quarter Fiscal 2004 Results</w:t>
      </w:r>
    </w:p>
    <w:p>
      <w:pPr>
        <w:spacing w:after="0" w:line="219" w:lineRule="exact"/>
        <w:rPr>
          <w:sz w:val="20"/>
          <w:szCs w:val="20"/>
          <w:color w:val="auto"/>
        </w:rPr>
      </w:pPr>
    </w:p>
    <w:p>
      <w:pPr>
        <w:ind w:right="360"/>
        <w:spacing w:after="0" w:line="339" w:lineRule="auto"/>
        <w:rPr>
          <w:sz w:val="20"/>
          <w:szCs w:val="20"/>
          <w:color w:val="auto"/>
        </w:rPr>
      </w:pPr>
      <w:r>
        <w:rPr>
          <w:rFonts w:ascii="Arial" w:cs="Arial" w:eastAsia="Arial" w:hAnsi="Arial"/>
          <w:sz w:val="16"/>
          <w:szCs w:val="16"/>
          <w:color w:val="auto"/>
        </w:rPr>
        <w:t xml:space="preserve">Sunnyvale, CA. (August 21, 2003) </w:t>
      </w:r>
      <w:r>
        <w:rPr>
          <w:rFonts w:ascii="Arial" w:cs="Arial" w:eastAsia="Arial" w:hAnsi="Arial"/>
          <w:sz w:val="16"/>
          <w:szCs w:val="16"/>
          <w:b w:val="1"/>
          <w:bCs w:val="1"/>
          <w:color w:val="auto"/>
        </w:rPr>
        <w:t>–</w:t>
      </w:r>
      <w:r>
        <w:rPr>
          <w:rFonts w:ascii="Arial" w:cs="Arial" w:eastAsia="Arial" w:hAnsi="Arial"/>
          <w:sz w:val="16"/>
          <w:szCs w:val="16"/>
          <w:color w:val="auto"/>
        </w:rPr>
        <w:t xml:space="preserve"> Marvell® Technology Group Ltd. (NASDAQ: MRVL), the technology leader in the development of extreme broadband communications and storage solutions, today reported financial results for its second fiscal quarter ended August 2, 2003.</w:t>
      </w:r>
    </w:p>
    <w:p>
      <w:pPr>
        <w:spacing w:after="0" w:line="134"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Net revenue for the second quarter of fiscal 2004 was a record $192.9 million, an increase of 61% over net revenue of $119.7 million for the second quarter of fiscal 2003 and a 15% sequential increase from net revenue of $168.3 million for the first quarter of fiscal 2004. Net income under generally accepted accounting principles (GAAP) was $9.4 million, or $0.07 per share (diluted), for the second quarter of fiscal 2004, compared with net loss under GAAP of $9.3 million, or $0.08 per share (diluted), for the second quarter of fiscal 2003.</w:t>
      </w:r>
    </w:p>
    <w:p>
      <w:pPr>
        <w:spacing w:after="0" w:line="197" w:lineRule="exact"/>
        <w:rPr>
          <w:sz w:val="20"/>
          <w:szCs w:val="20"/>
          <w:color w:val="auto"/>
        </w:rPr>
      </w:pPr>
    </w:p>
    <w:p>
      <w:pPr>
        <w:jc w:val="both"/>
        <w:ind w:right="60"/>
        <w:spacing w:after="0" w:line="259" w:lineRule="auto"/>
        <w:rPr>
          <w:sz w:val="20"/>
          <w:szCs w:val="20"/>
          <w:color w:val="auto"/>
        </w:rPr>
      </w:pPr>
      <w:r>
        <w:rPr>
          <w:rFonts w:ascii="Arial" w:cs="Arial" w:eastAsia="Arial" w:hAnsi="Arial"/>
          <w:sz w:val="18"/>
          <w:szCs w:val="18"/>
          <w:color w:val="auto"/>
        </w:rPr>
        <w:t>Net revenue for the six months ended August 2, 2003 was $361.1 million, an increase of 65% over net revenue of $218.5 million for six months ended August 3, 2002. Net income under GAAP was $13.8 million, or $0.10 per share (diluted), for the six months ended August 2, 2003, compared with net loss under GAAP of $40.3 million, or $0.34 per share (diluted), for the six months ended August 3, 2002.</w:t>
      </w:r>
    </w:p>
    <w:p>
      <w:pPr>
        <w:spacing w:after="0" w:line="194" w:lineRule="exact"/>
        <w:rPr>
          <w:sz w:val="20"/>
          <w:szCs w:val="20"/>
          <w:color w:val="auto"/>
        </w:rPr>
      </w:pPr>
    </w:p>
    <w:p>
      <w:pPr>
        <w:ind w:right="80"/>
        <w:spacing w:after="0" w:line="294" w:lineRule="auto"/>
        <w:rPr>
          <w:sz w:val="20"/>
          <w:szCs w:val="20"/>
          <w:color w:val="auto"/>
        </w:rPr>
      </w:pPr>
      <w:r>
        <w:rPr>
          <w:rFonts w:ascii="Arial" w:cs="Arial" w:eastAsia="Arial" w:hAnsi="Arial"/>
          <w:sz w:val="16"/>
          <w:szCs w:val="16"/>
          <w:color w:val="auto"/>
        </w:rPr>
        <w:t>Marvell reports net income (loss) and basic and diluted net income (loss) per share in accordance with GAAP and additionally on a non-GAAP basis, referred to as pro forma. Pro forma net income, where applicable, excludes the effect of acquisition-related expenses, amortization of stock-based compensation and charges related to facilities consolidation. Pro forma net income was $30.0 million, or $0.22 per share (diluted), for the second quarter of fiscal 2004, compared with pro forma net income of $14.2 million, or $0.11 per share (diluted), for the second quarter of fiscal 2003. Shares used in computing pro forma net income per share for the second quarter of fiscal 2004 increased to 136.8 million, compared with 129.6 million for the second quarter of fiscal 2003.</w:t>
      </w:r>
    </w:p>
    <w:p>
      <w:pPr>
        <w:spacing w:after="0" w:line="170" w:lineRule="exact"/>
        <w:rPr>
          <w:sz w:val="20"/>
          <w:szCs w:val="20"/>
          <w:color w:val="auto"/>
        </w:rPr>
      </w:pPr>
    </w:p>
    <w:p>
      <w:pPr>
        <w:ind w:right="40"/>
        <w:spacing w:after="0" w:line="294" w:lineRule="auto"/>
        <w:rPr>
          <w:sz w:val="20"/>
          <w:szCs w:val="20"/>
          <w:color w:val="auto"/>
        </w:rPr>
      </w:pPr>
      <w:r>
        <w:rPr>
          <w:rFonts w:ascii="Arial" w:cs="Arial" w:eastAsia="Arial" w:hAnsi="Arial"/>
          <w:sz w:val="16"/>
          <w:szCs w:val="16"/>
          <w:color w:val="auto"/>
        </w:rPr>
        <w:t>Pro forma net income was $54.5 million, or $0.41 per share (diluted), for the six months ended August 2, 2003, compared with pro forma net income of $24.7 million, or $0.19 per share (diluted), for the six months ended August 3, 2002. Shares used in computing pro forma net income per share for the six months ended August 2, 2003 were 133.2 million, compared to 131.0 million for the six months ended August 3, 2002. These non-GAAP measures should be considered in addition to, and not as a substitute for, the results prepared in accordance with GAAP. A reconciliation of GAAP net income (loss) to pro forma net income is included in the financial statements portion of this release as well as on our website in the Investors section at www.marvell.com.</w:t>
      </w:r>
    </w:p>
    <w:p>
      <w:pPr>
        <w:spacing w:after="0" w:line="170"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Marvell’s management believes the non-GAAP information is useful because it can enhance the understanding of the Company’s ongoing economic performance and Marvell therefore uses pro forma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395605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941" w:right="239" w:bottom="1440" w:gutter="0" w:footer="0" w:header="0"/>
        </w:sectPr>
      </w:pPr>
    </w:p>
    <w:bookmarkStart w:id="7" w:name="page8"/>
    <w:bookmarkEnd w:id="7"/>
    <w:p>
      <w:pPr>
        <w:ind w:right="340"/>
        <w:spacing w:after="0" w:line="268" w:lineRule="auto"/>
        <w:rPr>
          <w:sz w:val="20"/>
          <w:szCs w:val="20"/>
          <w:color w:val="auto"/>
        </w:rPr>
      </w:pPr>
      <w:r>
        <w:rPr>
          <w:rFonts w:ascii="Arial" w:cs="Arial" w:eastAsia="Arial" w:hAnsi="Arial"/>
          <w:sz w:val="18"/>
          <w:szCs w:val="18"/>
          <w:color w:val="auto"/>
        </w:rPr>
        <w:t>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186"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“We are very pleased with our Q2 financial results,” stated Dr. Sehat Sutardja, Marvell’s President and CEO. “Our 15% sequential increase in quarterly revenue continues to be driven by strength in both our data storage and data communications products. Our strong execution has resulted in continued improvement in our profitability and cash flow.”</w:t>
      </w:r>
    </w:p>
    <w:p>
      <w:pPr>
        <w:spacing w:after="0" w:line="194" w:lineRule="exact"/>
        <w:rPr>
          <w:sz w:val="20"/>
          <w:szCs w:val="20"/>
          <w:color w:val="auto"/>
        </w:rPr>
      </w:pPr>
    </w:p>
    <w:p>
      <w:pPr>
        <w:ind w:right="280"/>
        <w:spacing w:after="0" w:line="256" w:lineRule="auto"/>
        <w:rPr>
          <w:sz w:val="20"/>
          <w:szCs w:val="20"/>
          <w:color w:val="auto"/>
        </w:rPr>
      </w:pPr>
      <w:r>
        <w:rPr>
          <w:rFonts w:ascii="Arial" w:cs="Arial" w:eastAsia="Arial" w:hAnsi="Arial"/>
          <w:sz w:val="18"/>
          <w:szCs w:val="18"/>
          <w:color w:val="auto"/>
        </w:rPr>
        <w:t>Marvell will be conducting a conference call today at 1:45 p.m. PDT to discuss its second quarter fiscal 2004 financial results. To listen to the conference call, investors can dial (706) 679-0800 approximately ten minutes prior to the initiation of the teleconference and refer to conference code 2045754. Replay of the conference call will be available until August 28, 2003 at midnight by calling (706) 645-9291. The conference call will also be available via the web at www.marvell.com until August 21, 2004.</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31"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31" w:lineRule="exact"/>
        <w:rPr>
          <w:sz w:val="20"/>
          <w:szCs w:val="20"/>
          <w:color w:val="auto"/>
        </w:rPr>
      </w:pPr>
    </w:p>
    <w:p>
      <w:pPr>
        <w:spacing w:after="0" w:line="309" w:lineRule="auto"/>
        <w:rPr>
          <w:sz w:val="20"/>
          <w:szCs w:val="20"/>
          <w:color w:val="auto"/>
        </w:rPr>
      </w:pPr>
      <w:r>
        <w:rPr>
          <w:rFonts w:ascii="Arial" w:cs="Arial" w:eastAsia="Arial" w:hAnsi="Arial"/>
          <w:sz w:val="15"/>
          <w:szCs w:val="15"/>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sequential increase in our quarterly revenue, strength in both our data storage and data communication products and continued improvement in our profitability and cash flow.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February 1, 2003 and Marvell’s subsequent reports on Form 10-Q. We undertake no obligation to revise or update publicly any forward-looking statements.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and the Marvell logo are trademarks of Marvell. All other trademarks are the property of their respective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420370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941" w:right="25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300" w:type="dxa"/>
            <w:vAlign w:val="bottom"/>
          </w:tcPr>
          <w:p>
            <w:pPr>
              <w:spacing w:after="0"/>
              <w:rPr>
                <w:sz w:val="15"/>
                <w:szCs w:val="15"/>
                <w:color w:val="auto"/>
              </w:rPr>
            </w:pPr>
          </w:p>
        </w:tc>
        <w:tc>
          <w:tcPr>
            <w:tcW w:w="50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400" w:type="dxa"/>
            <w:vAlign w:val="bottom"/>
            <w:gridSpan w:val="6"/>
          </w:tcPr>
          <w:p>
            <w:pPr>
              <w:jc w:val="right"/>
              <w:ind w:right="72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0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w w:val="87"/>
              </w:rPr>
              <w:t>Six Months Ended</w:t>
            </w: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30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300" w:type="dxa"/>
            <w:vAlign w:val="bottom"/>
          </w:tcPr>
          <w:p>
            <w:pPr>
              <w:spacing w:after="0"/>
              <w:rPr>
                <w:sz w:val="20"/>
                <w:szCs w:val="20"/>
                <w:color w:val="auto"/>
              </w:rPr>
            </w:pPr>
          </w:p>
        </w:tc>
        <w:tc>
          <w:tcPr>
            <w:tcW w:w="50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40" w:type="dxa"/>
            <w:vAlign w:val="bottom"/>
            <w:gridSpan w:val="2"/>
          </w:tcPr>
          <w:p>
            <w:pPr>
              <w:ind w:left="40"/>
              <w:spacing w:after="0"/>
              <w:rPr>
                <w:sz w:val="20"/>
                <w:szCs w:val="20"/>
                <w:color w:val="auto"/>
              </w:rPr>
            </w:pPr>
            <w:r>
              <w:rPr>
                <w:rFonts w:ascii="Arial" w:cs="Arial" w:eastAsia="Arial" w:hAnsi="Arial"/>
                <w:sz w:val="14"/>
                <w:szCs w:val="14"/>
                <w:b w:val="1"/>
                <w:bCs w:val="1"/>
                <w:color w:val="auto"/>
              </w:rPr>
              <w:t>August 2,</w:t>
            </w:r>
          </w:p>
        </w:tc>
        <w:tc>
          <w:tcPr>
            <w:tcW w:w="2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7"/>
              </w:rPr>
              <w:t>August 3,</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gridSpan w:val="2"/>
          </w:tcPr>
          <w:p>
            <w:pPr>
              <w:ind w:left="40"/>
              <w:spacing w:after="0"/>
              <w:rPr>
                <w:sz w:val="20"/>
                <w:szCs w:val="20"/>
                <w:color w:val="auto"/>
              </w:rPr>
            </w:pPr>
            <w:r>
              <w:rPr>
                <w:rFonts w:ascii="Arial" w:cs="Arial" w:eastAsia="Arial" w:hAnsi="Arial"/>
                <w:sz w:val="14"/>
                <w:szCs w:val="14"/>
                <w:b w:val="1"/>
                <w:bCs w:val="1"/>
                <w:color w:val="auto"/>
                <w:w w:val="84"/>
              </w:rPr>
              <w:t>August 2,</w:t>
            </w:r>
          </w:p>
        </w:tc>
        <w:tc>
          <w:tcPr>
            <w:tcW w:w="3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90"/>
              </w:rPr>
              <w:t>August 3,</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300" w:type="dxa"/>
            <w:vAlign w:val="bottom"/>
          </w:tcPr>
          <w:p>
            <w:pPr>
              <w:spacing w:after="0"/>
              <w:rPr>
                <w:sz w:val="15"/>
                <w:szCs w:val="15"/>
                <w:color w:val="auto"/>
              </w:rPr>
            </w:pPr>
          </w:p>
        </w:tc>
        <w:tc>
          <w:tcPr>
            <w:tcW w:w="50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jc w:val="right"/>
              <w:ind w:right="35"/>
              <w:spacing w:after="0"/>
              <w:rPr>
                <w:sz w:val="20"/>
                <w:szCs w:val="20"/>
                <w:color w:val="auto"/>
              </w:rPr>
            </w:pPr>
            <w:r>
              <w:rPr>
                <w:rFonts w:ascii="Arial" w:cs="Arial" w:eastAsia="Arial" w:hAnsi="Arial"/>
                <w:sz w:val="14"/>
                <w:szCs w:val="14"/>
                <w:b w:val="1"/>
                <w:bCs w:val="1"/>
                <w:color w:val="auto"/>
              </w:rPr>
              <w:t>2003</w:t>
            </w:r>
          </w:p>
        </w:tc>
        <w:tc>
          <w:tcPr>
            <w:tcW w:w="3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60" w:type="dxa"/>
            <w:vAlign w:val="bottom"/>
          </w:tcPr>
          <w:p>
            <w:pPr>
              <w:jc w:val="right"/>
              <w:ind w:right="34"/>
              <w:spacing w:after="0"/>
              <w:rPr>
                <w:sz w:val="20"/>
                <w:szCs w:val="20"/>
                <w:color w:val="auto"/>
              </w:rPr>
            </w:pPr>
            <w:r>
              <w:rPr>
                <w:rFonts w:ascii="Arial" w:cs="Arial" w:eastAsia="Arial" w:hAnsi="Arial"/>
                <w:sz w:val="14"/>
                <w:szCs w:val="14"/>
                <w:b w:val="1"/>
                <w:bCs w:val="1"/>
                <w:color w:val="auto"/>
              </w:rPr>
              <w:t>2002</w:t>
            </w:r>
          </w:p>
        </w:tc>
        <w:tc>
          <w:tcPr>
            <w:tcW w:w="3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rPr>
              <w:t>2003</w:t>
            </w: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00" w:type="dxa"/>
            <w:vAlign w:val="bottom"/>
          </w:tcPr>
          <w:p>
            <w:pPr>
              <w:jc w:val="right"/>
              <w:ind w:right="54"/>
              <w:spacing w:after="0"/>
              <w:rPr>
                <w:sz w:val="20"/>
                <w:szCs w:val="20"/>
                <w:color w:val="auto"/>
              </w:rPr>
            </w:pPr>
            <w:r>
              <w:rPr>
                <w:rFonts w:ascii="Arial" w:cs="Arial" w:eastAsia="Arial" w:hAnsi="Arial"/>
                <w:sz w:val="14"/>
                <w:szCs w:val="14"/>
                <w:b w:val="1"/>
                <w:bCs w:val="1"/>
                <w:color w:val="auto"/>
              </w:rPr>
              <w:t>2002</w:t>
            </w:r>
          </w:p>
        </w:tc>
        <w:tc>
          <w:tcPr>
            <w:tcW w:w="4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30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vMerge w:val="restart"/>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192,854</w:t>
            </w:r>
          </w:p>
        </w:tc>
        <w:tc>
          <w:tcPr>
            <w:tcW w:w="36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119,694</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361,137</w:t>
            </w:r>
          </w:p>
        </w:tc>
        <w:tc>
          <w:tcPr>
            <w:tcW w:w="2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218,494</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0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88,944</w:t>
            </w:r>
          </w:p>
        </w:tc>
        <w:tc>
          <w:tcPr>
            <w:tcW w:w="3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56,033</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165,057</w:t>
            </w:r>
          </w:p>
        </w:tc>
        <w:tc>
          <w:tcPr>
            <w:tcW w:w="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99,813</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30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vMerge w:val="restart"/>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Gross profit</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103,910</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63,661</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196,080</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118,681</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2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Research and development</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52,252</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33,599</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98,891</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64,208</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tcPr>
          <w:p>
            <w:pPr>
              <w:ind w:left="240"/>
              <w:spacing w:after="0"/>
              <w:rPr>
                <w:sz w:val="20"/>
                <w:szCs w:val="20"/>
                <w:color w:val="auto"/>
              </w:rPr>
            </w:pPr>
            <w:r>
              <w:rPr>
                <w:rFonts w:ascii="Arial" w:cs="Arial" w:eastAsia="Arial" w:hAnsi="Arial"/>
                <w:sz w:val="18"/>
                <w:szCs w:val="18"/>
                <w:color w:val="auto"/>
              </w:rPr>
              <w:t>Selling and marketing</w:t>
            </w: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14,783</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12,321</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30,246</w:t>
            </w: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23,333</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General and administrative</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4,351</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3,523</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7,931</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7,165</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tcPr>
          <w:p>
            <w:pPr>
              <w:ind w:left="240"/>
              <w:spacing w:after="0"/>
              <w:rPr>
                <w:sz w:val="20"/>
                <w:szCs w:val="20"/>
                <w:color w:val="auto"/>
              </w:rPr>
            </w:pPr>
            <w:r>
              <w:rPr>
                <w:rFonts w:ascii="Arial" w:cs="Arial" w:eastAsia="Arial" w:hAnsi="Arial"/>
                <w:sz w:val="18"/>
                <w:szCs w:val="18"/>
                <w:color w:val="auto"/>
              </w:rPr>
              <w:t>Amortization of stock-based compensation</w:t>
            </w: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1,020</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2,192</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1,678</w:t>
            </w: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4,474</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19,560</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21,323</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39,008</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42,646</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00" w:type="dxa"/>
            <w:vAlign w:val="bottom"/>
          </w:tcPr>
          <w:p>
            <w:pPr>
              <w:spacing w:after="0"/>
              <w:rPr>
                <w:sz w:val="19"/>
                <w:szCs w:val="19"/>
                <w:color w:val="auto"/>
              </w:rPr>
            </w:pPr>
          </w:p>
        </w:tc>
        <w:tc>
          <w:tcPr>
            <w:tcW w:w="5000" w:type="dxa"/>
            <w:vAlign w:val="bottom"/>
          </w:tcPr>
          <w:p>
            <w:pPr>
              <w:ind w:left="240"/>
              <w:spacing w:after="0"/>
              <w:rPr>
                <w:sz w:val="20"/>
                <w:szCs w:val="20"/>
                <w:color w:val="auto"/>
              </w:rPr>
            </w:pPr>
            <w:r>
              <w:rPr>
                <w:rFonts w:ascii="Arial" w:cs="Arial" w:eastAsia="Arial" w:hAnsi="Arial"/>
                <w:sz w:val="18"/>
                <w:szCs w:val="18"/>
                <w:color w:val="auto"/>
              </w:rPr>
              <w:t>Facilities consolidation charge</w:t>
            </w:r>
          </w:p>
        </w:tc>
        <w:tc>
          <w:tcPr>
            <w:tcW w:w="280" w:type="dxa"/>
            <w:vAlign w:val="bottom"/>
          </w:tcPr>
          <w:p>
            <w:pPr>
              <w:spacing w:after="0"/>
              <w:rPr>
                <w:sz w:val="19"/>
                <w:szCs w:val="19"/>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17,799</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30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shd w:val="clear" w:color="auto" w:fill="EEEEEE"/>
          </w:tcPr>
          <w:p>
            <w:pPr>
              <w:ind w:left="520"/>
              <w:spacing w:after="0"/>
              <w:rPr>
                <w:sz w:val="20"/>
                <w:szCs w:val="20"/>
                <w:color w:val="auto"/>
              </w:rPr>
            </w:pPr>
            <w:r>
              <w:rPr>
                <w:rFonts w:ascii="Arial" w:cs="Arial" w:eastAsia="Arial" w:hAnsi="Arial"/>
                <w:sz w:val="18"/>
                <w:szCs w:val="18"/>
                <w:color w:val="auto"/>
              </w:rPr>
              <w:t>Total operating expenses</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91,966</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72,958</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177,754</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159,625</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300" w:type="dxa"/>
            <w:vAlign w:val="bottom"/>
            <w:gridSpan w:val="2"/>
          </w:tcPr>
          <w:p>
            <w:pPr>
              <w:ind w:left="300"/>
              <w:spacing w:after="0"/>
              <w:rPr>
                <w:sz w:val="20"/>
                <w:szCs w:val="20"/>
                <w:color w:val="auto"/>
              </w:rPr>
            </w:pPr>
            <w:r>
              <w:rPr>
                <w:rFonts w:ascii="Arial" w:cs="Arial" w:eastAsia="Arial" w:hAnsi="Arial"/>
                <w:sz w:val="18"/>
                <w:szCs w:val="18"/>
                <w:color w:val="auto"/>
              </w:rPr>
              <w:t>Operating income (loss)</w:t>
            </w: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11,944</w:t>
            </w: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(9,297)</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18,326</w:t>
            </w: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2"/>
              </w:rPr>
              <w:t>(40,944)</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00" w:type="dxa"/>
            <w:vAlign w:val="bottom"/>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Interest and other income, net</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1,569</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1,906</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2,880</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4,045</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300" w:type="dxa"/>
            <w:vAlign w:val="bottom"/>
            <w:gridSpan w:val="2"/>
          </w:tcPr>
          <w:p>
            <w:pPr>
              <w:ind w:left="300"/>
              <w:spacing w:after="0"/>
              <w:rPr>
                <w:sz w:val="20"/>
                <w:szCs w:val="20"/>
                <w:color w:val="auto"/>
              </w:rPr>
            </w:pPr>
            <w:r>
              <w:rPr>
                <w:rFonts w:ascii="Arial" w:cs="Arial" w:eastAsia="Arial" w:hAnsi="Arial"/>
                <w:sz w:val="18"/>
                <w:szCs w:val="18"/>
                <w:color w:val="auto"/>
              </w:rPr>
              <w:t>Income (loss) before income taxes</w:t>
            </w: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13,513</w:t>
            </w: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(7,391)</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21,206</w:t>
            </w: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2"/>
              </w:rPr>
              <w:t>(36,899)</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00" w:type="dxa"/>
            <w:vAlign w:val="bottom"/>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Provision for income taxes</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4,091</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1,935</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7,427</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3,361</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960" w:type="dxa"/>
            <w:vAlign w:val="bottom"/>
            <w:gridSpan w:val="3"/>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300" w:type="dxa"/>
            <w:vAlign w:val="bottom"/>
            <w:gridSpan w:val="2"/>
          </w:tcPr>
          <w:p>
            <w:pPr>
              <w:ind w:left="300"/>
              <w:spacing w:after="0"/>
              <w:rPr>
                <w:sz w:val="20"/>
                <w:szCs w:val="20"/>
                <w:color w:val="auto"/>
              </w:rPr>
            </w:pPr>
            <w:r>
              <w:rPr>
                <w:rFonts w:ascii="Arial" w:cs="Arial" w:eastAsia="Arial" w:hAnsi="Arial"/>
                <w:sz w:val="18"/>
                <w:szCs w:val="18"/>
                <w:color w:val="auto"/>
              </w:rPr>
              <w:t>Net income (loss)</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9,422</w:t>
            </w:r>
          </w:p>
        </w:tc>
        <w:tc>
          <w:tcPr>
            <w:tcW w:w="360" w:type="dxa"/>
            <w:vAlign w:val="bottom"/>
          </w:tcPr>
          <w:p>
            <w:pPr>
              <w:spacing w:after="0"/>
              <w:rPr>
                <w:sz w:val="24"/>
                <w:szCs w:val="24"/>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(9,326)</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13,779</w:t>
            </w:r>
          </w:p>
        </w:tc>
        <w:tc>
          <w:tcPr>
            <w:tcW w:w="20" w:type="dxa"/>
            <w:vAlign w:val="bottom"/>
          </w:tcPr>
          <w:p>
            <w:pPr>
              <w:spacing w:after="0"/>
              <w:rPr>
                <w:sz w:val="24"/>
                <w:szCs w:val="24"/>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2"/>
              </w:rPr>
              <w:t>(40,260)</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30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00" w:type="dxa"/>
            <w:vAlign w:val="bottom"/>
          </w:tcPr>
          <w:p>
            <w:pPr>
              <w:spacing w:after="0"/>
              <w:rPr>
                <w:sz w:val="5"/>
                <w:szCs w:val="5"/>
                <w:color w:val="auto"/>
              </w:rPr>
            </w:pPr>
          </w:p>
        </w:tc>
        <w:tc>
          <w:tcPr>
            <w:tcW w:w="500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300" w:type="dxa"/>
            <w:vAlign w:val="bottom"/>
            <w:vMerge w:val="restart"/>
          </w:tcPr>
          <w:p>
            <w:pPr>
              <w:spacing w:after="0"/>
              <w:rPr>
                <w:sz w:val="9"/>
                <w:szCs w:val="9"/>
                <w:color w:val="auto"/>
              </w:rPr>
            </w:pPr>
          </w:p>
        </w:tc>
        <w:tc>
          <w:tcPr>
            <w:tcW w:w="5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0.08</w:t>
            </w:r>
          </w:p>
        </w:tc>
        <w:tc>
          <w:tcPr>
            <w:tcW w:w="36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(0.08)</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0.11</w:t>
            </w:r>
          </w:p>
        </w:tc>
        <w:tc>
          <w:tcPr>
            <w:tcW w:w="2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(0.34)</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900" w:type="dxa"/>
            <w:vAlign w:val="bottom"/>
            <w:gridSpan w:val="2"/>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960" w:type="dxa"/>
            <w:vAlign w:val="bottom"/>
            <w:gridSpan w:val="3"/>
          </w:tcPr>
          <w:p>
            <w:pPr>
              <w:spacing w:after="0"/>
              <w:rPr>
                <w:sz w:val="9"/>
                <w:szCs w:val="9"/>
                <w:color w:val="auto"/>
              </w:rPr>
            </w:pPr>
          </w:p>
        </w:tc>
        <w:tc>
          <w:tcPr>
            <w:tcW w:w="104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300" w:type="dxa"/>
            <w:vAlign w:val="bottom"/>
            <w:gridSpan w:val="2"/>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560" w:type="dxa"/>
            <w:vAlign w:val="bottom"/>
            <w:tcBorders>
              <w:right w:val="single" w:sz="8" w:color="808080"/>
            </w:tcBorders>
            <w:gridSpan w:val="2"/>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56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960" w:type="dxa"/>
            <w:vAlign w:val="bottom"/>
            <w:gridSpan w:val="3"/>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300" w:type="dxa"/>
            <w:vAlign w:val="bottom"/>
            <w:gridSpan w:val="2"/>
          </w:tcPr>
          <w:p>
            <w:pPr>
              <w:ind w:left="300"/>
              <w:spacing w:after="0"/>
              <w:rPr>
                <w:sz w:val="20"/>
                <w:szCs w:val="20"/>
                <w:color w:val="auto"/>
              </w:rPr>
            </w:pPr>
            <w:r>
              <w:rPr>
                <w:rFonts w:ascii="Arial" w:cs="Arial" w:eastAsia="Arial" w:hAnsi="Arial"/>
                <w:sz w:val="18"/>
                <w:szCs w:val="18"/>
                <w:color w:val="auto"/>
              </w:rPr>
              <w:t>Diluted net income (loss) per share</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0.07</w:t>
            </w:r>
          </w:p>
        </w:tc>
        <w:tc>
          <w:tcPr>
            <w:tcW w:w="360" w:type="dxa"/>
            <w:vAlign w:val="bottom"/>
          </w:tcPr>
          <w:p>
            <w:pPr>
              <w:spacing w:after="0"/>
              <w:rPr>
                <w:sz w:val="24"/>
                <w:szCs w:val="24"/>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(0.08)</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0.10</w:t>
            </w:r>
          </w:p>
        </w:tc>
        <w:tc>
          <w:tcPr>
            <w:tcW w:w="20" w:type="dxa"/>
            <w:vAlign w:val="bottom"/>
          </w:tcPr>
          <w:p>
            <w:pPr>
              <w:spacing w:after="0"/>
              <w:rPr>
                <w:sz w:val="24"/>
                <w:szCs w:val="24"/>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(0.34)</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30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00" w:type="dxa"/>
            <w:vAlign w:val="bottom"/>
          </w:tcPr>
          <w:p>
            <w:pPr>
              <w:spacing w:after="0"/>
              <w:rPr>
                <w:sz w:val="5"/>
                <w:szCs w:val="5"/>
                <w:color w:val="auto"/>
              </w:rPr>
            </w:pPr>
          </w:p>
        </w:tc>
        <w:tc>
          <w:tcPr>
            <w:tcW w:w="500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300" w:type="dxa"/>
            <w:vAlign w:val="bottom"/>
            <w:vMerge w:val="restart"/>
          </w:tcPr>
          <w:p>
            <w:pPr>
              <w:spacing w:after="0"/>
              <w:rPr>
                <w:sz w:val="9"/>
                <w:szCs w:val="9"/>
                <w:color w:val="auto"/>
              </w:rPr>
            </w:pPr>
          </w:p>
        </w:tc>
        <w:tc>
          <w:tcPr>
            <w:tcW w:w="5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Weighted average shares — basic</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123,667</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118,886</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122,502</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118,487</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300" w:type="dxa"/>
            <w:vAlign w:val="bottom"/>
            <w:gridSpan w:val="2"/>
          </w:tcPr>
          <w:p>
            <w:pPr>
              <w:ind w:left="300"/>
              <w:spacing w:after="0"/>
              <w:rPr>
                <w:sz w:val="20"/>
                <w:szCs w:val="20"/>
                <w:color w:val="auto"/>
              </w:rPr>
            </w:pPr>
            <w:r>
              <w:rPr>
                <w:rFonts w:ascii="Arial" w:cs="Arial" w:eastAsia="Arial" w:hAnsi="Arial"/>
                <w:sz w:val="18"/>
                <w:szCs w:val="18"/>
                <w:color w:val="auto"/>
              </w:rPr>
              <w:t>Weighted average shares — diluted</w:t>
            </w: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136,804</w:t>
            </w: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118,886</w:t>
            </w: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133,188</w:t>
            </w: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118,487</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30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760"/>
        </w:trPr>
        <w:tc>
          <w:tcPr>
            <w:tcW w:w="300" w:type="dxa"/>
            <w:vAlign w:val="bottom"/>
            <w:tcBorders>
              <w:bottom w:val="single" w:sz="8" w:color="808080"/>
            </w:tcBorders>
          </w:tcPr>
          <w:p>
            <w:pPr>
              <w:spacing w:after="0"/>
              <w:rPr>
                <w:sz w:val="24"/>
                <w:szCs w:val="24"/>
                <w:color w:val="auto"/>
              </w:rPr>
            </w:pPr>
          </w:p>
        </w:tc>
        <w:tc>
          <w:tcPr>
            <w:tcW w:w="500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580" w:type="dxa"/>
            <w:vAlign w:val="bottom"/>
            <w:tcBorders>
              <w:bottom w:val="single" w:sz="8" w:color="808080"/>
            </w:tcBorders>
          </w:tcPr>
          <w:p>
            <w:pPr>
              <w:spacing w:after="0"/>
              <w:rPr>
                <w:sz w:val="24"/>
                <w:szCs w:val="24"/>
                <w:color w:val="auto"/>
              </w:rPr>
            </w:pPr>
          </w:p>
        </w:tc>
        <w:tc>
          <w:tcPr>
            <w:tcW w:w="360" w:type="dxa"/>
            <w:vAlign w:val="bottom"/>
            <w:tcBorders>
              <w:bottom w:val="single" w:sz="8" w:color="808080"/>
            </w:tcBorders>
          </w:tcPr>
          <w:p>
            <w:pPr>
              <w:spacing w:after="0"/>
              <w:rPr>
                <w:sz w:val="24"/>
                <w:szCs w:val="24"/>
                <w:color w:val="auto"/>
              </w:rPr>
            </w:pPr>
          </w:p>
        </w:tc>
        <w:tc>
          <w:tcPr>
            <w:tcW w:w="260" w:type="dxa"/>
            <w:vAlign w:val="bottom"/>
            <w:tcBorders>
              <w:bottom w:val="single" w:sz="8" w:color="808080"/>
            </w:tcBorders>
          </w:tcPr>
          <w:p>
            <w:pPr>
              <w:spacing w:after="0"/>
              <w:rPr>
                <w:sz w:val="24"/>
                <w:szCs w:val="24"/>
                <w:color w:val="auto"/>
              </w:rPr>
            </w:pPr>
          </w:p>
        </w:tc>
        <w:tc>
          <w:tcPr>
            <w:tcW w:w="300" w:type="dxa"/>
            <w:vAlign w:val="bottom"/>
            <w:tcBorders>
              <w:bottom w:val="single" w:sz="8" w:color="808080"/>
            </w:tcBorders>
          </w:tcPr>
          <w:p>
            <w:pPr>
              <w:spacing w:after="0"/>
              <w:rPr>
                <w:sz w:val="24"/>
                <w:szCs w:val="24"/>
                <w:color w:val="auto"/>
              </w:rPr>
            </w:pPr>
          </w:p>
        </w:tc>
        <w:tc>
          <w:tcPr>
            <w:tcW w:w="5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58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260" w:type="dxa"/>
            <w:vAlign w:val="bottom"/>
            <w:tcBorders>
              <w:bottom w:val="single" w:sz="8" w:color="808080"/>
            </w:tcBorders>
          </w:tcPr>
          <w:p>
            <w:pPr>
              <w:spacing w:after="0"/>
              <w:rPr>
                <w:sz w:val="24"/>
                <w:szCs w:val="24"/>
                <w:color w:val="auto"/>
              </w:rPr>
            </w:pPr>
          </w:p>
        </w:tc>
        <w:tc>
          <w:tcPr>
            <w:tcW w:w="360" w:type="dxa"/>
            <w:vAlign w:val="bottom"/>
            <w:tcBorders>
              <w:bottom w:val="single" w:sz="8" w:color="808080"/>
            </w:tcBorders>
          </w:tcPr>
          <w:p>
            <w:pPr>
              <w:spacing w:after="0"/>
              <w:rPr>
                <w:sz w:val="24"/>
                <w:szCs w:val="24"/>
                <w:color w:val="auto"/>
              </w:rPr>
            </w:pPr>
          </w:p>
        </w:tc>
        <w:tc>
          <w:tcPr>
            <w:tcW w:w="600" w:type="dxa"/>
            <w:vAlign w:val="bottom"/>
            <w:tcBorders>
              <w:bottom w:val="single" w:sz="8" w:color="808080"/>
            </w:tcBorders>
          </w:tcPr>
          <w:p>
            <w:pPr>
              <w:spacing w:after="0"/>
              <w:rPr>
                <w:sz w:val="24"/>
                <w:szCs w:val="24"/>
                <w:color w:val="auto"/>
              </w:rPr>
            </w:pPr>
          </w:p>
        </w:tc>
        <w:tc>
          <w:tcPr>
            <w:tcW w:w="44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935" w:right="239" w:bottom="1440" w:gutter="0" w:footer="0" w:header="0"/>
        </w:sectPr>
      </w:pPr>
    </w:p>
    <w:bookmarkStart w:id="9" w:name="page10"/>
    <w:bookmarkEnd w:id="9"/>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Pro Forma Consolidated Statements of Operations</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58" w:lineRule="exact"/>
        <w:rPr>
          <w:sz w:val="20"/>
          <w:szCs w:val="20"/>
          <w:color w:val="auto"/>
        </w:rPr>
      </w:pPr>
    </w:p>
    <w:tbl>
      <w:tblPr>
        <w:tblLayout w:type="fixed"/>
        <w:tblInd w:w="3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9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400" w:type="dxa"/>
            <w:vAlign w:val="bottom"/>
            <w:gridSpan w:val="6"/>
          </w:tcPr>
          <w:p>
            <w:pPr>
              <w:jc w:val="right"/>
              <w:ind w:right="72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0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w w:val="87"/>
              </w:rPr>
              <w:t>Six Months Ended</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49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20" w:type="dxa"/>
            <w:vAlign w:val="bottom"/>
            <w:gridSpan w:val="2"/>
          </w:tcPr>
          <w:p>
            <w:pPr>
              <w:ind w:left="40"/>
              <w:spacing w:after="0"/>
              <w:rPr>
                <w:sz w:val="20"/>
                <w:szCs w:val="20"/>
                <w:color w:val="auto"/>
              </w:rPr>
            </w:pPr>
            <w:r>
              <w:rPr>
                <w:rFonts w:ascii="Arial" w:cs="Arial" w:eastAsia="Arial" w:hAnsi="Arial"/>
                <w:sz w:val="14"/>
                <w:szCs w:val="14"/>
                <w:b w:val="1"/>
                <w:bCs w:val="1"/>
                <w:color w:val="auto"/>
              </w:rPr>
              <w:t>August 2,</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7"/>
              </w:rPr>
              <w:t>August 3,</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gridSpan w:val="2"/>
          </w:tcPr>
          <w:p>
            <w:pPr>
              <w:ind w:left="40"/>
              <w:spacing w:after="0"/>
              <w:rPr>
                <w:sz w:val="20"/>
                <w:szCs w:val="20"/>
                <w:color w:val="auto"/>
              </w:rPr>
            </w:pPr>
            <w:r>
              <w:rPr>
                <w:rFonts w:ascii="Arial" w:cs="Arial" w:eastAsia="Arial" w:hAnsi="Arial"/>
                <w:sz w:val="14"/>
                <w:szCs w:val="14"/>
                <w:b w:val="1"/>
                <w:bCs w:val="1"/>
                <w:color w:val="auto"/>
                <w:w w:val="84"/>
              </w:rPr>
              <w:t>August 2,</w:t>
            </w:r>
          </w:p>
        </w:tc>
        <w:tc>
          <w:tcPr>
            <w:tcW w:w="3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90"/>
              </w:rPr>
              <w:t>August 3,</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9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jc w:val="right"/>
              <w:ind w:right="35"/>
              <w:spacing w:after="0"/>
              <w:rPr>
                <w:sz w:val="20"/>
                <w:szCs w:val="20"/>
                <w:color w:val="auto"/>
              </w:rPr>
            </w:pPr>
            <w:r>
              <w:rPr>
                <w:rFonts w:ascii="Arial" w:cs="Arial" w:eastAsia="Arial" w:hAnsi="Arial"/>
                <w:sz w:val="14"/>
                <w:szCs w:val="14"/>
                <w:b w:val="1"/>
                <w:bCs w:val="1"/>
                <w:color w:val="auto"/>
              </w:rPr>
              <w:t>2003</w:t>
            </w:r>
          </w:p>
        </w:tc>
        <w:tc>
          <w:tcPr>
            <w:tcW w:w="3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rPr>
              <w:t>2002</w:t>
            </w:r>
          </w:p>
        </w:tc>
        <w:tc>
          <w:tcPr>
            <w:tcW w:w="3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rPr>
              <w:t>2003</w:t>
            </w: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00" w:type="dxa"/>
            <w:vAlign w:val="bottom"/>
          </w:tcPr>
          <w:p>
            <w:pPr>
              <w:jc w:val="right"/>
              <w:ind w:right="54"/>
              <w:spacing w:after="0"/>
              <w:rPr>
                <w:sz w:val="20"/>
                <w:szCs w:val="20"/>
                <w:color w:val="auto"/>
              </w:rPr>
            </w:pPr>
            <w:r>
              <w:rPr>
                <w:rFonts w:ascii="Arial" w:cs="Arial" w:eastAsia="Arial" w:hAnsi="Arial"/>
                <w:sz w:val="14"/>
                <w:szCs w:val="14"/>
                <w:b w:val="1"/>
                <w:bCs w:val="1"/>
                <w:color w:val="auto"/>
              </w:rPr>
              <w:t>2002</w:t>
            </w:r>
          </w:p>
        </w:tc>
        <w:tc>
          <w:tcPr>
            <w:tcW w:w="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2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192,854</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119,694</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361,137</w:t>
            </w:r>
          </w:p>
        </w:tc>
        <w:tc>
          <w:tcPr>
            <w:tcW w:w="2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218,494</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Cost of goods sold</w:t>
            </w: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88,944</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56,033</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165,057</w:t>
            </w:r>
          </w:p>
        </w:tc>
        <w:tc>
          <w:tcPr>
            <w:tcW w:w="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99,813</w:t>
            </w:r>
          </w:p>
        </w:tc>
        <w:tc>
          <w:tcPr>
            <w:tcW w:w="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Gross profit</w:t>
            </w:r>
          </w:p>
        </w:tc>
        <w:tc>
          <w:tcPr>
            <w:tcW w:w="28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103,910</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63,661</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196,080</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118,681</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Operating expenses:</w:t>
            </w:r>
          </w:p>
        </w:tc>
        <w:tc>
          <w:tcPr>
            <w:tcW w:w="2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Research and development</w:t>
            </w:r>
          </w:p>
        </w:tc>
        <w:tc>
          <w:tcPr>
            <w:tcW w:w="28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52,252</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33,599</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98,891</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64,208</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240"/>
              <w:spacing w:after="0"/>
              <w:rPr>
                <w:sz w:val="20"/>
                <w:szCs w:val="20"/>
                <w:color w:val="auto"/>
              </w:rPr>
            </w:pPr>
            <w:r>
              <w:rPr>
                <w:rFonts w:ascii="Arial" w:cs="Arial" w:eastAsia="Arial" w:hAnsi="Arial"/>
                <w:sz w:val="18"/>
                <w:szCs w:val="18"/>
                <w:color w:val="auto"/>
              </w:rPr>
              <w:t>Selling and marketing</w:t>
            </w: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14,783</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12,321</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30,246</w:t>
            </w: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23,333</w:t>
            </w: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General and administrative</w:t>
            </w:r>
          </w:p>
        </w:tc>
        <w:tc>
          <w:tcPr>
            <w:tcW w:w="28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4,351</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3,523</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7,931</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7,165</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80" w:type="dxa"/>
            <w:vAlign w:val="bottom"/>
          </w:tcPr>
          <w:p>
            <w:pPr>
              <w:ind w:left="500"/>
              <w:spacing w:after="0"/>
              <w:rPr>
                <w:sz w:val="20"/>
                <w:szCs w:val="20"/>
                <w:color w:val="auto"/>
              </w:rPr>
            </w:pPr>
            <w:r>
              <w:rPr>
                <w:rFonts w:ascii="Arial" w:cs="Arial" w:eastAsia="Arial" w:hAnsi="Arial"/>
                <w:sz w:val="18"/>
                <w:szCs w:val="18"/>
                <w:color w:val="auto"/>
              </w:rPr>
              <w:t>Total operating expenses</w:t>
            </w: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71,386</w:t>
            </w: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49,443</w:t>
            </w: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137,068</w:t>
            </w: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94,706</w:t>
            </w:r>
          </w:p>
        </w:tc>
        <w:tc>
          <w:tcPr>
            <w:tcW w:w="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Operating income</w:t>
            </w:r>
          </w:p>
        </w:tc>
        <w:tc>
          <w:tcPr>
            <w:tcW w:w="28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32,524</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14,218</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59,012</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23,975</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1,569</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1,906</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2,880</w:t>
            </w:r>
          </w:p>
        </w:tc>
        <w:tc>
          <w:tcPr>
            <w:tcW w:w="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4,045</w:t>
            </w:r>
          </w:p>
        </w:tc>
        <w:tc>
          <w:tcPr>
            <w:tcW w:w="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Income before income taxes</w:t>
            </w:r>
          </w:p>
        </w:tc>
        <w:tc>
          <w:tcPr>
            <w:tcW w:w="28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34,093</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16,124</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61,892</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28,020</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4,091</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1,935</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7,427</w:t>
            </w:r>
          </w:p>
        </w:tc>
        <w:tc>
          <w:tcPr>
            <w:tcW w:w="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3,361</w:t>
            </w:r>
          </w:p>
        </w:tc>
        <w:tc>
          <w:tcPr>
            <w:tcW w:w="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Pro forma net income</w:t>
            </w:r>
          </w:p>
        </w:tc>
        <w:tc>
          <w:tcPr>
            <w:tcW w:w="2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30,002</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14,189</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54,465</w:t>
            </w:r>
          </w:p>
        </w:tc>
        <w:tc>
          <w:tcPr>
            <w:tcW w:w="2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24,659</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0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960" w:type="dxa"/>
            <w:vAlign w:val="bottom"/>
            <w:gridSpan w:val="3"/>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000" w:type="dxa"/>
            <w:vAlign w:val="bottom"/>
            <w:gridSpan w:val="2"/>
          </w:tcPr>
          <w:p>
            <w:pPr>
              <w:spacing w:after="0"/>
              <w:rPr>
                <w:sz w:val="5"/>
                <w:szCs w:val="5"/>
                <w:color w:val="auto"/>
              </w:rPr>
            </w:pPr>
          </w:p>
        </w:tc>
        <w:tc>
          <w:tcPr>
            <w:tcW w:w="28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56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56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960" w:type="dxa"/>
            <w:vAlign w:val="bottom"/>
            <w:gridSpan w:val="3"/>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000" w:type="dxa"/>
            <w:vAlign w:val="bottom"/>
            <w:gridSpan w:val="2"/>
          </w:tcPr>
          <w:p>
            <w:pPr>
              <w:spacing w:after="0"/>
              <w:rPr>
                <w:sz w:val="20"/>
                <w:szCs w:val="20"/>
                <w:color w:val="auto"/>
              </w:rPr>
            </w:pPr>
            <w:r>
              <w:rPr>
                <w:rFonts w:ascii="Arial" w:cs="Arial" w:eastAsia="Arial" w:hAnsi="Arial"/>
                <w:sz w:val="18"/>
                <w:szCs w:val="18"/>
                <w:color w:val="auto"/>
              </w:rPr>
              <w:t>Basic pro forma net income per share</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0.24</w:t>
            </w:r>
          </w:p>
        </w:tc>
        <w:tc>
          <w:tcPr>
            <w:tcW w:w="340" w:type="dxa"/>
            <w:vAlign w:val="bottom"/>
          </w:tcPr>
          <w:p>
            <w:pPr>
              <w:spacing w:after="0"/>
              <w:rPr>
                <w:sz w:val="24"/>
                <w:szCs w:val="24"/>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340" w:type="dxa"/>
            <w:vAlign w:val="bottom"/>
          </w:tcPr>
          <w:p>
            <w:pPr>
              <w:spacing w:after="0"/>
              <w:rPr>
                <w:sz w:val="24"/>
                <w:szCs w:val="24"/>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0.44</w:t>
            </w:r>
          </w:p>
        </w:tc>
        <w:tc>
          <w:tcPr>
            <w:tcW w:w="20" w:type="dxa"/>
            <w:vAlign w:val="bottom"/>
          </w:tcPr>
          <w:p>
            <w:pPr>
              <w:spacing w:after="0"/>
              <w:rPr>
                <w:sz w:val="24"/>
                <w:szCs w:val="24"/>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0.21</w:t>
            </w:r>
          </w:p>
        </w:tc>
        <w:tc>
          <w:tcPr>
            <w:tcW w:w="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80" w:type="dxa"/>
            <w:vAlign w:val="bottom"/>
          </w:tcPr>
          <w:p>
            <w:pPr>
              <w:spacing w:after="0"/>
              <w:rPr>
                <w:sz w:val="5"/>
                <w:szCs w:val="5"/>
                <w:color w:val="auto"/>
              </w:rPr>
            </w:pPr>
          </w:p>
        </w:tc>
        <w:tc>
          <w:tcPr>
            <w:tcW w:w="28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9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Diluted pro forma net income per share</w:t>
            </w:r>
          </w:p>
        </w:tc>
        <w:tc>
          <w:tcPr>
            <w:tcW w:w="2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0.22</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0.11</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0.41</w:t>
            </w:r>
          </w:p>
        </w:tc>
        <w:tc>
          <w:tcPr>
            <w:tcW w:w="2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0.19</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0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000" w:type="dxa"/>
            <w:vAlign w:val="bottom"/>
            <w:gridSpan w:val="2"/>
          </w:tcPr>
          <w:p>
            <w:pPr>
              <w:spacing w:after="0"/>
              <w:rPr>
                <w:sz w:val="5"/>
                <w:szCs w:val="5"/>
                <w:color w:val="auto"/>
              </w:rPr>
            </w:pPr>
          </w:p>
        </w:tc>
        <w:tc>
          <w:tcPr>
            <w:tcW w:w="28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000" w:type="dxa"/>
            <w:vAlign w:val="bottom"/>
            <w:gridSpan w:val="2"/>
          </w:tcPr>
          <w:p>
            <w:pPr>
              <w:spacing w:after="0"/>
              <w:rPr>
                <w:sz w:val="20"/>
                <w:szCs w:val="20"/>
                <w:color w:val="auto"/>
              </w:rPr>
            </w:pPr>
            <w:r>
              <w:rPr>
                <w:rFonts w:ascii="Arial" w:cs="Arial" w:eastAsia="Arial" w:hAnsi="Arial"/>
                <w:sz w:val="18"/>
                <w:szCs w:val="18"/>
                <w:color w:val="auto"/>
              </w:rPr>
              <w:t>Weighted average shares — basic</w:t>
            </w: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123,667</w:t>
            </w: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118,886</w:t>
            </w: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122,502</w:t>
            </w: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118,487</w:t>
            </w:r>
          </w:p>
        </w:tc>
        <w:tc>
          <w:tcPr>
            <w:tcW w:w="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Weighted average shares — diluted</w:t>
            </w:r>
          </w:p>
        </w:tc>
        <w:tc>
          <w:tcPr>
            <w:tcW w:w="28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136,804</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129,634</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133,188</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131,042</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00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Reconciliation of GAAP net income (loss)</w:t>
            </w: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3"/>
        </w:trPr>
        <w:tc>
          <w:tcPr>
            <w:tcW w:w="5000" w:type="dxa"/>
            <w:vAlign w:val="bottom"/>
            <w:gridSpan w:val="2"/>
            <w:vMerge w:val="continue"/>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980" w:type="dxa"/>
            <w:vAlign w:val="bottom"/>
          </w:tcPr>
          <w:p>
            <w:pPr>
              <w:ind w:left="120"/>
              <w:spacing w:after="0"/>
              <w:rPr>
                <w:sz w:val="20"/>
                <w:szCs w:val="20"/>
                <w:color w:val="auto"/>
              </w:rPr>
            </w:pPr>
            <w:r>
              <w:rPr>
                <w:rFonts w:ascii="Arial" w:cs="Arial" w:eastAsia="Arial" w:hAnsi="Arial"/>
                <w:sz w:val="18"/>
                <w:szCs w:val="18"/>
                <w:b w:val="1"/>
                <w:bCs w:val="1"/>
                <w:color w:val="auto"/>
              </w:rPr>
              <w:t>to pro forma net income:</w:t>
            </w:r>
          </w:p>
        </w:tc>
        <w:tc>
          <w:tcPr>
            <w:tcW w:w="2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GAAP net income (loss)</w:t>
            </w:r>
          </w:p>
        </w:tc>
        <w:tc>
          <w:tcPr>
            <w:tcW w:w="2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9,422</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(9,326)</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13,779</w:t>
            </w:r>
          </w:p>
        </w:tc>
        <w:tc>
          <w:tcPr>
            <w:tcW w:w="2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w w:val="92"/>
              </w:rPr>
              <w:t>(40,260)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Amortization of stock-based compensation</w:t>
            </w: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1,020</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2,192</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1,678</w:t>
            </w: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4,474</w:t>
            </w: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19,560</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21,323</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39,008</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42,646</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Facilities consolidation charge</w:t>
            </w:r>
          </w:p>
        </w:tc>
        <w:tc>
          <w:tcPr>
            <w:tcW w:w="280" w:type="dxa"/>
            <w:vAlign w:val="bottom"/>
          </w:tcPr>
          <w:p>
            <w:pPr>
              <w:spacing w:after="0"/>
              <w:rPr>
                <w:sz w:val="19"/>
                <w:szCs w:val="19"/>
                <w:color w:val="auto"/>
              </w:rPr>
            </w:pPr>
          </w:p>
        </w:tc>
        <w:tc>
          <w:tcPr>
            <w:tcW w:w="92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17,799</w:t>
            </w:r>
          </w:p>
        </w:tc>
        <w:tc>
          <w:tcPr>
            <w:tcW w:w="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Pro forma net income</w:t>
            </w:r>
          </w:p>
        </w:tc>
        <w:tc>
          <w:tcPr>
            <w:tcW w:w="2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30,002</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14,189</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54,465</w:t>
            </w:r>
          </w:p>
        </w:tc>
        <w:tc>
          <w:tcPr>
            <w:tcW w:w="2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24,659</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80" w:type="dxa"/>
            <w:vAlign w:val="bottom"/>
          </w:tcPr>
          <w:p>
            <w:pPr>
              <w:spacing w:after="0"/>
              <w:rPr>
                <w:sz w:val="5"/>
                <w:szCs w:val="5"/>
                <w:color w:val="auto"/>
              </w:rPr>
            </w:pPr>
          </w:p>
        </w:tc>
        <w:tc>
          <w:tcPr>
            <w:tcW w:w="28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income (loss) under generally accepted accounting principles for the impact of non cash stock-based compensation charges, charges associated with purchase accounting and charges for facilities consolidation.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402590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935" w:right="29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45"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51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12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7"/>
              </w:rPr>
              <w:t>August 2,</w:t>
            </w: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92"/>
              </w:rPr>
              <w:t>February 1,</w:t>
            </w:r>
          </w:p>
        </w:tc>
        <w:tc>
          <w:tcPr>
            <w:tcW w:w="0" w:type="dxa"/>
            <w:vAlign w:val="bottom"/>
          </w:tcPr>
          <w:p>
            <w:pPr>
              <w:spacing w:after="0"/>
              <w:rPr>
                <w:sz w:val="1"/>
                <w:szCs w:val="1"/>
                <w:color w:val="auto"/>
              </w:rPr>
            </w:pPr>
          </w:p>
        </w:tc>
      </w:tr>
      <w:tr>
        <w:trPr>
          <w:trHeight w:val="174"/>
        </w:trPr>
        <w:tc>
          <w:tcPr>
            <w:tcW w:w="51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9"/>
        </w:trPr>
        <w:tc>
          <w:tcPr>
            <w:tcW w:w="5180" w:type="dxa"/>
            <w:vAlign w:val="bottom"/>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518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Assets</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tcPr>
          <w:p>
            <w:pPr>
              <w:spacing w:after="0"/>
              <w:rPr>
                <w:sz w:val="20"/>
                <w:szCs w:val="20"/>
                <w:color w:val="auto"/>
              </w:rPr>
            </w:pPr>
            <w:r>
              <w:rPr>
                <w:rFonts w:ascii="Arial" w:cs="Arial" w:eastAsia="Arial" w:hAnsi="Arial"/>
                <w:sz w:val="18"/>
                <w:szCs w:val="18"/>
                <w:color w:val="auto"/>
              </w:rPr>
              <w:t>Current assets:</w:t>
            </w:r>
          </w:p>
        </w:tc>
        <w:tc>
          <w:tcPr>
            <w:tcW w:w="3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Cash and cash equivalents</w:t>
            </w:r>
          </w:p>
        </w:tc>
        <w:tc>
          <w:tcPr>
            <w:tcW w:w="3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208,733</w:t>
            </w:r>
          </w:p>
        </w:tc>
        <w:tc>
          <w:tcPr>
            <w:tcW w:w="42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125,316</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tcPr>
          <w:p>
            <w:pPr>
              <w:ind w:left="340"/>
              <w:spacing w:after="0"/>
              <w:rPr>
                <w:sz w:val="20"/>
                <w:szCs w:val="20"/>
                <w:color w:val="auto"/>
              </w:rPr>
            </w:pPr>
            <w:r>
              <w:rPr>
                <w:rFonts w:ascii="Arial" w:cs="Arial" w:eastAsia="Arial" w:hAnsi="Arial"/>
                <w:sz w:val="18"/>
                <w:szCs w:val="18"/>
                <w:color w:val="auto"/>
              </w:rPr>
              <w:t>Short-term investments</w:t>
            </w: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135,247</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139,912</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Accounts receivable, net</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102,925</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86,175</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tcPr>
          <w:p>
            <w:pPr>
              <w:ind w:left="340"/>
              <w:spacing w:after="0"/>
              <w:rPr>
                <w:sz w:val="20"/>
                <w:szCs w:val="20"/>
                <w:color w:val="auto"/>
              </w:rPr>
            </w:pPr>
            <w:r>
              <w:rPr>
                <w:rFonts w:ascii="Arial" w:cs="Arial" w:eastAsia="Arial" w:hAnsi="Arial"/>
                <w:sz w:val="18"/>
                <w:szCs w:val="18"/>
                <w:color w:val="auto"/>
              </w:rPr>
              <w:t>Inventory, net</w:t>
            </w: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60,377</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39,712</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22,226</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19,979</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5180" w:type="dxa"/>
            <w:vAlign w:val="bottom"/>
          </w:tcPr>
          <w:p>
            <w:pPr>
              <w:ind w:left="700"/>
              <w:spacing w:after="0"/>
              <w:rPr>
                <w:sz w:val="20"/>
                <w:szCs w:val="20"/>
                <w:color w:val="auto"/>
              </w:rPr>
            </w:pPr>
            <w:r>
              <w:rPr>
                <w:rFonts w:ascii="Arial" w:cs="Arial" w:eastAsia="Arial" w:hAnsi="Arial"/>
                <w:sz w:val="18"/>
                <w:szCs w:val="18"/>
                <w:color w:val="auto"/>
              </w:rPr>
              <w:t>Total current assets</w:t>
            </w: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529,508</w:t>
            </w: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411,094</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5180" w:type="dxa"/>
            <w:vAlign w:val="bottom"/>
            <w:shd w:val="clear" w:color="auto" w:fill="EEEEEE"/>
          </w:tcPr>
          <w:p>
            <w:pPr>
              <w:spacing w:after="0"/>
              <w:rPr>
                <w:sz w:val="20"/>
                <w:szCs w:val="20"/>
                <w:color w:val="auto"/>
              </w:rPr>
            </w:pPr>
            <w:r>
              <w:rPr>
                <w:rFonts w:ascii="Arial" w:cs="Arial" w:eastAsia="Arial" w:hAnsi="Arial"/>
                <w:sz w:val="18"/>
                <w:szCs w:val="18"/>
                <w:color w:val="auto"/>
              </w:rPr>
              <w:t>Property and equipment, net</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71,549</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69,246</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tcPr>
          <w:p>
            <w:pPr>
              <w:spacing w:after="0"/>
              <w:rPr>
                <w:sz w:val="20"/>
                <w:szCs w:val="20"/>
                <w:color w:val="auto"/>
              </w:rPr>
            </w:pPr>
            <w:r>
              <w:rPr>
                <w:rFonts w:ascii="Arial" w:cs="Arial" w:eastAsia="Arial" w:hAnsi="Arial"/>
                <w:sz w:val="18"/>
                <w:szCs w:val="18"/>
                <w:color w:val="auto"/>
              </w:rPr>
              <w:t>Goodwill and acquired intangible assets</w:t>
            </w: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1,613,101</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1,570,643</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40,366</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49,313</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18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2,254,524</w:t>
            </w:r>
          </w:p>
        </w:tc>
        <w:tc>
          <w:tcPr>
            <w:tcW w:w="420" w:type="dxa"/>
            <w:vAlign w:val="bottom"/>
          </w:tcPr>
          <w:p>
            <w:pPr>
              <w:spacing w:after="0"/>
              <w:rPr>
                <w:sz w:val="24"/>
                <w:szCs w:val="24"/>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2,100,296</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5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18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360" w:type="dxa"/>
            <w:vAlign w:val="bottom"/>
          </w:tcPr>
          <w:p>
            <w:pPr>
              <w:spacing w:after="0"/>
              <w:rPr>
                <w:sz w:val="5"/>
                <w:szCs w:val="5"/>
                <w:color w:val="auto"/>
              </w:rPr>
            </w:pPr>
          </w:p>
        </w:tc>
        <w:tc>
          <w:tcPr>
            <w:tcW w:w="38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5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tcPr>
          <w:p>
            <w:pPr>
              <w:spacing w:after="0"/>
              <w:rPr>
                <w:sz w:val="20"/>
                <w:szCs w:val="20"/>
                <w:color w:val="auto"/>
              </w:rPr>
            </w:pPr>
            <w:r>
              <w:rPr>
                <w:rFonts w:ascii="Arial" w:cs="Arial" w:eastAsia="Arial" w:hAnsi="Arial"/>
                <w:sz w:val="18"/>
                <w:szCs w:val="18"/>
                <w:color w:val="auto"/>
              </w:rPr>
              <w:t>Current liabilities:</w:t>
            </w:r>
          </w:p>
        </w:tc>
        <w:tc>
          <w:tcPr>
            <w:tcW w:w="3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Accounts payable</w:t>
            </w:r>
          </w:p>
        </w:tc>
        <w:tc>
          <w:tcPr>
            <w:tcW w:w="3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77,924</w:t>
            </w:r>
          </w:p>
        </w:tc>
        <w:tc>
          <w:tcPr>
            <w:tcW w:w="42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47,672</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64,268</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26,955</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Income taxes payable</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7,467</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2,247</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tcPr>
          <w:p>
            <w:pPr>
              <w:ind w:left="340"/>
              <w:spacing w:after="0"/>
              <w:rPr>
                <w:sz w:val="20"/>
                <w:szCs w:val="20"/>
                <w:color w:val="auto"/>
              </w:rPr>
            </w:pPr>
            <w:r>
              <w:rPr>
                <w:rFonts w:ascii="Arial" w:cs="Arial" w:eastAsia="Arial" w:hAnsi="Arial"/>
                <w:sz w:val="18"/>
                <w:szCs w:val="18"/>
                <w:color w:val="auto"/>
              </w:rPr>
              <w:t>Deferred income</w:t>
            </w: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12,373</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12,481</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Current portion of capital lease obligations</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6,850</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5,019</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518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168,882</w:t>
            </w: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94,374</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5180" w:type="dxa"/>
            <w:vAlign w:val="bottom"/>
            <w:shd w:val="clear" w:color="auto" w:fill="EEEEEE"/>
          </w:tcPr>
          <w:p>
            <w:pPr>
              <w:spacing w:after="0"/>
              <w:rPr>
                <w:sz w:val="20"/>
                <w:szCs w:val="20"/>
                <w:color w:val="auto"/>
              </w:rPr>
            </w:pPr>
            <w:r>
              <w:rPr>
                <w:rFonts w:ascii="Arial" w:cs="Arial" w:eastAsia="Arial" w:hAnsi="Arial"/>
                <w:sz w:val="18"/>
                <w:szCs w:val="18"/>
                <w:color w:val="auto"/>
              </w:rPr>
              <w:t>Capital lease obligations</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12,491</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13,755</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18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3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43,596</w:t>
            </w:r>
          </w:p>
        </w:tc>
        <w:tc>
          <w:tcPr>
            <w:tcW w:w="4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42,029</w:t>
            </w: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518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518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ind w:left="700"/>
              <w:spacing w:after="0"/>
              <w:rPr>
                <w:sz w:val="20"/>
                <w:szCs w:val="20"/>
                <w:color w:val="auto"/>
              </w:rPr>
            </w:pPr>
            <w:r>
              <w:rPr>
                <w:rFonts w:ascii="Arial" w:cs="Arial" w:eastAsia="Arial" w:hAnsi="Arial"/>
                <w:sz w:val="18"/>
                <w:szCs w:val="18"/>
                <w:color w:val="auto"/>
              </w:rPr>
              <w:t>Total liabilities</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224,969</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150,158</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180" w:type="dxa"/>
            <w:vAlign w:val="bottom"/>
            <w:vMerge w:val="restart"/>
          </w:tcPr>
          <w:p>
            <w:pPr>
              <w:spacing w:after="0"/>
              <w:rPr>
                <w:sz w:val="20"/>
                <w:szCs w:val="20"/>
                <w:color w:val="auto"/>
              </w:rPr>
            </w:pPr>
            <w:r>
              <w:rPr>
                <w:rFonts w:ascii="Arial" w:cs="Arial" w:eastAsia="Arial" w:hAnsi="Arial"/>
                <w:sz w:val="18"/>
                <w:szCs w:val="18"/>
                <w:color w:val="auto"/>
              </w:rPr>
              <w:t>Shareholders’ equity:</w:t>
            </w: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5180" w:type="dxa"/>
            <w:vAlign w:val="bottom"/>
            <w:vMerge w:val="continue"/>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51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Common stock</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251</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243</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tcPr>
          <w:p>
            <w:pPr>
              <w:ind w:left="340"/>
              <w:spacing w:after="0"/>
              <w:rPr>
                <w:sz w:val="20"/>
                <w:szCs w:val="20"/>
                <w:color w:val="auto"/>
              </w:rPr>
            </w:pPr>
            <w:r>
              <w:rPr>
                <w:rFonts w:ascii="Arial" w:cs="Arial" w:eastAsia="Arial" w:hAnsi="Arial"/>
                <w:sz w:val="18"/>
                <w:szCs w:val="18"/>
                <w:color w:val="auto"/>
              </w:rPr>
              <w:t>Additional paid-in capital</w:t>
            </w: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2,744,205</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2,674,095</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Deferred stock-based compensation</w:t>
            </w:r>
          </w:p>
        </w:tc>
        <w:tc>
          <w:tcPr>
            <w:tcW w:w="380" w:type="dxa"/>
            <w:vAlign w:val="bottom"/>
            <w:tcBorders>
              <w:right w:val="single" w:sz="8" w:color="EEEEEE"/>
            </w:tcBorders>
            <w:shd w:val="clear" w:color="auto" w:fill="EEEEEE"/>
          </w:tcPr>
          <w:p>
            <w:pPr>
              <w:spacing w:after="0"/>
              <w:rPr>
                <w:sz w:val="18"/>
                <w:szCs w:val="18"/>
                <w:color w:val="auto"/>
              </w:rPr>
            </w:pPr>
          </w:p>
        </w:tc>
        <w:tc>
          <w:tcPr>
            <w:tcW w:w="112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(9,313)</w:t>
            </w: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12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(5,899)</w:t>
            </w:r>
          </w:p>
        </w:tc>
        <w:tc>
          <w:tcPr>
            <w:tcW w:w="0" w:type="dxa"/>
            <w:vAlign w:val="bottom"/>
          </w:tcPr>
          <w:p>
            <w:pPr>
              <w:spacing w:after="0"/>
              <w:rPr>
                <w:sz w:val="1"/>
                <w:szCs w:val="1"/>
                <w:color w:val="auto"/>
              </w:rPr>
            </w:pPr>
          </w:p>
        </w:tc>
      </w:tr>
      <w:tr>
        <w:trPr>
          <w:trHeight w:val="216"/>
        </w:trPr>
        <w:tc>
          <w:tcPr>
            <w:tcW w:w="5180" w:type="dxa"/>
            <w:vAlign w:val="bottom"/>
          </w:tcPr>
          <w:p>
            <w:pPr>
              <w:ind w:left="340"/>
              <w:spacing w:after="0"/>
              <w:rPr>
                <w:sz w:val="20"/>
                <w:szCs w:val="20"/>
                <w:color w:val="auto"/>
              </w:rPr>
            </w:pPr>
            <w:r>
              <w:rPr>
                <w:rFonts w:ascii="Arial" w:cs="Arial" w:eastAsia="Arial" w:hAnsi="Arial"/>
                <w:sz w:val="18"/>
                <w:szCs w:val="18"/>
                <w:color w:val="auto"/>
              </w:rPr>
              <w:t>Accumulated other comprehensive income</w:t>
            </w: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922</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1,988</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Accumulated deficit</w:t>
            </w:r>
          </w:p>
        </w:tc>
        <w:tc>
          <w:tcPr>
            <w:tcW w:w="380" w:type="dxa"/>
            <w:vAlign w:val="bottom"/>
            <w:tcBorders>
              <w:right w:val="single" w:sz="8" w:color="EEEEEE"/>
            </w:tcBorders>
            <w:shd w:val="clear" w:color="auto" w:fill="EEEEEE"/>
          </w:tcPr>
          <w:p>
            <w:pPr>
              <w:spacing w:after="0"/>
              <w:rPr>
                <w:sz w:val="18"/>
                <w:szCs w:val="18"/>
                <w:color w:val="auto"/>
              </w:rPr>
            </w:pPr>
          </w:p>
        </w:tc>
        <w:tc>
          <w:tcPr>
            <w:tcW w:w="112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95"/>
              </w:rPr>
              <w:t>(706,510)</w:t>
            </w: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12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95"/>
              </w:rPr>
              <w:t>(720,289)</w:t>
            </w:r>
          </w:p>
        </w:tc>
        <w:tc>
          <w:tcPr>
            <w:tcW w:w="0" w:type="dxa"/>
            <w:vAlign w:val="bottom"/>
          </w:tcPr>
          <w:p>
            <w:pPr>
              <w:spacing w:after="0"/>
              <w:rPr>
                <w:sz w:val="1"/>
                <w:szCs w:val="1"/>
                <w:color w:val="auto"/>
              </w:rPr>
            </w:pPr>
          </w:p>
        </w:tc>
      </w:tr>
      <w:tr>
        <w:trPr>
          <w:trHeight w:val="108"/>
        </w:trPr>
        <w:tc>
          <w:tcPr>
            <w:tcW w:w="5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180" w:type="dxa"/>
            <w:vAlign w:val="bottom"/>
          </w:tcPr>
          <w:p>
            <w:pPr>
              <w:ind w:left="700"/>
              <w:spacing w:after="0"/>
              <w:rPr>
                <w:sz w:val="20"/>
                <w:szCs w:val="20"/>
                <w:color w:val="auto"/>
              </w:rPr>
            </w:pPr>
            <w:r>
              <w:rPr>
                <w:rFonts w:ascii="Arial" w:cs="Arial" w:eastAsia="Arial" w:hAnsi="Arial"/>
                <w:sz w:val="18"/>
                <w:szCs w:val="18"/>
                <w:color w:val="auto"/>
              </w:rPr>
              <w:t>Total shareholders’ equity</w:t>
            </w: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2,029,555</w:t>
            </w: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1,950,138</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5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518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180" w:type="dxa"/>
            <w:vAlign w:val="bottom"/>
            <w:shd w:val="clear" w:color="auto" w:fill="EEEEEE"/>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3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2,254,524</w:t>
            </w:r>
          </w:p>
        </w:tc>
        <w:tc>
          <w:tcPr>
            <w:tcW w:w="42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2,100,296</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18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360" w:type="dxa"/>
            <w:vAlign w:val="bottom"/>
          </w:tcPr>
          <w:p>
            <w:pPr>
              <w:spacing w:after="0"/>
              <w:rPr>
                <w:sz w:val="5"/>
                <w:szCs w:val="5"/>
                <w:color w:val="auto"/>
              </w:rPr>
            </w:pPr>
          </w:p>
        </w:tc>
        <w:tc>
          <w:tcPr>
            <w:tcW w:w="38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9019"/>
      </w:cols>
      <w:pgMar w:left="1440" w:top="93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2019-12-14T20:29:38Z</dcterms:created>
  <dcterms:modified xsi:type="dcterms:W3CDTF">2019-12-14T20:29:38Z</dcterms:modified>
</cp:coreProperties>
</file>