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filed with the Securities and Exchange Commission on December 12, 2003.</w:t>
      </w:r>
    </w:p>
    <w:p>
      <w:pPr>
        <w:spacing w:after="0" w:line="225" w:lineRule="exact"/>
        <w:rPr>
          <w:sz w:val="20"/>
          <w:szCs w:val="20"/>
          <w:color w:val="auto"/>
        </w:rPr>
      </w:pPr>
    </w:p>
    <w:p>
      <w:pPr>
        <w:ind w:left="9680"/>
        <w:spacing w:after="0"/>
        <w:rPr>
          <w:sz w:val="20"/>
          <w:szCs w:val="20"/>
          <w:color w:val="auto"/>
        </w:rPr>
      </w:pPr>
      <w:r>
        <w:rPr>
          <w:rFonts w:ascii="Arial" w:cs="Arial" w:eastAsia="Arial" w:hAnsi="Arial"/>
          <w:sz w:val="18"/>
          <w:szCs w:val="18"/>
          <w:color w:val="auto"/>
        </w:rPr>
        <w:t>Registration No. 333-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103505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7112000</wp:posOffset>
            </wp:positionH>
            <wp:positionV relativeFrom="paragraph">
              <wp:posOffset>-13970</wp:posOffset>
            </wp:positionV>
            <wp:extent cx="1390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9065" cy="8890"/>
                    </a:xfrm>
                    <a:prstGeom prst="rect">
                      <a:avLst/>
                    </a:prstGeom>
                    <a:noFill/>
                  </pic:spPr>
                </pic:pic>
              </a:graphicData>
            </a:graphic>
          </wp:anchor>
        </w:drawing>
      </w:r>
    </w:p>
    <w:p>
      <w:pPr>
        <w:spacing w:after="0" w:line="374"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22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REGISTRATION STATEMENT</w:t>
      </w:r>
    </w:p>
    <w:p>
      <w:pPr>
        <w:spacing w:after="0" w:line="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Under</w:t>
      </w:r>
    </w:p>
    <w:p>
      <w:pPr>
        <w:jc w:val="center"/>
        <w:spacing w:after="0"/>
        <w:rPr>
          <w:sz w:val="20"/>
          <w:szCs w:val="20"/>
          <w:color w:val="auto"/>
        </w:rPr>
      </w:pPr>
      <w:r>
        <w:rPr>
          <w:rFonts w:ascii="Arial" w:cs="Arial" w:eastAsia="Arial" w:hAnsi="Arial"/>
          <w:sz w:val="22"/>
          <w:szCs w:val="22"/>
          <w:b w:val="1"/>
          <w:bCs w:val="1"/>
          <w:color w:val="auto"/>
        </w:rPr>
        <w:t>THE SECURITIES ACT OF 1933</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tbl>
      <w:tblPr>
        <w:tblLayout w:type="fixed"/>
        <w:tblInd w:w="1800" w:type="dxa"/>
        <w:tblCellMar>
          <w:top w:w="0" w:type="dxa"/>
          <w:left w:w="0" w:type="dxa"/>
          <w:bottom w:w="0" w:type="dxa"/>
          <w:right w:w="0" w:type="dxa"/>
        </w:tblCellMar>
      </w:tblPr>
      <w:tr>
        <w:trPr>
          <w:trHeight w:val="222"/>
        </w:trPr>
        <w:tc>
          <w:tcPr>
            <w:tcW w:w="6280" w:type="dxa"/>
            <w:vAlign w:val="bottom"/>
            <w:gridSpan w:val="3"/>
          </w:tcPr>
          <w:p>
            <w:pPr>
              <w:jc w:val="center"/>
              <w:ind w:left="1452"/>
              <w:spacing w:after="0"/>
              <w:rPr>
                <w:sz w:val="20"/>
                <w:szCs w:val="20"/>
                <w:color w:val="auto"/>
              </w:rPr>
            </w:pPr>
            <w:r>
              <w:rPr>
                <w:rFonts w:ascii="Arial" w:cs="Arial" w:eastAsia="Arial" w:hAnsi="Arial"/>
                <w:sz w:val="18"/>
                <w:szCs w:val="18"/>
                <w:color w:val="auto"/>
                <w:w w:val="88"/>
              </w:rPr>
              <w:t>(Exact name of registrant as specified in its charter)</w:t>
            </w:r>
          </w:p>
        </w:tc>
        <w:tc>
          <w:tcPr>
            <w:tcW w:w="1420" w:type="dxa"/>
            <w:vAlign w:val="bottom"/>
          </w:tcPr>
          <w:p>
            <w:pPr>
              <w:spacing w:after="0"/>
              <w:rPr>
                <w:sz w:val="19"/>
                <w:szCs w:val="19"/>
                <w:color w:val="auto"/>
              </w:rPr>
            </w:pPr>
          </w:p>
        </w:tc>
      </w:tr>
      <w:tr>
        <w:trPr>
          <w:trHeight w:val="453"/>
        </w:trPr>
        <w:tc>
          <w:tcPr>
            <w:tcW w:w="6280" w:type="dxa"/>
            <w:vAlign w:val="bottom"/>
            <w:gridSpan w:val="3"/>
          </w:tcPr>
          <w:p>
            <w:pPr>
              <w:jc w:val="center"/>
              <w:ind w:right="4160"/>
              <w:spacing w:after="0"/>
              <w:rPr>
                <w:sz w:val="20"/>
                <w:szCs w:val="20"/>
                <w:color w:val="auto"/>
              </w:rPr>
            </w:pPr>
            <w:r>
              <w:rPr>
                <w:rFonts w:ascii="Arial" w:cs="Arial" w:eastAsia="Arial" w:hAnsi="Arial"/>
                <w:sz w:val="18"/>
                <w:szCs w:val="18"/>
                <w:color w:val="auto"/>
                <w:w w:val="87"/>
              </w:rPr>
              <w:t>Bermuda</w:t>
            </w:r>
          </w:p>
        </w:tc>
        <w:tc>
          <w:tcPr>
            <w:tcW w:w="1420" w:type="dxa"/>
            <w:vAlign w:val="bottom"/>
          </w:tcPr>
          <w:p>
            <w:pPr>
              <w:jc w:val="center"/>
              <w:ind w:left="32"/>
              <w:spacing w:after="0"/>
              <w:rPr>
                <w:sz w:val="20"/>
                <w:szCs w:val="20"/>
                <w:color w:val="auto"/>
              </w:rPr>
            </w:pPr>
            <w:r>
              <w:rPr>
                <w:rFonts w:ascii="Arial" w:cs="Arial" w:eastAsia="Arial" w:hAnsi="Arial"/>
                <w:sz w:val="18"/>
                <w:szCs w:val="18"/>
                <w:color w:val="auto"/>
                <w:w w:val="89"/>
              </w:rPr>
              <w:t>77-0481679</w:t>
            </w:r>
          </w:p>
        </w:tc>
      </w:tr>
      <w:tr>
        <w:trPr>
          <w:trHeight w:val="216"/>
        </w:trPr>
        <w:tc>
          <w:tcPr>
            <w:tcW w:w="6280" w:type="dxa"/>
            <w:vAlign w:val="bottom"/>
            <w:gridSpan w:val="3"/>
          </w:tcPr>
          <w:p>
            <w:pPr>
              <w:jc w:val="center"/>
              <w:ind w:right="4160"/>
              <w:spacing w:after="0"/>
              <w:rPr>
                <w:sz w:val="20"/>
                <w:szCs w:val="20"/>
                <w:color w:val="auto"/>
              </w:rPr>
            </w:pPr>
            <w:r>
              <w:rPr>
                <w:rFonts w:ascii="Arial" w:cs="Arial" w:eastAsia="Arial" w:hAnsi="Arial"/>
                <w:sz w:val="18"/>
                <w:szCs w:val="18"/>
                <w:color w:val="auto"/>
                <w:w w:val="90"/>
              </w:rPr>
              <w:t>(State or other jurisdiction of</w:t>
            </w:r>
          </w:p>
        </w:tc>
        <w:tc>
          <w:tcPr>
            <w:tcW w:w="1420" w:type="dxa"/>
            <w:vAlign w:val="bottom"/>
          </w:tcPr>
          <w:p>
            <w:pPr>
              <w:jc w:val="center"/>
              <w:ind w:left="52"/>
              <w:spacing w:after="0"/>
              <w:rPr>
                <w:sz w:val="20"/>
                <w:szCs w:val="20"/>
                <w:color w:val="auto"/>
              </w:rPr>
            </w:pPr>
            <w:r>
              <w:rPr>
                <w:rFonts w:ascii="Arial" w:cs="Arial" w:eastAsia="Arial" w:hAnsi="Arial"/>
                <w:sz w:val="18"/>
                <w:szCs w:val="18"/>
                <w:color w:val="auto"/>
                <w:w w:val="90"/>
              </w:rPr>
              <w:t>(I.R.S. Employer</w:t>
            </w:r>
          </w:p>
        </w:tc>
      </w:tr>
      <w:tr>
        <w:trPr>
          <w:trHeight w:val="222"/>
        </w:trPr>
        <w:tc>
          <w:tcPr>
            <w:tcW w:w="6280" w:type="dxa"/>
            <w:vAlign w:val="bottom"/>
            <w:gridSpan w:val="3"/>
          </w:tcPr>
          <w:p>
            <w:pPr>
              <w:jc w:val="center"/>
              <w:ind w:right="4160"/>
              <w:spacing w:after="0"/>
              <w:rPr>
                <w:sz w:val="20"/>
                <w:szCs w:val="20"/>
                <w:color w:val="auto"/>
              </w:rPr>
            </w:pPr>
            <w:r>
              <w:rPr>
                <w:rFonts w:ascii="Arial" w:cs="Arial" w:eastAsia="Arial" w:hAnsi="Arial"/>
                <w:sz w:val="18"/>
                <w:szCs w:val="18"/>
                <w:color w:val="auto"/>
                <w:w w:val="90"/>
              </w:rPr>
              <w:t>incorporation or organization)</w:t>
            </w:r>
          </w:p>
        </w:tc>
        <w:tc>
          <w:tcPr>
            <w:tcW w:w="1420" w:type="dxa"/>
            <w:vAlign w:val="bottom"/>
          </w:tcPr>
          <w:p>
            <w:pPr>
              <w:jc w:val="center"/>
              <w:ind w:left="32"/>
              <w:spacing w:after="0"/>
              <w:rPr>
                <w:sz w:val="20"/>
                <w:szCs w:val="20"/>
                <w:color w:val="auto"/>
              </w:rPr>
            </w:pPr>
            <w:r>
              <w:rPr>
                <w:rFonts w:ascii="Arial" w:cs="Arial" w:eastAsia="Arial" w:hAnsi="Arial"/>
                <w:sz w:val="18"/>
                <w:szCs w:val="18"/>
                <w:color w:val="auto"/>
                <w:w w:val="92"/>
              </w:rPr>
              <w:t>Identification No.)</w:t>
            </w:r>
          </w:p>
        </w:tc>
      </w:tr>
      <w:tr>
        <w:trPr>
          <w:trHeight w:val="218"/>
        </w:trPr>
        <w:tc>
          <w:tcPr>
            <w:tcW w:w="2760" w:type="dxa"/>
            <w:vAlign w:val="bottom"/>
          </w:tcPr>
          <w:p>
            <w:pPr>
              <w:spacing w:after="0"/>
              <w:rPr>
                <w:sz w:val="18"/>
                <w:szCs w:val="18"/>
                <w:color w:val="auto"/>
              </w:rPr>
            </w:pPr>
          </w:p>
        </w:tc>
        <w:tc>
          <w:tcPr>
            <w:tcW w:w="2300" w:type="dxa"/>
            <w:vAlign w:val="bottom"/>
            <w:tcBorders>
              <w:bottom w:val="single" w:sz="8" w:color="808080"/>
            </w:tcBorders>
          </w:tcPr>
          <w:p>
            <w:pPr>
              <w:spacing w:after="0"/>
              <w:rPr>
                <w:sz w:val="18"/>
                <w:szCs w:val="18"/>
                <w:color w:val="auto"/>
              </w:rPr>
            </w:pPr>
          </w:p>
        </w:tc>
        <w:tc>
          <w:tcPr>
            <w:tcW w:w="1220" w:type="dxa"/>
            <w:vAlign w:val="bottom"/>
          </w:tcPr>
          <w:p>
            <w:pPr>
              <w:spacing w:after="0"/>
              <w:rPr>
                <w:sz w:val="18"/>
                <w:szCs w:val="18"/>
                <w:color w:val="auto"/>
              </w:rPr>
            </w:pPr>
          </w:p>
        </w:tc>
        <w:tc>
          <w:tcPr>
            <w:tcW w:w="1420" w:type="dxa"/>
            <w:vAlign w:val="bottom"/>
          </w:tcPr>
          <w:p>
            <w:pPr>
              <w:spacing w:after="0"/>
              <w:rPr>
                <w:sz w:val="18"/>
                <w:szCs w:val="18"/>
                <w:color w:val="auto"/>
              </w:rPr>
            </w:pPr>
          </w:p>
        </w:tc>
      </w:tr>
      <w:tr>
        <w:trPr>
          <w:trHeight w:val="411"/>
        </w:trPr>
        <w:tc>
          <w:tcPr>
            <w:tcW w:w="2760" w:type="dxa"/>
            <w:vAlign w:val="bottom"/>
          </w:tcPr>
          <w:p>
            <w:pPr>
              <w:spacing w:after="0"/>
              <w:rPr>
                <w:sz w:val="24"/>
                <w:szCs w:val="24"/>
                <w:color w:val="auto"/>
              </w:rPr>
            </w:pPr>
          </w:p>
        </w:tc>
        <w:tc>
          <w:tcPr>
            <w:tcW w:w="3520" w:type="dxa"/>
            <w:vAlign w:val="bottom"/>
            <w:gridSpan w:val="2"/>
          </w:tcPr>
          <w:p>
            <w:pPr>
              <w:jc w:val="center"/>
              <w:ind w:right="1220"/>
              <w:spacing w:after="0"/>
              <w:rPr>
                <w:sz w:val="20"/>
                <w:szCs w:val="20"/>
                <w:color w:val="auto"/>
              </w:rPr>
            </w:pPr>
            <w:r>
              <w:rPr>
                <w:rFonts w:ascii="Arial" w:cs="Arial" w:eastAsia="Arial" w:hAnsi="Arial"/>
                <w:sz w:val="18"/>
                <w:szCs w:val="18"/>
                <w:b w:val="1"/>
                <w:bCs w:val="1"/>
                <w:color w:val="auto"/>
                <w:w w:val="88"/>
              </w:rPr>
              <w:t>Canon’s Court</w:t>
            </w:r>
          </w:p>
        </w:tc>
        <w:tc>
          <w:tcPr>
            <w:tcW w:w="1420" w:type="dxa"/>
            <w:vAlign w:val="bottom"/>
          </w:tcPr>
          <w:p>
            <w:pPr>
              <w:spacing w:after="0"/>
              <w:rPr>
                <w:sz w:val="24"/>
                <w:szCs w:val="24"/>
                <w:color w:val="auto"/>
              </w:rPr>
            </w:pPr>
          </w:p>
        </w:tc>
      </w:tr>
      <w:tr>
        <w:trPr>
          <w:trHeight w:val="216"/>
        </w:trPr>
        <w:tc>
          <w:tcPr>
            <w:tcW w:w="2760" w:type="dxa"/>
            <w:vAlign w:val="bottom"/>
          </w:tcPr>
          <w:p>
            <w:pPr>
              <w:spacing w:after="0"/>
              <w:rPr>
                <w:sz w:val="18"/>
                <w:szCs w:val="18"/>
                <w:color w:val="auto"/>
              </w:rPr>
            </w:pPr>
          </w:p>
        </w:tc>
        <w:tc>
          <w:tcPr>
            <w:tcW w:w="3520" w:type="dxa"/>
            <w:vAlign w:val="bottom"/>
            <w:gridSpan w:val="2"/>
          </w:tcPr>
          <w:p>
            <w:pPr>
              <w:jc w:val="center"/>
              <w:ind w:right="1200"/>
              <w:spacing w:after="0"/>
              <w:rPr>
                <w:sz w:val="20"/>
                <w:szCs w:val="20"/>
                <w:color w:val="auto"/>
              </w:rPr>
            </w:pPr>
            <w:r>
              <w:rPr>
                <w:rFonts w:ascii="Arial" w:cs="Arial" w:eastAsia="Arial" w:hAnsi="Arial"/>
                <w:sz w:val="18"/>
                <w:szCs w:val="18"/>
                <w:b w:val="1"/>
                <w:bCs w:val="1"/>
                <w:color w:val="auto"/>
                <w:w w:val="87"/>
              </w:rPr>
              <w:t>22 Queen Street</w:t>
            </w:r>
          </w:p>
        </w:tc>
        <w:tc>
          <w:tcPr>
            <w:tcW w:w="1420" w:type="dxa"/>
            <w:vAlign w:val="bottom"/>
          </w:tcPr>
          <w:p>
            <w:pPr>
              <w:spacing w:after="0"/>
              <w:rPr>
                <w:sz w:val="18"/>
                <w:szCs w:val="18"/>
                <w:color w:val="auto"/>
              </w:rPr>
            </w:pPr>
          </w:p>
        </w:tc>
      </w:tr>
      <w:tr>
        <w:trPr>
          <w:trHeight w:val="216"/>
        </w:trPr>
        <w:tc>
          <w:tcPr>
            <w:tcW w:w="2760" w:type="dxa"/>
            <w:vAlign w:val="bottom"/>
          </w:tcPr>
          <w:p>
            <w:pPr>
              <w:spacing w:after="0"/>
              <w:rPr>
                <w:sz w:val="18"/>
                <w:szCs w:val="18"/>
                <w:color w:val="auto"/>
              </w:rPr>
            </w:pPr>
          </w:p>
        </w:tc>
        <w:tc>
          <w:tcPr>
            <w:tcW w:w="3520" w:type="dxa"/>
            <w:vAlign w:val="bottom"/>
            <w:gridSpan w:val="2"/>
          </w:tcPr>
          <w:p>
            <w:pPr>
              <w:jc w:val="center"/>
              <w:ind w:right="1200"/>
              <w:spacing w:after="0"/>
              <w:rPr>
                <w:sz w:val="20"/>
                <w:szCs w:val="20"/>
                <w:color w:val="auto"/>
              </w:rPr>
            </w:pPr>
            <w:r>
              <w:rPr>
                <w:rFonts w:ascii="Arial" w:cs="Arial" w:eastAsia="Arial" w:hAnsi="Arial"/>
                <w:sz w:val="18"/>
                <w:szCs w:val="18"/>
                <w:b w:val="1"/>
                <w:bCs w:val="1"/>
                <w:color w:val="auto"/>
                <w:w w:val="95"/>
              </w:rPr>
              <w:t>Hamilton HM12</w:t>
            </w:r>
          </w:p>
        </w:tc>
        <w:tc>
          <w:tcPr>
            <w:tcW w:w="1420" w:type="dxa"/>
            <w:vAlign w:val="bottom"/>
          </w:tcPr>
          <w:p>
            <w:pPr>
              <w:spacing w:after="0"/>
              <w:rPr>
                <w:sz w:val="18"/>
                <w:szCs w:val="18"/>
                <w:color w:val="auto"/>
              </w:rPr>
            </w:pPr>
          </w:p>
        </w:tc>
      </w:tr>
      <w:tr>
        <w:trPr>
          <w:trHeight w:val="216"/>
        </w:trPr>
        <w:tc>
          <w:tcPr>
            <w:tcW w:w="2760" w:type="dxa"/>
            <w:vAlign w:val="bottom"/>
          </w:tcPr>
          <w:p>
            <w:pPr>
              <w:spacing w:after="0"/>
              <w:rPr>
                <w:sz w:val="18"/>
                <w:szCs w:val="18"/>
                <w:color w:val="auto"/>
              </w:rPr>
            </w:pPr>
          </w:p>
        </w:tc>
        <w:tc>
          <w:tcPr>
            <w:tcW w:w="3520" w:type="dxa"/>
            <w:vAlign w:val="bottom"/>
            <w:gridSpan w:val="2"/>
          </w:tcPr>
          <w:p>
            <w:pPr>
              <w:jc w:val="center"/>
              <w:ind w:right="1220"/>
              <w:spacing w:after="0"/>
              <w:rPr>
                <w:sz w:val="20"/>
                <w:szCs w:val="20"/>
                <w:color w:val="auto"/>
              </w:rPr>
            </w:pPr>
            <w:r>
              <w:rPr>
                <w:rFonts w:ascii="Arial" w:cs="Arial" w:eastAsia="Arial" w:hAnsi="Arial"/>
                <w:sz w:val="18"/>
                <w:szCs w:val="18"/>
                <w:b w:val="1"/>
                <w:bCs w:val="1"/>
                <w:color w:val="auto"/>
                <w:w w:val="89"/>
              </w:rPr>
              <w:t>Bermuda</w:t>
            </w:r>
          </w:p>
        </w:tc>
        <w:tc>
          <w:tcPr>
            <w:tcW w:w="1420" w:type="dxa"/>
            <w:vAlign w:val="bottom"/>
          </w:tcPr>
          <w:p>
            <w:pPr>
              <w:spacing w:after="0"/>
              <w:rPr>
                <w:sz w:val="18"/>
                <w:szCs w:val="18"/>
                <w:color w:val="auto"/>
              </w:rPr>
            </w:pPr>
          </w:p>
        </w:tc>
      </w:tr>
      <w:tr>
        <w:trPr>
          <w:trHeight w:val="222"/>
        </w:trPr>
        <w:tc>
          <w:tcPr>
            <w:tcW w:w="5060" w:type="dxa"/>
            <w:vAlign w:val="bottom"/>
            <w:gridSpan w:val="2"/>
          </w:tcPr>
          <w:p>
            <w:pPr>
              <w:jc w:val="center"/>
              <w:ind w:left="2672"/>
              <w:spacing w:after="0"/>
              <w:rPr>
                <w:sz w:val="20"/>
                <w:szCs w:val="20"/>
                <w:color w:val="auto"/>
              </w:rPr>
            </w:pPr>
            <w:r>
              <w:rPr>
                <w:rFonts w:ascii="Arial" w:cs="Arial" w:eastAsia="Arial" w:hAnsi="Arial"/>
                <w:sz w:val="18"/>
                <w:szCs w:val="18"/>
                <w:b w:val="1"/>
                <w:bCs w:val="1"/>
                <w:color w:val="auto"/>
                <w:w w:val="89"/>
              </w:rPr>
              <w:t>(441) 296-3695</w:t>
            </w:r>
          </w:p>
        </w:tc>
        <w:tc>
          <w:tcPr>
            <w:tcW w:w="1220" w:type="dxa"/>
            <w:vAlign w:val="bottom"/>
          </w:tcPr>
          <w:p>
            <w:pPr>
              <w:spacing w:after="0"/>
              <w:rPr>
                <w:sz w:val="19"/>
                <w:szCs w:val="19"/>
                <w:color w:val="auto"/>
              </w:rPr>
            </w:pPr>
          </w:p>
        </w:tc>
        <w:tc>
          <w:tcPr>
            <w:tcW w:w="1420" w:type="dxa"/>
            <w:vAlign w:val="bottom"/>
          </w:tcPr>
          <w:p>
            <w:pPr>
              <w:spacing w:after="0"/>
              <w:rPr>
                <w:sz w:val="19"/>
                <w:szCs w:val="19"/>
                <w:color w:val="auto"/>
              </w:rPr>
            </w:pPr>
          </w:p>
        </w:tc>
      </w:tr>
      <w:tr>
        <w:trPr>
          <w:trHeight w:val="222"/>
        </w:trPr>
        <w:tc>
          <w:tcPr>
            <w:tcW w:w="6280" w:type="dxa"/>
            <w:vAlign w:val="bottom"/>
            <w:gridSpan w:val="3"/>
          </w:tcPr>
          <w:p>
            <w:pPr>
              <w:jc w:val="center"/>
              <w:ind w:left="1472"/>
              <w:spacing w:after="0"/>
              <w:rPr>
                <w:sz w:val="20"/>
                <w:szCs w:val="20"/>
                <w:color w:val="auto"/>
              </w:rPr>
            </w:pPr>
            <w:r>
              <w:rPr>
                <w:rFonts w:ascii="Arial" w:cs="Arial" w:eastAsia="Arial" w:hAnsi="Arial"/>
                <w:sz w:val="18"/>
                <w:szCs w:val="18"/>
                <w:color w:val="auto"/>
                <w:w w:val="88"/>
              </w:rPr>
              <w:t>(Address of principal executive officers and telephone numbers)</w:t>
            </w:r>
          </w:p>
        </w:tc>
        <w:tc>
          <w:tcPr>
            <w:tcW w:w="142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138430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Options Assumed by Marvell Technology Group Ltd. Originally Granted Under</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Asica, Inc. 2001 Stock Option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(Full title of the plans)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144145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of Agent for Service)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CALCULATION OF REGISTRATION FEE</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87"/>
              </w:rPr>
              <w:t>Proposed Maximum</w:t>
            </w:r>
          </w:p>
        </w:tc>
        <w:tc>
          <w:tcPr>
            <w:tcW w:w="400" w:type="dxa"/>
            <w:vAlign w:val="bottom"/>
          </w:tcPr>
          <w:p>
            <w:pPr>
              <w:spacing w:after="0"/>
              <w:rPr>
                <w:sz w:val="14"/>
                <w:szCs w:val="14"/>
                <w:color w:val="auto"/>
              </w:rPr>
            </w:pPr>
          </w:p>
        </w:tc>
        <w:tc>
          <w:tcPr>
            <w:tcW w:w="2200" w:type="dxa"/>
            <w:vAlign w:val="bottom"/>
          </w:tcPr>
          <w:p>
            <w:pPr>
              <w:jc w:val="center"/>
              <w:spacing w:after="0"/>
              <w:rPr>
                <w:sz w:val="20"/>
                <w:szCs w:val="20"/>
                <w:color w:val="auto"/>
              </w:rPr>
            </w:pPr>
            <w:r>
              <w:rPr>
                <w:rFonts w:ascii="Arial" w:cs="Arial" w:eastAsia="Arial" w:hAnsi="Arial"/>
                <w:sz w:val="14"/>
                <w:szCs w:val="14"/>
                <w:b w:val="1"/>
                <w:bCs w:val="1"/>
                <w:color w:val="auto"/>
                <w:w w:val="87"/>
              </w:rPr>
              <w:t>Proposed Maximum</w:t>
            </w:r>
          </w:p>
        </w:tc>
        <w:tc>
          <w:tcPr>
            <w:tcW w:w="400" w:type="dxa"/>
            <w:vAlign w:val="bottom"/>
          </w:tcPr>
          <w:p>
            <w:pPr>
              <w:spacing w:after="0"/>
              <w:rPr>
                <w:sz w:val="14"/>
                <w:szCs w:val="14"/>
                <w:color w:val="auto"/>
              </w:rPr>
            </w:pPr>
          </w:p>
        </w:tc>
        <w:tc>
          <w:tcPr>
            <w:tcW w:w="1180" w:type="dxa"/>
            <w:vAlign w:val="bottom"/>
          </w:tcPr>
          <w:p>
            <w:pPr>
              <w:spacing w:after="0"/>
              <w:rPr>
                <w:sz w:val="14"/>
                <w:szCs w:val="14"/>
                <w:color w:val="auto"/>
              </w:rPr>
            </w:pPr>
          </w:p>
        </w:tc>
      </w:tr>
      <w:tr>
        <w:trPr>
          <w:trHeight w:val="149"/>
        </w:trPr>
        <w:tc>
          <w:tcPr>
            <w:tcW w:w="4020" w:type="dxa"/>
            <w:vAlign w:val="bottom"/>
          </w:tcPr>
          <w:p>
            <w:pPr>
              <w:ind w:left="1500"/>
              <w:spacing w:after="0" w:line="149" w:lineRule="exact"/>
              <w:rPr>
                <w:sz w:val="20"/>
                <w:szCs w:val="20"/>
                <w:color w:val="auto"/>
              </w:rPr>
            </w:pPr>
            <w:r>
              <w:rPr>
                <w:rFonts w:ascii="Arial" w:cs="Arial" w:eastAsia="Arial" w:hAnsi="Arial"/>
                <w:sz w:val="14"/>
                <w:szCs w:val="14"/>
                <w:b w:val="1"/>
                <w:bCs w:val="1"/>
                <w:color w:val="auto"/>
              </w:rPr>
              <w:t>Title of Securities</w:t>
            </w:r>
          </w:p>
        </w:tc>
        <w:tc>
          <w:tcPr>
            <w:tcW w:w="400" w:type="dxa"/>
            <w:vAlign w:val="bottom"/>
          </w:tcPr>
          <w:p>
            <w:pPr>
              <w:spacing w:after="0"/>
              <w:rPr>
                <w:sz w:val="12"/>
                <w:szCs w:val="12"/>
                <w:color w:val="auto"/>
              </w:rPr>
            </w:pPr>
          </w:p>
        </w:tc>
        <w:tc>
          <w:tcPr>
            <w:tcW w:w="126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Amount To</w:t>
            </w:r>
          </w:p>
        </w:tc>
        <w:tc>
          <w:tcPr>
            <w:tcW w:w="400" w:type="dxa"/>
            <w:vAlign w:val="bottom"/>
          </w:tcPr>
          <w:p>
            <w:pPr>
              <w:spacing w:after="0"/>
              <w:rPr>
                <w:sz w:val="12"/>
                <w:szCs w:val="12"/>
                <w:color w:val="auto"/>
              </w:rPr>
            </w:pPr>
          </w:p>
        </w:tc>
        <w:tc>
          <w:tcPr>
            <w:tcW w:w="1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Offering Price</w:t>
            </w:r>
          </w:p>
        </w:tc>
        <w:tc>
          <w:tcPr>
            <w:tcW w:w="400" w:type="dxa"/>
            <w:vAlign w:val="bottom"/>
          </w:tcPr>
          <w:p>
            <w:pPr>
              <w:spacing w:after="0"/>
              <w:rPr>
                <w:sz w:val="12"/>
                <w:szCs w:val="12"/>
                <w:color w:val="auto"/>
              </w:rPr>
            </w:pPr>
          </w:p>
        </w:tc>
        <w:tc>
          <w:tcPr>
            <w:tcW w:w="22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Aggregate Offering</w:t>
            </w:r>
          </w:p>
        </w:tc>
        <w:tc>
          <w:tcPr>
            <w:tcW w:w="40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Amount of</w:t>
            </w:r>
          </w:p>
        </w:tc>
      </w:tr>
      <w:tr>
        <w:trPr>
          <w:trHeight w:val="174"/>
        </w:trPr>
        <w:tc>
          <w:tcPr>
            <w:tcW w:w="4020" w:type="dxa"/>
            <w:vAlign w:val="bottom"/>
          </w:tcPr>
          <w:p>
            <w:pPr>
              <w:ind w:left="1520"/>
              <w:spacing w:after="0"/>
              <w:rPr>
                <w:sz w:val="20"/>
                <w:szCs w:val="20"/>
                <w:color w:val="auto"/>
              </w:rPr>
            </w:pPr>
            <w:r>
              <w:rPr>
                <w:rFonts w:ascii="Arial" w:cs="Arial" w:eastAsia="Arial" w:hAnsi="Arial"/>
                <w:sz w:val="14"/>
                <w:szCs w:val="14"/>
                <w:b w:val="1"/>
                <w:bCs w:val="1"/>
                <w:color w:val="auto"/>
              </w:rPr>
              <w:t>To Be Registered</w:t>
            </w:r>
          </w:p>
        </w:tc>
        <w:tc>
          <w:tcPr>
            <w:tcW w:w="400" w:type="dxa"/>
            <w:vAlign w:val="bottom"/>
          </w:tcPr>
          <w:p>
            <w:pPr>
              <w:spacing w:after="0"/>
              <w:rPr>
                <w:sz w:val="15"/>
                <w:szCs w:val="15"/>
                <w:color w:val="auto"/>
              </w:rPr>
            </w:pPr>
          </w:p>
        </w:tc>
        <w:tc>
          <w:tcPr>
            <w:tcW w:w="1260" w:type="dxa"/>
            <w:vAlign w:val="bottom"/>
          </w:tcPr>
          <w:p>
            <w:pPr>
              <w:ind w:left="140"/>
              <w:spacing w:after="0"/>
              <w:rPr>
                <w:sz w:val="20"/>
                <w:szCs w:val="20"/>
                <w:color w:val="auto"/>
              </w:rPr>
            </w:pPr>
            <w:r>
              <w:rPr>
                <w:rFonts w:ascii="Arial" w:cs="Arial" w:eastAsia="Arial" w:hAnsi="Arial"/>
                <w:sz w:val="14"/>
                <w:szCs w:val="14"/>
                <w:b w:val="1"/>
                <w:bCs w:val="1"/>
                <w:color w:val="auto"/>
                <w:w w:val="98"/>
              </w:rPr>
              <w:t>Be Registered(1)</w:t>
            </w:r>
          </w:p>
        </w:tc>
        <w:tc>
          <w:tcPr>
            <w:tcW w:w="400" w:type="dxa"/>
            <w:vAlign w:val="bottom"/>
          </w:tcPr>
          <w:p>
            <w:pPr>
              <w:spacing w:after="0"/>
              <w:rPr>
                <w:sz w:val="15"/>
                <w:szCs w:val="15"/>
                <w:color w:val="auto"/>
              </w:rPr>
            </w:pPr>
          </w:p>
        </w:tc>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88"/>
              </w:rPr>
              <w:t>per Share(2)</w:t>
            </w:r>
          </w:p>
        </w:tc>
        <w:tc>
          <w:tcPr>
            <w:tcW w:w="400" w:type="dxa"/>
            <w:vAlign w:val="bottom"/>
          </w:tcPr>
          <w:p>
            <w:pPr>
              <w:spacing w:after="0"/>
              <w:rPr>
                <w:sz w:val="15"/>
                <w:szCs w:val="15"/>
                <w:color w:val="auto"/>
              </w:rPr>
            </w:pPr>
          </w:p>
        </w:tc>
        <w:tc>
          <w:tcPr>
            <w:tcW w:w="2200" w:type="dxa"/>
            <w:vAlign w:val="bottom"/>
          </w:tcPr>
          <w:p>
            <w:pPr>
              <w:jc w:val="center"/>
              <w:spacing w:after="0"/>
              <w:rPr>
                <w:sz w:val="20"/>
                <w:szCs w:val="20"/>
                <w:color w:val="auto"/>
              </w:rPr>
            </w:pPr>
            <w:r>
              <w:rPr>
                <w:rFonts w:ascii="Arial" w:cs="Arial" w:eastAsia="Arial" w:hAnsi="Arial"/>
                <w:sz w:val="14"/>
                <w:szCs w:val="14"/>
                <w:b w:val="1"/>
                <w:bCs w:val="1"/>
                <w:color w:val="auto"/>
                <w:w w:val="85"/>
              </w:rPr>
              <w:t>Price(2)</w:t>
            </w:r>
          </w:p>
        </w:tc>
        <w:tc>
          <w:tcPr>
            <w:tcW w:w="400" w:type="dxa"/>
            <w:vAlign w:val="bottom"/>
          </w:tcPr>
          <w:p>
            <w:pPr>
              <w:spacing w:after="0"/>
              <w:rPr>
                <w:sz w:val="15"/>
                <w:szCs w:val="15"/>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5"/>
              </w:rPr>
              <w:t>Registration Fee</w:t>
            </w:r>
          </w:p>
        </w:tc>
      </w:tr>
      <w:tr>
        <w:trPr>
          <w:trHeight w:val="95"/>
        </w:trPr>
        <w:tc>
          <w:tcPr>
            <w:tcW w:w="402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126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20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r>
      <w:tr>
        <w:trPr>
          <w:trHeight w:val="309"/>
        </w:trPr>
        <w:tc>
          <w:tcPr>
            <w:tcW w:w="4020" w:type="dxa"/>
            <w:vAlign w:val="bottom"/>
          </w:tcPr>
          <w:p>
            <w:pPr>
              <w:spacing w:after="0"/>
              <w:rPr>
                <w:sz w:val="20"/>
                <w:szCs w:val="20"/>
                <w:color w:val="auto"/>
              </w:rPr>
            </w:pPr>
            <w:r>
              <w:rPr>
                <w:rFonts w:ascii="Arial" w:cs="Arial" w:eastAsia="Arial" w:hAnsi="Arial"/>
                <w:sz w:val="18"/>
                <w:szCs w:val="18"/>
                <w:color w:val="auto"/>
                <w:w w:val="87"/>
              </w:rPr>
              <w:t>Common Stock, $0.002 par value per share: to be issued</w:t>
            </w:r>
          </w:p>
        </w:tc>
        <w:tc>
          <w:tcPr>
            <w:tcW w:w="4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222"/>
        </w:trPr>
        <w:tc>
          <w:tcPr>
            <w:tcW w:w="4020" w:type="dxa"/>
            <w:vAlign w:val="bottom"/>
          </w:tcPr>
          <w:p>
            <w:pPr>
              <w:ind w:left="140"/>
              <w:spacing w:after="0"/>
              <w:rPr>
                <w:sz w:val="20"/>
                <w:szCs w:val="20"/>
                <w:color w:val="auto"/>
              </w:rPr>
            </w:pPr>
            <w:r>
              <w:rPr>
                <w:rFonts w:ascii="Arial" w:cs="Arial" w:eastAsia="Arial" w:hAnsi="Arial"/>
                <w:sz w:val="18"/>
                <w:szCs w:val="18"/>
                <w:color w:val="auto"/>
                <w:w w:val="96"/>
              </w:rPr>
              <w:t>under stock option grants to certain employees (2)</w:t>
            </w:r>
          </w:p>
        </w:tc>
        <w:tc>
          <w:tcPr>
            <w:tcW w:w="1660" w:type="dxa"/>
            <w:vAlign w:val="bottom"/>
            <w:gridSpan w:val="2"/>
          </w:tcPr>
          <w:p>
            <w:pPr>
              <w:ind w:left="700"/>
              <w:spacing w:after="0"/>
              <w:rPr>
                <w:sz w:val="20"/>
                <w:szCs w:val="20"/>
                <w:color w:val="auto"/>
              </w:rPr>
            </w:pPr>
            <w:r>
              <w:rPr>
                <w:rFonts w:ascii="Arial" w:cs="Arial" w:eastAsia="Arial" w:hAnsi="Arial"/>
                <w:sz w:val="18"/>
                <w:szCs w:val="18"/>
                <w:color w:val="auto"/>
              </w:rPr>
              <w:t>26,021</w:t>
            </w:r>
          </w:p>
        </w:tc>
        <w:tc>
          <w:tcPr>
            <w:tcW w:w="1560" w:type="dxa"/>
            <w:vAlign w:val="bottom"/>
            <w:gridSpan w:val="2"/>
          </w:tcPr>
          <w:p>
            <w:pPr>
              <w:jc w:val="right"/>
              <w:ind w:right="512"/>
              <w:spacing w:after="0"/>
              <w:rPr>
                <w:sz w:val="20"/>
                <w:szCs w:val="20"/>
                <w:color w:val="auto"/>
              </w:rPr>
            </w:pPr>
            <w:r>
              <w:rPr>
                <w:rFonts w:ascii="Arial" w:cs="Arial" w:eastAsia="Arial" w:hAnsi="Arial"/>
                <w:sz w:val="18"/>
                <w:szCs w:val="18"/>
                <w:color w:val="auto"/>
              </w:rPr>
              <w:t>$6.85</w:t>
            </w:r>
          </w:p>
        </w:tc>
        <w:tc>
          <w:tcPr>
            <w:tcW w:w="2600" w:type="dxa"/>
            <w:vAlign w:val="bottom"/>
            <w:gridSpan w:val="2"/>
          </w:tcPr>
          <w:p>
            <w:pPr>
              <w:jc w:val="right"/>
              <w:ind w:right="632"/>
              <w:spacing w:after="0"/>
              <w:rPr>
                <w:sz w:val="20"/>
                <w:szCs w:val="20"/>
                <w:color w:val="auto"/>
              </w:rPr>
            </w:pPr>
            <w:r>
              <w:rPr>
                <w:rFonts w:ascii="Arial" w:cs="Arial" w:eastAsia="Arial" w:hAnsi="Arial"/>
                <w:sz w:val="18"/>
                <w:szCs w:val="18"/>
                <w:color w:val="auto"/>
              </w:rPr>
              <w:t>$178,243.85</w:t>
            </w:r>
          </w:p>
        </w:tc>
        <w:tc>
          <w:tcPr>
            <w:tcW w:w="1580" w:type="dxa"/>
            <w:vAlign w:val="bottom"/>
            <w:gridSpan w:val="2"/>
          </w:tcPr>
          <w:p>
            <w:pPr>
              <w:jc w:val="right"/>
              <w:ind w:right="412"/>
              <w:spacing w:after="0"/>
              <w:rPr>
                <w:sz w:val="20"/>
                <w:szCs w:val="20"/>
                <w:color w:val="auto"/>
              </w:rPr>
            </w:pPr>
            <w:r>
              <w:rPr>
                <w:rFonts w:ascii="Arial" w:cs="Arial" w:eastAsia="Arial" w:hAnsi="Arial"/>
                <w:sz w:val="18"/>
                <w:szCs w:val="18"/>
                <w:color w:val="auto"/>
              </w:rPr>
              <w:t>$14.42</w:t>
            </w:r>
          </w:p>
        </w:tc>
      </w:tr>
    </w:tbl>
    <w:p>
      <w:pPr>
        <w:spacing w:after="0" w:line="210" w:lineRule="exact"/>
        <w:rPr>
          <w:sz w:val="20"/>
          <w:szCs w:val="20"/>
          <w:color w:val="auto"/>
        </w:rPr>
      </w:pPr>
    </w:p>
    <w:p>
      <w:pPr>
        <w:ind w:left="540" w:right="120" w:hanging="532"/>
        <w:spacing w:after="0" w:line="268" w:lineRule="auto"/>
        <w:tabs>
          <w:tab w:leader="none" w:pos="5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of the Securities Act of 1933 this Registration Statement also covers shares issued pursuant to antidilution provisions set forth in the option agreements.</w:t>
      </w:r>
    </w:p>
    <w:p>
      <w:pPr>
        <w:spacing w:after="0" w:line="185" w:lineRule="exact"/>
        <w:rPr>
          <w:rFonts w:ascii="Arial" w:cs="Arial" w:eastAsia="Arial" w:hAnsi="Arial"/>
          <w:sz w:val="18"/>
          <w:szCs w:val="18"/>
          <w:color w:val="auto"/>
        </w:rPr>
      </w:pPr>
    </w:p>
    <w:p>
      <w:pPr>
        <w:ind w:left="540" w:right="100" w:hanging="532"/>
        <w:spacing w:after="0" w:line="268" w:lineRule="auto"/>
        <w:tabs>
          <w:tab w:leader="none" w:pos="54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solely for the purposes of calculating the amount of the registration fee pursuant to Rule 457(h) under the Securities Act of 1933. The Offering Price is based upon the exercise price for options previously granted by Asica,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123190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p>
      <w:pPr>
        <w:spacing w:after="0" w:line="200" w:lineRule="exact"/>
        <w:rPr>
          <w:sz w:val="20"/>
          <w:szCs w:val="20"/>
          <w:color w:val="auto"/>
        </w:rPr>
      </w:pPr>
    </w:p>
    <w:p>
      <w:pPr>
        <w:spacing w:after="0" w:line="216" w:lineRule="exact"/>
        <w:rPr>
          <w:sz w:val="20"/>
          <w:szCs w:val="20"/>
          <w:color w:val="auto"/>
        </w:rPr>
      </w:pPr>
    </w:p>
    <w:p>
      <w:pPr>
        <w:spacing w:after="0"/>
        <w:rPr>
          <w:sz w:val="20"/>
          <w:szCs w:val="20"/>
          <w:color w:val="auto"/>
        </w:rPr>
      </w:pPr>
      <w:r>
        <w:rPr>
          <w:rFonts w:ascii="Arial" w:cs="Arial" w:eastAsia="Arial" w:hAnsi="Arial"/>
          <w:sz w:val="16"/>
          <w:szCs w:val="16"/>
          <w:color w:val="auto"/>
        </w:rPr>
        <w:t>The Registration Statement shall become effective upon filing in accordance with Rule 462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135255</wp:posOffset>
            </wp:positionV>
            <wp:extent cx="7250430"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387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306705</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type w:val="continuous"/>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1. Plan Information</w:t>
        </w:r>
      </w:hyperlink>
    </w:p>
    <w:p>
      <w:pPr>
        <w:spacing w:after="0" w:line="8" w:lineRule="exact"/>
        <w:rPr>
          <w:sz w:val="20"/>
          <w:szCs w:val="20"/>
          <w:color w:val="auto"/>
        </w:rPr>
      </w:pPr>
    </w:p>
    <w:p>
      <w:pPr>
        <w:ind w:left="320"/>
        <w:spacing w:after="0"/>
        <w:rPr>
          <w:rFonts w:ascii="Arial" w:cs="Arial" w:eastAsia="Arial" w:hAnsi="Arial"/>
          <w:sz w:val="21"/>
          <w:szCs w:val="21"/>
          <w:u w:val="single" w:color="auto"/>
          <w:color w:val="0000EE"/>
        </w:rPr>
      </w:pPr>
      <w:hyperlink w:anchor="page4">
        <w:r>
          <w:rPr>
            <w:rFonts w:ascii="Arial" w:cs="Arial" w:eastAsia="Arial" w:hAnsi="Arial"/>
            <w:sz w:val="21"/>
            <w:szCs w:val="21"/>
            <w:u w:val="single" w:color="auto"/>
            <w:color w:val="0000EE"/>
          </w:rPr>
          <w:t>Item 2. Registrant Information and Employee Plan Annual Information</w:t>
        </w:r>
      </w:hyperlink>
    </w:p>
    <w:p>
      <w:pPr>
        <w:spacing w:after="0" w:line="2" w:lineRule="exact"/>
        <w:rPr>
          <w:sz w:val="20"/>
          <w:szCs w:val="20"/>
          <w:color w:val="auto"/>
        </w:rPr>
      </w:pPr>
    </w:p>
    <w:p>
      <w:pPr>
        <w:ind w:left="320" w:right="2579" w:hanging="310"/>
        <w:spacing w:after="0" w:line="241" w:lineRule="auto"/>
        <w:rPr>
          <w:rFonts w:ascii="Arial" w:cs="Arial" w:eastAsia="Arial" w:hAnsi="Arial"/>
          <w:sz w:val="21"/>
          <w:szCs w:val="21"/>
          <w:u w:val="single" w:color="auto"/>
          <w:color w:val="0000EE"/>
        </w:rPr>
      </w:pPr>
      <w:hyperlink w:anchor="page4">
        <w:r>
          <w:rPr>
            <w:rFonts w:ascii="Arial" w:cs="Arial" w:eastAsia="Arial" w:hAnsi="Arial"/>
            <w:sz w:val="21"/>
            <w:szCs w:val="21"/>
            <w:u w:val="single" w:color="auto"/>
            <w:color w:val="0000EE"/>
          </w:rPr>
          <w:t>PART II INFORMATION REQUIRED IN THE REGISTRATION STATEMENT</w:t>
        </w:r>
      </w:hyperlink>
      <w:r>
        <w:rPr>
          <w:rFonts w:ascii="Arial" w:cs="Arial" w:eastAsia="Arial" w:hAnsi="Arial"/>
          <w:sz w:val="21"/>
          <w:szCs w:val="21"/>
          <w:u w:val="single" w:color="auto"/>
          <w:color w:val="0000EE"/>
        </w:rPr>
        <w:t xml:space="preserve"> </w:t>
      </w:r>
      <w:hyperlink w:anchor="page4">
        <w:r>
          <w:rPr>
            <w:rFonts w:ascii="Arial" w:cs="Arial" w:eastAsia="Arial" w:hAnsi="Arial"/>
            <w:sz w:val="21"/>
            <w:szCs w:val="21"/>
            <w:u w:val="single" w:color="auto"/>
            <w:color w:val="0000EE"/>
          </w:rPr>
          <w:t>Item 3. Incorporation of Certain Documents by Reference</w:t>
        </w:r>
      </w:hyperlink>
    </w:p>
    <w:p>
      <w:pPr>
        <w:ind w:left="320"/>
        <w:spacing w:after="0" w:line="231"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4. Description of Securities</w:t>
        </w:r>
      </w:hyperlink>
    </w:p>
    <w:p>
      <w:pPr>
        <w:ind w:left="320"/>
        <w:spacing w:after="0" w:line="231" w:lineRule="auto"/>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5. Interests of Named Experts and Counsel</w:t>
        </w:r>
      </w:hyperlink>
    </w:p>
    <w:p>
      <w:pPr>
        <w:ind w:left="320"/>
        <w:spacing w:after="0" w:line="231"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6. Indemnification of Directors and Officers</w:t>
        </w:r>
      </w:hyperlink>
    </w:p>
    <w:p>
      <w:pPr>
        <w:ind w:left="320"/>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7. Exemptions from Registration Claimed</w:t>
        </w:r>
      </w:hyperlink>
    </w:p>
    <w:p>
      <w:pPr>
        <w:ind w:left="320"/>
        <w:spacing w:after="0" w:line="231"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8. Exhibits</w:t>
        </w:r>
      </w:hyperlink>
    </w:p>
    <w:p>
      <w:pPr>
        <w:ind w:left="320"/>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9. Undertakings</w:t>
        </w:r>
      </w:hyperlink>
    </w:p>
    <w:p>
      <w:pPr>
        <w:spacing w:after="0" w:line="231" w:lineRule="auto"/>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9">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5.1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Marvell Technology Group Ltd. (the “Registrant”) acquired all of the issued and outstanding capital stock of Asica, Inc. (“Asica”) pursuant to an Agreement and Plan of Merger, among the Registrant and Asica. The shares to be registered hereunder are issuable pursuant to options assumed by the Registrant that were originally granted under the Asica, Inc. 2001 Stock Option Plan</w:t>
      </w:r>
      <w:r>
        <w:rPr>
          <w:rFonts w:ascii="Arial" w:cs="Arial" w:eastAsia="Arial" w:hAnsi="Arial"/>
          <w:sz w:val="18"/>
          <w:szCs w:val="18"/>
          <w:b w:val="1"/>
          <w:bCs w:val="1"/>
          <w:color w:val="auto"/>
        </w:rPr>
        <w:t>.</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REQUIRED IN THE SECTION 10(a) PROSPECTUS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 Plan Information.</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 Registrant Information and Employee Plan Annual Information.</w:t>
      </w:r>
      <w:r>
        <w:rPr>
          <w:rFonts w:ascii="Arial" w:cs="Arial" w:eastAsia="Arial" w:hAnsi="Arial"/>
          <w:sz w:val="18"/>
          <w:szCs w:val="18"/>
          <w:color w:val="auto"/>
        </w:rPr>
        <w:t>*</w:t>
      </w:r>
    </w:p>
    <w:p>
      <w:pPr>
        <w:spacing w:after="0" w:line="231" w:lineRule="exact"/>
        <w:rPr>
          <w:sz w:val="20"/>
          <w:szCs w:val="20"/>
          <w:color w:val="auto"/>
        </w:rPr>
      </w:pPr>
    </w:p>
    <w:p>
      <w:pPr>
        <w:ind w:left="460" w:right="360" w:hanging="452"/>
        <w:spacing w:after="0" w:line="268" w:lineRule="auto"/>
        <w:tabs>
          <w:tab w:leader="none" w:pos="504" w:val="left"/>
        </w:tabs>
        <w:numPr>
          <w:ilvl w:val="0"/>
          <w:numId w:val="2"/>
        </w:numPr>
        <w:rPr>
          <w:rFonts w:ascii="Arial" w:cs="Arial" w:eastAsia="Arial" w:hAnsi="Arial"/>
          <w:sz w:val="18"/>
          <w:szCs w:val="18"/>
          <w:color w:val="auto"/>
        </w:rPr>
      </w:pPr>
      <w:r>
        <w:rPr>
          <w:rFonts w:ascii="Arial" w:cs="Arial" w:eastAsia="Arial" w:hAnsi="Arial"/>
          <w:sz w:val="18"/>
          <w:szCs w:val="18"/>
          <w:color w:val="auto"/>
        </w:rPr>
        <w:t>Information required by Part I to be contained in the Section 10(a) prospectus is omitted from the Registration Statement in accordance with Rule 428 under the Securities Act of 1933 and the Note to Part I of Form S-8.</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298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Certain Documents by Reference.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documents filed by Registrant (File No. 0-30877) with the Securities and Exchange Commission are incorporated by reference in this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Registration Statement:</w:t>
      </w:r>
    </w:p>
    <w:p>
      <w:pPr>
        <w:spacing w:after="0" w:line="219" w:lineRule="exact"/>
        <w:rPr>
          <w:sz w:val="20"/>
          <w:szCs w:val="20"/>
          <w:color w:val="auto"/>
        </w:rPr>
      </w:pPr>
    </w:p>
    <w:p>
      <w:pPr>
        <w:ind w:left="520" w:hanging="292"/>
        <w:spacing w:after="0"/>
        <w:tabs>
          <w:tab w:leader="none" w:pos="5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Annual Report on Form 10-K for the fiscal year ended February 1, 2003;</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Quarterly Report on Form 10-Q filed under the Exchange Act for the fiscal quarter ended May 3, 2003;</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Quarterly Report on Form 10-Q filed under the Exchange Act for the fiscal quarter ended August 2, 2003;</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under the Exchange Act on February 6, 2003;</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under the Exchange Act on June 27, 2003;</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Registrant’s Current Report on Form 8-K filed under the Exchange Act on August 28, 2003; and</w:t>
      </w:r>
    </w:p>
    <w:p>
      <w:pPr>
        <w:spacing w:after="0" w:line="225" w:lineRule="exact"/>
        <w:rPr>
          <w:rFonts w:ascii="Arial" w:cs="Arial" w:eastAsia="Arial" w:hAnsi="Arial"/>
          <w:sz w:val="18"/>
          <w:szCs w:val="18"/>
          <w:color w:val="auto"/>
        </w:rPr>
      </w:pPr>
    </w:p>
    <w:p>
      <w:pPr>
        <w:ind w:firstLine="228"/>
        <w:spacing w:after="0" w:line="332" w:lineRule="auto"/>
        <w:tabs>
          <w:tab w:leader="none" w:pos="512"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description of Registrant’s Common Stock contained in Registrant’s registration statement on Form 8-A, filed June 22, 2000 pursuant to Section 12(g) of the Securities Exchange Act of 1934 including any amendment or report filed for the purpose of updating such description.</w:t>
      </w:r>
    </w:p>
    <w:p>
      <w:pPr>
        <w:spacing w:after="0" w:line="139" w:lineRule="exact"/>
        <w:rPr>
          <w:sz w:val="20"/>
          <w:szCs w:val="20"/>
          <w:color w:val="auto"/>
        </w:rPr>
      </w:pPr>
    </w:p>
    <w:p>
      <w:pPr>
        <w:jc w:val="both"/>
        <w:ind w:right="100" w:firstLine="220"/>
        <w:spacing w:after="0" w:line="306" w:lineRule="auto"/>
        <w:rPr>
          <w:sz w:val="20"/>
          <w:szCs w:val="20"/>
          <w:color w:val="auto"/>
        </w:rPr>
      </w:pPr>
      <w:r>
        <w:rPr>
          <w:rFonts w:ascii="Arial" w:cs="Arial" w:eastAsia="Arial" w:hAnsi="Arial"/>
          <w:sz w:val="16"/>
          <w:szCs w:val="16"/>
          <w:color w:val="auto"/>
        </w:rPr>
        <w:t>In addition, all documents subsequently filed by the Registrant pursuant to Section 13(a), 13(c), 14 and 15(d) of the Securities Exchange Act of 1934,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4. Description of Securities.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5. Interests of Named Experts and Counsel.</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6. Indemnification of Directors and Officers.</w:t>
      </w:r>
    </w:p>
    <w:p>
      <w:pPr>
        <w:spacing w:after="0" w:line="231" w:lineRule="exact"/>
        <w:rPr>
          <w:sz w:val="20"/>
          <w:szCs w:val="20"/>
          <w:color w:val="auto"/>
        </w:rPr>
      </w:pPr>
    </w:p>
    <w:p>
      <w:pPr>
        <w:ind w:right="260" w:firstLine="220"/>
        <w:spacing w:after="0" w:line="255" w:lineRule="auto"/>
        <w:rPr>
          <w:sz w:val="20"/>
          <w:szCs w:val="20"/>
          <w:color w:val="auto"/>
        </w:rPr>
      </w:pPr>
      <w:r>
        <w:rPr>
          <w:rFonts w:ascii="Arial" w:cs="Arial" w:eastAsia="Arial" w:hAnsi="Arial"/>
          <w:sz w:val="18"/>
          <w:szCs w:val="18"/>
          <w:color w:val="auto"/>
        </w:rPr>
        <w:t>Set forth below is a description of certain provisions of the Companies Act of 1981 of Bermuda (the “Companies Act”), the Registrant’s Memorandum of Association, as presently in effect (the “Memorandum of Association”), and the Registrant’s Bye-laws (the “Bye-laws”), as such provisions relate to the indemnification of the directors and officers of the Registrant. This description is intended only as a summary and is qualified in its entirety by reference to the applicable provisions of the Companies Act, the Registrant’s Memorandum of Association and the Registrant’s Bye-laws, which are incorporated herein by reference.</w:t>
      </w:r>
    </w:p>
    <w:p>
      <w:pPr>
        <w:spacing w:after="0" w:line="197" w:lineRule="exact"/>
        <w:rPr>
          <w:sz w:val="20"/>
          <w:szCs w:val="20"/>
          <w:color w:val="auto"/>
        </w:rPr>
      </w:pPr>
    </w:p>
    <w:p>
      <w:pPr>
        <w:jc w:val="both"/>
        <w:ind w:right="140" w:firstLine="216"/>
        <w:spacing w:after="0" w:line="259"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own fraud or dishonesty.</w:t>
      </w:r>
    </w:p>
    <w:p>
      <w:pPr>
        <w:spacing w:after="0" w:line="194" w:lineRule="exact"/>
        <w:rPr>
          <w:sz w:val="20"/>
          <w:szCs w:val="20"/>
          <w:color w:val="auto"/>
        </w:rPr>
      </w:pPr>
    </w:p>
    <w:p>
      <w:pPr>
        <w:ind w:right="200" w:firstLine="216"/>
        <w:spacing w:after="0" w:line="298" w:lineRule="auto"/>
        <w:rPr>
          <w:sz w:val="20"/>
          <w:szCs w:val="20"/>
          <w:color w:val="auto"/>
        </w:rPr>
      </w:pPr>
      <w:r>
        <w:rPr>
          <w:rFonts w:ascii="Arial" w:cs="Arial" w:eastAsia="Arial" w:hAnsi="Arial"/>
          <w:sz w:val="16"/>
          <w:szCs w:val="16"/>
          <w:color w:val="auto"/>
        </w:rPr>
        <w:t>The Bye-laws provide that every director, officer, committee member and any resident representative of the Registrant be indemnified against any liabilities, loss, damage or expense incurred or suffered in such capacity, subject to limitations imposed in the Companies Act. The Bye-laws further provide that to the extent that any director, officer, committee member or resident representative of the Registrant is successful in defending any proceedings, whether civil or criminal, the Registrant will indemnify the individual for all liabilities incurred in such capacity.</w:t>
      </w:r>
    </w:p>
    <w:p>
      <w:pPr>
        <w:spacing w:after="0" w:line="167"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Bye-law 31 stipulates that each shareholder and the Registrant agree to waive any claim or right of action against any director, officer or committee member, in respect of any failure to act or any action taken by such director, officer or committee member in the performance of his duties with or for the Registrant.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Exemptions from Registration Claimed.</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 Exhibits.</w:t>
      </w:r>
    </w:p>
    <w:p>
      <w:pPr>
        <w:spacing w:after="0" w:line="231" w:lineRule="exact"/>
        <w:rPr>
          <w:sz w:val="20"/>
          <w:szCs w:val="20"/>
          <w:color w:val="auto"/>
        </w:rPr>
      </w:pPr>
    </w:p>
    <w:p>
      <w:pPr>
        <w:ind w:left="100"/>
        <w:spacing w:after="0"/>
        <w:tabs>
          <w:tab w:leader="none" w:pos="620" w:val="left"/>
        </w:tabs>
        <w:rPr>
          <w:sz w:val="20"/>
          <w:szCs w:val="20"/>
          <w:color w:val="auto"/>
        </w:rPr>
      </w:pPr>
      <w:r>
        <w:rPr>
          <w:rFonts w:ascii="Arial" w:cs="Arial" w:eastAsia="Arial" w:hAnsi="Arial"/>
          <w:sz w:val="18"/>
          <w:szCs w:val="18"/>
          <w:color w:val="auto"/>
        </w:rPr>
        <w:t>5.1</w:t>
      </w:r>
      <w:r>
        <w:rPr>
          <w:sz w:val="20"/>
          <w:szCs w:val="20"/>
          <w:color w:val="auto"/>
        </w:rPr>
        <w:tab/>
      </w:r>
      <w:r>
        <w:rPr>
          <w:rFonts w:ascii="Arial" w:cs="Arial" w:eastAsia="Arial" w:hAnsi="Arial"/>
          <w:sz w:val="16"/>
          <w:szCs w:val="16"/>
          <w:color w:val="auto"/>
        </w:rPr>
        <w:t>Opinion of Appleby Spurling &amp; Kempe.</w:t>
      </w:r>
    </w:p>
    <w:p>
      <w:pPr>
        <w:spacing w:after="0" w:line="225" w:lineRule="exact"/>
        <w:rPr>
          <w:sz w:val="20"/>
          <w:szCs w:val="20"/>
          <w:color w:val="auto"/>
        </w:rPr>
      </w:pPr>
    </w:p>
    <w:p>
      <w:pPr>
        <w:ind w:left="20"/>
        <w:spacing w:after="0"/>
        <w:tabs>
          <w:tab w:leader="none" w:pos="62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5"/>
          <w:szCs w:val="15"/>
          <w:color w:val="auto"/>
        </w:rPr>
        <w:t>Consent of PricewaterhouseCoopers LLP, Independent Accountants.</w:t>
      </w:r>
    </w:p>
    <w:p>
      <w:pPr>
        <w:spacing w:after="0" w:line="225" w:lineRule="exact"/>
        <w:rPr>
          <w:sz w:val="20"/>
          <w:szCs w:val="20"/>
          <w:color w:val="auto"/>
        </w:rPr>
      </w:pPr>
    </w:p>
    <w:p>
      <w:pPr>
        <w:ind w:left="20"/>
        <w:spacing w:after="0"/>
        <w:tabs>
          <w:tab w:leader="none" w:pos="62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Spurling &amp; Kempe (included in Exhibit 5.1 hereto).</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Undertakings.</w:t>
      </w:r>
    </w:p>
    <w:p>
      <w:pPr>
        <w:spacing w:after="0" w:line="231" w:lineRule="exact"/>
        <w:rPr>
          <w:sz w:val="20"/>
          <w:szCs w:val="20"/>
          <w:color w:val="auto"/>
        </w:rPr>
      </w:pPr>
    </w:p>
    <w:p>
      <w:pPr>
        <w:ind w:left="520" w:hanging="292"/>
        <w:spacing w:after="0"/>
        <w:tabs>
          <w:tab w:leader="none" w:pos="5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25" w:lineRule="exact"/>
        <w:rPr>
          <w:rFonts w:ascii="Arial" w:cs="Arial" w:eastAsia="Arial" w:hAnsi="Arial"/>
          <w:sz w:val="18"/>
          <w:szCs w:val="18"/>
          <w:color w:val="auto"/>
        </w:rPr>
      </w:pPr>
    </w:p>
    <w:p>
      <w:pPr>
        <w:ind w:left="1040" w:hanging="242"/>
        <w:spacing w:after="0"/>
        <w:tabs>
          <w:tab w:leader="none" w:pos="104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225" w:lineRule="exact"/>
        <w:rPr>
          <w:rFonts w:ascii="Arial" w:cs="Arial" w:eastAsia="Arial" w:hAnsi="Arial"/>
          <w:sz w:val="18"/>
          <w:szCs w:val="18"/>
          <w:color w:val="auto"/>
        </w:rPr>
      </w:pPr>
    </w:p>
    <w:p>
      <w:pPr>
        <w:ind w:left="1120" w:hanging="204"/>
        <w:spacing w:after="0"/>
        <w:tabs>
          <w:tab w:leader="none" w:pos="1120" w:val="left"/>
        </w:tabs>
        <w:numPr>
          <w:ilvl w:val="2"/>
          <w:numId w:val="4"/>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 of 1933;</w:t>
      </w:r>
    </w:p>
    <w:p>
      <w:pPr>
        <w:spacing w:after="0" w:line="225" w:lineRule="exact"/>
        <w:rPr>
          <w:rFonts w:ascii="Arial" w:cs="Arial" w:eastAsia="Arial" w:hAnsi="Arial"/>
          <w:sz w:val="18"/>
          <w:szCs w:val="18"/>
          <w:color w:val="auto"/>
        </w:rPr>
      </w:pPr>
    </w:p>
    <w:p>
      <w:pPr>
        <w:ind w:left="700" w:right="460" w:firstLine="216"/>
        <w:spacing w:after="0" w:line="268" w:lineRule="auto"/>
        <w:tabs>
          <w:tab w:leader="none" w:pos="1175" w:val="left"/>
        </w:tabs>
        <w:numPr>
          <w:ilvl w:val="2"/>
          <w:numId w:val="4"/>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00" w:right="40"/>
        <w:spacing w:after="0" w:line="255" w:lineRule="auto"/>
        <w:rPr>
          <w:sz w:val="20"/>
          <w:szCs w:val="20"/>
          <w:color w:val="auto"/>
        </w:rPr>
      </w:pPr>
      <w:r>
        <w:rPr>
          <w:rFonts w:ascii="Arial" w:cs="Arial" w:eastAsia="Arial" w:hAnsi="Arial"/>
          <w:sz w:val="18"/>
          <w:szCs w:val="18"/>
          <w:color w:val="auto"/>
        </w:rPr>
        <w:t>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w:t>
      </w:r>
    </w:p>
    <w:p>
      <w:pPr>
        <w:spacing w:after="0" w:line="197" w:lineRule="exact"/>
        <w:rPr>
          <w:sz w:val="20"/>
          <w:szCs w:val="20"/>
          <w:color w:val="auto"/>
        </w:rPr>
      </w:pPr>
    </w:p>
    <w:p>
      <w:pPr>
        <w:ind w:left="700" w:firstLine="216"/>
        <w:spacing w:after="0" w:line="268" w:lineRule="auto"/>
        <w:tabs>
          <w:tab w:leader="none" w:pos="1223"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86" w:lineRule="exact"/>
        <w:rPr>
          <w:sz w:val="20"/>
          <w:szCs w:val="20"/>
          <w:color w:val="auto"/>
        </w:rPr>
      </w:pPr>
    </w:p>
    <w:p>
      <w:pPr>
        <w:ind w:left="460" w:right="20"/>
        <w:spacing w:after="0" w:line="306" w:lineRule="auto"/>
        <w:rPr>
          <w:sz w:val="20"/>
          <w:szCs w:val="20"/>
          <w:color w:val="auto"/>
        </w:rPr>
      </w:pPr>
      <w:r>
        <w:rPr>
          <w:rFonts w:ascii="Arial" w:cs="Arial" w:eastAsia="Arial" w:hAnsi="Arial"/>
          <w:sz w:val="16"/>
          <w:szCs w:val="16"/>
          <w:color w:val="auto"/>
        </w:rPr>
        <w:t>Provided, however, that paragraphs (a)(1)(i) and (a)(1)(ii) do not apply if the registration statement is on Form S-3 or Form S-8, and the information required to be included in a post-effective amendment by those paragraphs is contained in periodic reports filed by the Registrant pursuant to section 13 or section 15(d) of the Securities Exchange Act of 1934 that are incorporated by reference in the registration statement.</w:t>
      </w:r>
    </w:p>
    <w:p>
      <w:pPr>
        <w:spacing w:after="0" w:line="161" w:lineRule="exact"/>
        <w:rPr>
          <w:sz w:val="20"/>
          <w:szCs w:val="20"/>
          <w:color w:val="auto"/>
        </w:rPr>
      </w:pPr>
    </w:p>
    <w:p>
      <w:pPr>
        <w:ind w:left="360" w:right="80" w:firstLine="219"/>
        <w:spacing w:after="0" w:line="259" w:lineRule="auto"/>
        <w:tabs>
          <w:tab w:leader="none" w:pos="825" w:val="left"/>
        </w:tabs>
        <w:numPr>
          <w:ilvl w:val="1"/>
          <w:numId w:val="6"/>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194" w:lineRule="exact"/>
        <w:rPr>
          <w:rFonts w:ascii="Arial" w:cs="Arial" w:eastAsia="Arial" w:hAnsi="Arial"/>
          <w:sz w:val="18"/>
          <w:szCs w:val="18"/>
          <w:color w:val="auto"/>
        </w:rPr>
      </w:pPr>
    </w:p>
    <w:p>
      <w:pPr>
        <w:ind w:left="360" w:right="20" w:firstLine="219"/>
        <w:spacing w:after="0" w:line="268" w:lineRule="auto"/>
        <w:tabs>
          <w:tab w:leader="none" w:pos="825" w:val="left"/>
        </w:tabs>
        <w:numPr>
          <w:ilvl w:val="1"/>
          <w:numId w:val="6"/>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85" w:lineRule="exact"/>
        <w:rPr>
          <w:rFonts w:ascii="Arial" w:cs="Arial" w:eastAsia="Arial" w:hAnsi="Arial"/>
          <w:sz w:val="18"/>
          <w:szCs w:val="18"/>
          <w:color w:val="auto"/>
        </w:rPr>
      </w:pPr>
    </w:p>
    <w:p>
      <w:pPr>
        <w:ind w:left="520" w:hanging="292"/>
        <w:spacing w:after="0"/>
        <w:tabs>
          <w:tab w:leader="none" w:pos="520"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undersigned Registrant hereby undertakes that, for purposes of determining any liability under the Securities Act of 1933, each filing of the</w:t>
      </w:r>
    </w:p>
    <w:p>
      <w:pPr>
        <w:spacing w:after="0" w:line="38" w:lineRule="exact"/>
        <w:rPr>
          <w:rFonts w:ascii="Arial" w:cs="Arial" w:eastAsia="Arial" w:hAnsi="Arial"/>
          <w:sz w:val="16"/>
          <w:szCs w:val="16"/>
          <w:color w:val="auto"/>
        </w:rPr>
      </w:pPr>
    </w:p>
    <w:p>
      <w:pPr>
        <w:ind w:right="60"/>
        <w:spacing w:after="0" w:line="254" w:lineRule="auto"/>
        <w:rPr>
          <w:rFonts w:ascii="Arial" w:cs="Arial" w:eastAsia="Arial" w:hAnsi="Arial"/>
          <w:sz w:val="16"/>
          <w:szCs w:val="16"/>
          <w:color w:val="auto"/>
        </w:rPr>
      </w:pPr>
      <w:r>
        <w:rPr>
          <w:rFonts w:ascii="Arial" w:cs="Arial" w:eastAsia="Arial" w:hAnsi="Arial"/>
          <w:sz w:val="18"/>
          <w:szCs w:val="18"/>
          <w:color w:val="auto"/>
        </w:rPr>
        <w:t>Registrant’s annual report pursuant to section 13(a) or section 15(d) of the Securities Exchange Act of 1934 (and, where applicable, each filing of an employee benefit plan’s annual report pursuant to section 15(a)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97" w:lineRule="exact"/>
        <w:rPr>
          <w:rFonts w:ascii="Arial" w:cs="Arial" w:eastAsia="Arial" w:hAnsi="Arial"/>
          <w:sz w:val="16"/>
          <w:szCs w:val="16"/>
          <w:color w:val="auto"/>
        </w:rPr>
      </w:pPr>
    </w:p>
    <w:p>
      <w:pPr>
        <w:ind w:right="60" w:firstLine="228"/>
        <w:spacing w:after="0" w:line="290" w:lineRule="auto"/>
        <w:tabs>
          <w:tab w:leader="none" w:pos="502" w:val="left"/>
        </w:tabs>
        <w:numPr>
          <w:ilvl w:val="0"/>
          <w:numId w:val="7"/>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Act and will be governed by the final adjudication of such issue.</w:t>
      </w:r>
    </w:p>
    <w:p>
      <w:pPr>
        <w:spacing w:after="0" w:line="17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40" w:firstLine="220"/>
        <w:spacing w:after="0" w:line="25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the 12th day of December, 2003.</w:t>
      </w:r>
    </w:p>
    <w:p>
      <w:pPr>
        <w:spacing w:after="0" w:line="200" w:lineRule="exact"/>
        <w:rPr>
          <w:sz w:val="20"/>
          <w:szCs w:val="20"/>
          <w:color w:val="auto"/>
        </w:rPr>
      </w:pPr>
    </w:p>
    <w:p>
      <w:pPr>
        <w:spacing w:after="0" w:line="237" w:lineRule="exact"/>
        <w:rPr>
          <w:sz w:val="20"/>
          <w:szCs w:val="20"/>
          <w:color w:val="auto"/>
        </w:rPr>
      </w:pPr>
    </w:p>
    <w:p>
      <w:pPr>
        <w:ind w:left="74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7440"/>
        <w:spacing w:after="0"/>
        <w:tabs>
          <w:tab w:leader="none" w:pos="9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5613400</wp:posOffset>
            </wp:positionH>
            <wp:positionV relativeFrom="paragraph">
              <wp:posOffset>71120</wp:posOffset>
            </wp:positionV>
            <wp:extent cx="110617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5" w:lineRule="exact"/>
        <w:rPr>
          <w:sz w:val="20"/>
          <w:szCs w:val="20"/>
          <w:color w:val="auto"/>
        </w:rPr>
      </w:pPr>
    </w:p>
    <w:p>
      <w:pPr>
        <w:jc w:val="center"/>
        <w:ind w:left="800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jc w:val="center"/>
        <w:ind w:left="800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jc w:val="center"/>
        <w:ind w:left="8000"/>
        <w:spacing w:after="0"/>
        <w:rPr>
          <w:sz w:val="20"/>
          <w:szCs w:val="20"/>
          <w:color w:val="auto"/>
        </w:rPr>
      </w:pPr>
      <w:r>
        <w:rPr>
          <w:rFonts w:ascii="Arial" w:cs="Arial" w:eastAsia="Arial" w:hAnsi="Arial"/>
          <w:sz w:val="18"/>
          <w:szCs w:val="18"/>
          <w:color w:val="auto"/>
        </w:rPr>
        <w:t>(Principal Executive Officer)</w:t>
      </w:r>
    </w:p>
    <w:p>
      <w:pPr>
        <w:spacing w:after="0" w:line="219" w:lineRule="exact"/>
        <w:rPr>
          <w:sz w:val="20"/>
          <w:szCs w:val="20"/>
          <w:color w:val="auto"/>
        </w:rPr>
      </w:pPr>
    </w:p>
    <w:p>
      <w:pPr>
        <w:ind w:right="480" w:firstLine="220"/>
        <w:spacing w:after="0" w:line="268" w:lineRule="auto"/>
        <w:rPr>
          <w:sz w:val="20"/>
          <w:szCs w:val="20"/>
          <w:color w:val="auto"/>
        </w:rPr>
      </w:pPr>
      <w:r>
        <w:rPr>
          <w:rFonts w:ascii="Arial" w:cs="Arial" w:eastAsia="Arial" w:hAnsi="Arial"/>
          <w:sz w:val="18"/>
          <w:szCs w:val="18"/>
          <w:color w:val="auto"/>
        </w:rPr>
        <w:t>Pursuant to the requirements of the Securities Act of 1933, the undersigned, the duly authorized representative of the Registrant in the United States, has signed this Registration Statement in the City of Sunnyvale, State of California, on the 12th day of December, 2003.</w:t>
      </w:r>
    </w:p>
    <w:p>
      <w:pPr>
        <w:spacing w:after="0" w:line="200" w:lineRule="exact"/>
        <w:rPr>
          <w:sz w:val="20"/>
          <w:szCs w:val="20"/>
          <w:color w:val="auto"/>
        </w:rPr>
      </w:pPr>
    </w:p>
    <w:p>
      <w:pPr>
        <w:spacing w:after="0" w:line="229" w:lineRule="exact"/>
        <w:rPr>
          <w:sz w:val="20"/>
          <w:szCs w:val="20"/>
          <w:color w:val="auto"/>
        </w:rPr>
      </w:pPr>
    </w:p>
    <w:p>
      <w:pPr>
        <w:ind w:left="7440"/>
        <w:spacing w:after="0"/>
        <w:tabs>
          <w:tab w:leader="none" w:pos="9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5613400</wp:posOffset>
            </wp:positionH>
            <wp:positionV relativeFrom="paragraph">
              <wp:posOffset>71120</wp:posOffset>
            </wp:positionV>
            <wp:extent cx="110617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5" w:lineRule="exact"/>
        <w:rPr>
          <w:sz w:val="20"/>
          <w:szCs w:val="20"/>
          <w:color w:val="auto"/>
        </w:rPr>
      </w:pPr>
    </w:p>
    <w:p>
      <w:pPr>
        <w:jc w:val="center"/>
        <w:ind w:left="800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jc w:val="center"/>
        <w:ind w:left="8000"/>
        <w:spacing w:after="0"/>
        <w:rPr>
          <w:sz w:val="20"/>
          <w:szCs w:val="20"/>
          <w:color w:val="auto"/>
        </w:rPr>
      </w:pPr>
      <w:r>
        <w:rPr>
          <w:rFonts w:ascii="Arial" w:cs="Arial" w:eastAsia="Arial" w:hAnsi="Arial"/>
          <w:sz w:val="18"/>
          <w:szCs w:val="18"/>
          <w:color w:val="auto"/>
        </w:rPr>
        <w:t>President and Chief Executive Officer</w:t>
      </w:r>
    </w:p>
    <w:p>
      <w:pPr>
        <w:spacing w:after="0" w:line="219" w:lineRule="exact"/>
        <w:rPr>
          <w:sz w:val="20"/>
          <w:szCs w:val="20"/>
          <w:color w:val="auto"/>
        </w:rPr>
      </w:pPr>
    </w:p>
    <w:p>
      <w:pPr>
        <w:ind w:right="240" w:firstLine="220"/>
        <w:spacing w:after="0" w:line="268"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and on the dates indicated.</w:t>
      </w:r>
    </w:p>
    <w:p>
      <w:pPr>
        <w:spacing w:after="0" w:line="200" w:lineRule="exact"/>
        <w:rPr>
          <w:sz w:val="20"/>
          <w:szCs w:val="20"/>
          <w:color w:val="auto"/>
        </w:rPr>
      </w:pP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3200" w:type="dxa"/>
            <w:vAlign w:val="bottom"/>
          </w:tcPr>
          <w:p>
            <w:pPr>
              <w:jc w:val="center"/>
              <w:spacing w:after="0"/>
              <w:rPr>
                <w:sz w:val="20"/>
                <w:szCs w:val="20"/>
                <w:color w:val="auto"/>
              </w:rPr>
            </w:pPr>
            <w:r>
              <w:rPr>
                <w:rFonts w:ascii="Arial" w:cs="Arial" w:eastAsia="Arial" w:hAnsi="Arial"/>
                <w:sz w:val="14"/>
                <w:szCs w:val="14"/>
                <w:b w:val="1"/>
                <w:bCs w:val="1"/>
                <w:color w:val="auto"/>
                <w:w w:val="86"/>
              </w:rPr>
              <w:t>Signature</w:t>
            </w:r>
          </w:p>
        </w:tc>
        <w:tc>
          <w:tcPr>
            <w:tcW w:w="580" w:type="dxa"/>
            <w:vAlign w:val="bottom"/>
          </w:tcPr>
          <w:p>
            <w:pPr>
              <w:spacing w:after="0"/>
              <w:rPr>
                <w:sz w:val="15"/>
                <w:szCs w:val="15"/>
                <w:color w:val="auto"/>
              </w:rPr>
            </w:pPr>
          </w:p>
        </w:tc>
        <w:tc>
          <w:tcPr>
            <w:tcW w:w="4920" w:type="dxa"/>
            <w:vAlign w:val="bottom"/>
          </w:tcPr>
          <w:p>
            <w:pPr>
              <w:jc w:val="center"/>
              <w:spacing w:after="0"/>
              <w:rPr>
                <w:sz w:val="20"/>
                <w:szCs w:val="20"/>
                <w:color w:val="auto"/>
              </w:rPr>
            </w:pPr>
            <w:r>
              <w:rPr>
                <w:rFonts w:ascii="Arial" w:cs="Arial" w:eastAsia="Arial" w:hAnsi="Arial"/>
                <w:sz w:val="14"/>
                <w:szCs w:val="14"/>
                <w:b w:val="1"/>
                <w:bCs w:val="1"/>
                <w:color w:val="auto"/>
                <w:w w:val="97"/>
              </w:rPr>
              <w:t>Title</w:t>
            </w:r>
          </w:p>
        </w:tc>
        <w:tc>
          <w:tcPr>
            <w:tcW w:w="560" w:type="dxa"/>
            <w:vAlign w:val="bottom"/>
          </w:tcPr>
          <w:p>
            <w:pPr>
              <w:spacing w:after="0"/>
              <w:rPr>
                <w:sz w:val="15"/>
                <w:szCs w:val="15"/>
                <w:color w:val="auto"/>
              </w:rPr>
            </w:pP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95"/>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tcBorders>
              <w:bottom w:val="single" w:sz="8" w:color="808080"/>
            </w:tcBorders>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9"/>
        </w:trPr>
        <w:tc>
          <w:tcPr>
            <w:tcW w:w="3200" w:type="dxa"/>
            <w:vAlign w:val="bottom"/>
          </w:tcPr>
          <w:p>
            <w:pPr>
              <w:jc w:val="center"/>
              <w:spacing w:after="0"/>
              <w:rPr>
                <w:sz w:val="20"/>
                <w:szCs w:val="20"/>
                <w:color w:val="auto"/>
              </w:rPr>
            </w:pPr>
            <w:r>
              <w:rPr>
                <w:rFonts w:ascii="Arial" w:cs="Arial" w:eastAsia="Arial" w:hAnsi="Arial"/>
                <w:sz w:val="18"/>
                <w:szCs w:val="18"/>
                <w:color w:val="auto"/>
                <w:w w:val="85"/>
              </w:rPr>
              <w:t>/s/ Sehat Sutardja</w:t>
            </w:r>
          </w:p>
        </w:tc>
        <w:tc>
          <w:tcPr>
            <w:tcW w:w="580" w:type="dxa"/>
            <w:vAlign w:val="bottom"/>
          </w:tcPr>
          <w:p>
            <w:pPr>
              <w:spacing w:after="0"/>
              <w:rPr>
                <w:sz w:val="24"/>
                <w:szCs w:val="24"/>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88"/>
              </w:rPr>
              <w:t>Chairman of the Board, President,</w:t>
            </w:r>
          </w:p>
        </w:tc>
        <w:tc>
          <w:tcPr>
            <w:tcW w:w="560" w:type="dxa"/>
            <w:vAlign w:val="bottom"/>
          </w:tcPr>
          <w:p>
            <w:pPr>
              <w:spacing w:after="0"/>
              <w:rPr>
                <w:sz w:val="24"/>
                <w:szCs w:val="24"/>
                <w:color w:val="auto"/>
              </w:rPr>
            </w:pPr>
          </w:p>
        </w:tc>
        <w:tc>
          <w:tcPr>
            <w:tcW w:w="216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0" w:type="dxa"/>
            <w:vAlign w:val="bottom"/>
          </w:tcPr>
          <w:p>
            <w:pPr>
              <w:spacing w:after="0"/>
              <w:rPr>
                <w:sz w:val="1"/>
                <w:szCs w:val="1"/>
                <w:color w:val="auto"/>
              </w:rPr>
            </w:pPr>
          </w:p>
        </w:tc>
      </w:tr>
      <w:tr>
        <w:trPr>
          <w:trHeight w:val="103"/>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vMerge w:val="restart"/>
          </w:tcPr>
          <w:p>
            <w:pPr>
              <w:jc w:val="center"/>
              <w:spacing w:after="0"/>
              <w:rPr>
                <w:sz w:val="20"/>
                <w:szCs w:val="20"/>
                <w:color w:val="auto"/>
              </w:rPr>
            </w:pPr>
            <w:r>
              <w:rPr>
                <w:rFonts w:ascii="Arial" w:cs="Arial" w:eastAsia="Arial" w:hAnsi="Arial"/>
                <w:sz w:val="18"/>
                <w:szCs w:val="18"/>
                <w:color w:val="auto"/>
                <w:w w:val="90"/>
              </w:rPr>
              <w:t>and Chief Executive Officer</w:t>
            </w: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320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580" w:type="dxa"/>
            <w:vAlign w:val="bottom"/>
          </w:tcPr>
          <w:p>
            <w:pPr>
              <w:spacing w:after="0"/>
              <w:rPr>
                <w:sz w:val="8"/>
                <w:szCs w:val="8"/>
                <w:color w:val="auto"/>
              </w:rPr>
            </w:pPr>
          </w:p>
        </w:tc>
        <w:tc>
          <w:tcPr>
            <w:tcW w:w="4920" w:type="dxa"/>
            <w:vAlign w:val="bottom"/>
            <w:vMerge w:val="continue"/>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200" w:type="dxa"/>
            <w:vAlign w:val="bottom"/>
            <w:vMerge w:val="continue"/>
          </w:tcPr>
          <w:p>
            <w:pPr>
              <w:spacing w:after="0"/>
              <w:rPr>
                <w:sz w:val="19"/>
                <w:szCs w:val="19"/>
                <w:color w:val="auto"/>
              </w:rPr>
            </w:pPr>
          </w:p>
        </w:tc>
        <w:tc>
          <w:tcPr>
            <w:tcW w:w="580" w:type="dxa"/>
            <w:vAlign w:val="bottom"/>
          </w:tcPr>
          <w:p>
            <w:pPr>
              <w:spacing w:after="0"/>
              <w:rPr>
                <w:sz w:val="19"/>
                <w:szCs w:val="19"/>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91"/>
              </w:rPr>
              <w:t>(Principal Executive Officer)</w:t>
            </w:r>
          </w:p>
        </w:tc>
        <w:tc>
          <w:tcPr>
            <w:tcW w:w="560" w:type="dxa"/>
            <w:vAlign w:val="bottom"/>
          </w:tcPr>
          <w:p>
            <w:pPr>
              <w:spacing w:after="0"/>
              <w:rPr>
                <w:sz w:val="19"/>
                <w:szCs w:val="19"/>
                <w:color w:val="auto"/>
              </w:rPr>
            </w:pPr>
          </w:p>
        </w:tc>
        <w:tc>
          <w:tcPr>
            <w:tcW w:w="2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3200" w:type="dxa"/>
            <w:vAlign w:val="bottom"/>
          </w:tcPr>
          <w:p>
            <w:pPr>
              <w:jc w:val="center"/>
              <w:spacing w:after="0"/>
              <w:rPr>
                <w:sz w:val="20"/>
                <w:szCs w:val="20"/>
                <w:color w:val="auto"/>
              </w:rPr>
            </w:pPr>
            <w:r>
              <w:rPr>
                <w:rFonts w:ascii="Arial" w:cs="Arial" w:eastAsia="Arial" w:hAnsi="Arial"/>
                <w:sz w:val="18"/>
                <w:szCs w:val="18"/>
                <w:color w:val="auto"/>
                <w:w w:val="94"/>
              </w:rPr>
              <w:t>/s/ Weili Dai</w:t>
            </w:r>
          </w:p>
        </w:tc>
        <w:tc>
          <w:tcPr>
            <w:tcW w:w="580" w:type="dxa"/>
            <w:vAlign w:val="bottom"/>
          </w:tcPr>
          <w:p>
            <w:pPr>
              <w:spacing w:after="0"/>
              <w:rPr>
                <w:sz w:val="24"/>
                <w:szCs w:val="24"/>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87"/>
              </w:rPr>
              <w:t>Executive Vice President and</w:t>
            </w:r>
          </w:p>
        </w:tc>
        <w:tc>
          <w:tcPr>
            <w:tcW w:w="560" w:type="dxa"/>
            <w:vAlign w:val="bottom"/>
          </w:tcPr>
          <w:p>
            <w:pPr>
              <w:spacing w:after="0"/>
              <w:rPr>
                <w:sz w:val="24"/>
                <w:szCs w:val="24"/>
                <w:color w:val="auto"/>
              </w:rPr>
            </w:pPr>
          </w:p>
        </w:tc>
        <w:tc>
          <w:tcPr>
            <w:tcW w:w="216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0" w:type="dxa"/>
            <w:vAlign w:val="bottom"/>
          </w:tcPr>
          <w:p>
            <w:pPr>
              <w:spacing w:after="0"/>
              <w:rPr>
                <w:sz w:val="1"/>
                <w:szCs w:val="1"/>
                <w:color w:val="auto"/>
              </w:rPr>
            </w:pPr>
          </w:p>
        </w:tc>
      </w:tr>
      <w:tr>
        <w:trPr>
          <w:trHeight w:val="103"/>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vMerge w:val="restart"/>
          </w:tcPr>
          <w:p>
            <w:pPr>
              <w:jc w:val="center"/>
              <w:spacing w:after="0"/>
              <w:rPr>
                <w:sz w:val="20"/>
                <w:szCs w:val="20"/>
                <w:color w:val="auto"/>
              </w:rPr>
            </w:pPr>
            <w:r>
              <w:rPr>
                <w:rFonts w:ascii="Arial" w:cs="Arial" w:eastAsia="Arial" w:hAnsi="Arial"/>
                <w:sz w:val="18"/>
                <w:szCs w:val="18"/>
                <w:color w:val="auto"/>
                <w:w w:val="95"/>
              </w:rPr>
              <w:t>Director</w:t>
            </w: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3200" w:type="dxa"/>
            <w:vAlign w:val="bottom"/>
            <w:vMerge w:val="restart"/>
          </w:tcPr>
          <w:p>
            <w:pPr>
              <w:jc w:val="center"/>
              <w:spacing w:after="0"/>
              <w:rPr>
                <w:sz w:val="20"/>
                <w:szCs w:val="20"/>
                <w:color w:val="auto"/>
              </w:rPr>
            </w:pPr>
            <w:r>
              <w:rPr>
                <w:rFonts w:ascii="Arial" w:cs="Arial" w:eastAsia="Arial" w:hAnsi="Arial"/>
                <w:sz w:val="18"/>
                <w:szCs w:val="18"/>
                <w:color w:val="auto"/>
                <w:w w:val="92"/>
              </w:rPr>
              <w:t>Weili Dai</w:t>
            </w:r>
          </w:p>
        </w:tc>
        <w:tc>
          <w:tcPr>
            <w:tcW w:w="580" w:type="dxa"/>
            <w:vAlign w:val="bottom"/>
          </w:tcPr>
          <w:p>
            <w:pPr>
              <w:spacing w:after="0"/>
              <w:rPr>
                <w:sz w:val="8"/>
                <w:szCs w:val="8"/>
                <w:color w:val="auto"/>
              </w:rPr>
            </w:pPr>
          </w:p>
        </w:tc>
        <w:tc>
          <w:tcPr>
            <w:tcW w:w="4920" w:type="dxa"/>
            <w:vAlign w:val="bottom"/>
            <w:vMerge w:val="continue"/>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3200" w:type="dxa"/>
            <w:vAlign w:val="bottom"/>
            <w:vMerge w:val="continue"/>
          </w:tcPr>
          <w:p>
            <w:pPr>
              <w:spacing w:after="0"/>
              <w:rPr>
                <w:sz w:val="16"/>
                <w:szCs w:val="16"/>
                <w:color w:val="auto"/>
              </w:rPr>
            </w:pPr>
          </w:p>
        </w:tc>
        <w:tc>
          <w:tcPr>
            <w:tcW w:w="580" w:type="dxa"/>
            <w:vAlign w:val="bottom"/>
          </w:tcPr>
          <w:p>
            <w:pPr>
              <w:spacing w:after="0"/>
              <w:rPr>
                <w:sz w:val="16"/>
                <w:szCs w:val="16"/>
                <w:color w:val="auto"/>
              </w:rPr>
            </w:pPr>
          </w:p>
        </w:tc>
        <w:tc>
          <w:tcPr>
            <w:tcW w:w="49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6"/>
        </w:trPr>
        <w:tc>
          <w:tcPr>
            <w:tcW w:w="3200" w:type="dxa"/>
            <w:vAlign w:val="bottom"/>
          </w:tcPr>
          <w:p>
            <w:pPr>
              <w:jc w:val="center"/>
              <w:spacing w:after="0"/>
              <w:rPr>
                <w:sz w:val="20"/>
                <w:szCs w:val="20"/>
                <w:color w:val="auto"/>
              </w:rPr>
            </w:pPr>
            <w:r>
              <w:rPr>
                <w:rFonts w:ascii="Arial" w:cs="Arial" w:eastAsia="Arial" w:hAnsi="Arial"/>
                <w:sz w:val="18"/>
                <w:szCs w:val="18"/>
                <w:color w:val="auto"/>
                <w:w w:val="85"/>
              </w:rPr>
              <w:t>/s/ Pantas Sutardja</w:t>
            </w:r>
          </w:p>
        </w:tc>
        <w:tc>
          <w:tcPr>
            <w:tcW w:w="580" w:type="dxa"/>
            <w:vAlign w:val="bottom"/>
          </w:tcPr>
          <w:p>
            <w:pPr>
              <w:spacing w:after="0"/>
              <w:rPr>
                <w:sz w:val="24"/>
                <w:szCs w:val="24"/>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90"/>
              </w:rPr>
              <w:t>Chief Technology Officer and</w:t>
            </w:r>
          </w:p>
        </w:tc>
        <w:tc>
          <w:tcPr>
            <w:tcW w:w="560" w:type="dxa"/>
            <w:vAlign w:val="bottom"/>
          </w:tcPr>
          <w:p>
            <w:pPr>
              <w:spacing w:after="0"/>
              <w:rPr>
                <w:sz w:val="24"/>
                <w:szCs w:val="24"/>
                <w:color w:val="auto"/>
              </w:rPr>
            </w:pPr>
          </w:p>
        </w:tc>
        <w:tc>
          <w:tcPr>
            <w:tcW w:w="216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0" w:type="dxa"/>
            <w:vAlign w:val="bottom"/>
          </w:tcPr>
          <w:p>
            <w:pPr>
              <w:spacing w:after="0"/>
              <w:rPr>
                <w:sz w:val="1"/>
                <w:szCs w:val="1"/>
                <w:color w:val="auto"/>
              </w:rPr>
            </w:pPr>
          </w:p>
        </w:tc>
      </w:tr>
      <w:tr>
        <w:trPr>
          <w:trHeight w:val="103"/>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vMerge w:val="restart"/>
          </w:tcPr>
          <w:p>
            <w:pPr>
              <w:jc w:val="center"/>
              <w:spacing w:after="0"/>
              <w:rPr>
                <w:sz w:val="20"/>
                <w:szCs w:val="20"/>
                <w:color w:val="auto"/>
              </w:rPr>
            </w:pPr>
            <w:r>
              <w:rPr>
                <w:rFonts w:ascii="Arial" w:cs="Arial" w:eastAsia="Arial" w:hAnsi="Arial"/>
                <w:sz w:val="18"/>
                <w:szCs w:val="18"/>
                <w:color w:val="auto"/>
                <w:w w:val="95"/>
              </w:rPr>
              <w:t>Director</w:t>
            </w: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3200" w:type="dxa"/>
            <w:vAlign w:val="bottom"/>
            <w:vMerge w:val="restart"/>
          </w:tcPr>
          <w:p>
            <w:pPr>
              <w:jc w:val="center"/>
              <w:spacing w:after="0"/>
              <w:rPr>
                <w:sz w:val="20"/>
                <w:szCs w:val="20"/>
                <w:color w:val="auto"/>
              </w:rPr>
            </w:pPr>
            <w:r>
              <w:rPr>
                <w:rFonts w:ascii="Arial" w:cs="Arial" w:eastAsia="Arial" w:hAnsi="Arial"/>
                <w:sz w:val="18"/>
                <w:szCs w:val="18"/>
                <w:color w:val="auto"/>
                <w:w w:val="85"/>
              </w:rPr>
              <w:t>Dr. Pantas Sutardja</w:t>
            </w:r>
          </w:p>
        </w:tc>
        <w:tc>
          <w:tcPr>
            <w:tcW w:w="580" w:type="dxa"/>
            <w:vAlign w:val="bottom"/>
          </w:tcPr>
          <w:p>
            <w:pPr>
              <w:spacing w:after="0"/>
              <w:rPr>
                <w:sz w:val="8"/>
                <w:szCs w:val="8"/>
                <w:color w:val="auto"/>
              </w:rPr>
            </w:pPr>
          </w:p>
        </w:tc>
        <w:tc>
          <w:tcPr>
            <w:tcW w:w="4920" w:type="dxa"/>
            <w:vAlign w:val="bottom"/>
            <w:vMerge w:val="continue"/>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3200" w:type="dxa"/>
            <w:vAlign w:val="bottom"/>
            <w:vMerge w:val="continue"/>
          </w:tcPr>
          <w:p>
            <w:pPr>
              <w:spacing w:after="0"/>
              <w:rPr>
                <w:sz w:val="16"/>
                <w:szCs w:val="16"/>
                <w:color w:val="auto"/>
              </w:rPr>
            </w:pPr>
          </w:p>
        </w:tc>
        <w:tc>
          <w:tcPr>
            <w:tcW w:w="580" w:type="dxa"/>
            <w:vAlign w:val="bottom"/>
          </w:tcPr>
          <w:p>
            <w:pPr>
              <w:spacing w:after="0"/>
              <w:rPr>
                <w:sz w:val="16"/>
                <w:szCs w:val="16"/>
                <w:color w:val="auto"/>
              </w:rPr>
            </w:pPr>
          </w:p>
        </w:tc>
        <w:tc>
          <w:tcPr>
            <w:tcW w:w="49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6"/>
        </w:trPr>
        <w:tc>
          <w:tcPr>
            <w:tcW w:w="3200" w:type="dxa"/>
            <w:vAlign w:val="bottom"/>
          </w:tcPr>
          <w:p>
            <w:pPr>
              <w:jc w:val="center"/>
              <w:spacing w:after="0"/>
              <w:rPr>
                <w:sz w:val="20"/>
                <w:szCs w:val="20"/>
                <w:color w:val="auto"/>
              </w:rPr>
            </w:pPr>
            <w:r>
              <w:rPr>
                <w:rFonts w:ascii="Arial" w:cs="Arial" w:eastAsia="Arial" w:hAnsi="Arial"/>
                <w:sz w:val="18"/>
                <w:szCs w:val="18"/>
                <w:color w:val="auto"/>
                <w:w w:val="88"/>
              </w:rPr>
              <w:t>/s/ George Hervey</w:t>
            </w:r>
          </w:p>
        </w:tc>
        <w:tc>
          <w:tcPr>
            <w:tcW w:w="580" w:type="dxa"/>
            <w:vAlign w:val="bottom"/>
          </w:tcPr>
          <w:p>
            <w:pPr>
              <w:spacing w:after="0"/>
              <w:rPr>
                <w:sz w:val="24"/>
                <w:szCs w:val="24"/>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88"/>
              </w:rPr>
              <w:t>Vice President of Finance and Chief</w:t>
            </w:r>
          </w:p>
        </w:tc>
        <w:tc>
          <w:tcPr>
            <w:tcW w:w="560" w:type="dxa"/>
            <w:vAlign w:val="bottom"/>
          </w:tcPr>
          <w:p>
            <w:pPr>
              <w:spacing w:after="0"/>
              <w:rPr>
                <w:sz w:val="24"/>
                <w:szCs w:val="24"/>
                <w:color w:val="auto"/>
              </w:rPr>
            </w:pPr>
          </w:p>
        </w:tc>
        <w:tc>
          <w:tcPr>
            <w:tcW w:w="216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0" w:type="dxa"/>
            <w:vAlign w:val="bottom"/>
          </w:tcPr>
          <w:p>
            <w:pPr>
              <w:spacing w:after="0"/>
              <w:rPr>
                <w:sz w:val="1"/>
                <w:szCs w:val="1"/>
                <w:color w:val="auto"/>
              </w:rPr>
            </w:pPr>
          </w:p>
        </w:tc>
      </w:tr>
      <w:tr>
        <w:trPr>
          <w:trHeight w:val="103"/>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vMerge w:val="restart"/>
          </w:tcPr>
          <w:p>
            <w:pPr>
              <w:jc w:val="center"/>
              <w:spacing w:after="0"/>
              <w:rPr>
                <w:sz w:val="20"/>
                <w:szCs w:val="20"/>
                <w:color w:val="auto"/>
              </w:rPr>
            </w:pPr>
            <w:r>
              <w:rPr>
                <w:rFonts w:ascii="Arial" w:cs="Arial" w:eastAsia="Arial" w:hAnsi="Arial"/>
                <w:sz w:val="18"/>
                <w:szCs w:val="18"/>
                <w:color w:val="auto"/>
                <w:w w:val="91"/>
              </w:rPr>
              <w:t>Financial Officer (Principal Financial</w:t>
            </w: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3200" w:type="dxa"/>
            <w:vAlign w:val="bottom"/>
            <w:vMerge w:val="restart"/>
          </w:tcPr>
          <w:p>
            <w:pPr>
              <w:jc w:val="center"/>
              <w:spacing w:after="0"/>
              <w:rPr>
                <w:sz w:val="20"/>
                <w:szCs w:val="20"/>
                <w:color w:val="auto"/>
              </w:rPr>
            </w:pPr>
            <w:r>
              <w:rPr>
                <w:rFonts w:ascii="Arial" w:cs="Arial" w:eastAsia="Arial" w:hAnsi="Arial"/>
                <w:sz w:val="18"/>
                <w:szCs w:val="18"/>
                <w:color w:val="auto"/>
                <w:w w:val="86"/>
              </w:rPr>
              <w:t>George Hervey</w:t>
            </w:r>
          </w:p>
        </w:tc>
        <w:tc>
          <w:tcPr>
            <w:tcW w:w="580" w:type="dxa"/>
            <w:vAlign w:val="bottom"/>
          </w:tcPr>
          <w:p>
            <w:pPr>
              <w:spacing w:after="0"/>
              <w:rPr>
                <w:sz w:val="8"/>
                <w:szCs w:val="8"/>
                <w:color w:val="auto"/>
              </w:rPr>
            </w:pPr>
          </w:p>
        </w:tc>
        <w:tc>
          <w:tcPr>
            <w:tcW w:w="4920" w:type="dxa"/>
            <w:vAlign w:val="bottom"/>
            <w:vMerge w:val="continue"/>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200" w:type="dxa"/>
            <w:vAlign w:val="bottom"/>
            <w:vMerge w:val="continue"/>
          </w:tcPr>
          <w:p>
            <w:pPr>
              <w:spacing w:after="0"/>
              <w:rPr>
                <w:sz w:val="19"/>
                <w:szCs w:val="19"/>
                <w:color w:val="auto"/>
              </w:rPr>
            </w:pPr>
          </w:p>
        </w:tc>
        <w:tc>
          <w:tcPr>
            <w:tcW w:w="580" w:type="dxa"/>
            <w:vAlign w:val="bottom"/>
          </w:tcPr>
          <w:p>
            <w:pPr>
              <w:spacing w:after="0"/>
              <w:rPr>
                <w:sz w:val="19"/>
                <w:szCs w:val="19"/>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91"/>
              </w:rPr>
              <w:t>and Accounting Officer)</w:t>
            </w:r>
          </w:p>
        </w:tc>
        <w:tc>
          <w:tcPr>
            <w:tcW w:w="560" w:type="dxa"/>
            <w:vAlign w:val="bottom"/>
          </w:tcPr>
          <w:p>
            <w:pPr>
              <w:spacing w:after="0"/>
              <w:rPr>
                <w:sz w:val="19"/>
                <w:szCs w:val="19"/>
                <w:color w:val="auto"/>
              </w:rPr>
            </w:pPr>
          </w:p>
        </w:tc>
        <w:tc>
          <w:tcPr>
            <w:tcW w:w="2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3200" w:type="dxa"/>
            <w:vAlign w:val="bottom"/>
          </w:tcPr>
          <w:p>
            <w:pPr>
              <w:jc w:val="center"/>
              <w:spacing w:after="0"/>
              <w:rPr>
                <w:sz w:val="20"/>
                <w:szCs w:val="20"/>
                <w:color w:val="auto"/>
              </w:rPr>
            </w:pPr>
            <w:r>
              <w:rPr>
                <w:rFonts w:ascii="Arial" w:cs="Arial" w:eastAsia="Arial" w:hAnsi="Arial"/>
                <w:sz w:val="18"/>
                <w:szCs w:val="18"/>
                <w:color w:val="auto"/>
                <w:w w:val="88"/>
              </w:rPr>
              <w:t>/s/ Herbert Chang</w:t>
            </w:r>
          </w:p>
        </w:tc>
        <w:tc>
          <w:tcPr>
            <w:tcW w:w="580" w:type="dxa"/>
            <w:vAlign w:val="bottom"/>
          </w:tcPr>
          <w:p>
            <w:pPr>
              <w:spacing w:after="0"/>
              <w:rPr>
                <w:sz w:val="24"/>
                <w:szCs w:val="24"/>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560" w:type="dxa"/>
            <w:vAlign w:val="bottom"/>
          </w:tcPr>
          <w:p>
            <w:pPr>
              <w:spacing w:after="0"/>
              <w:rPr>
                <w:sz w:val="24"/>
                <w:szCs w:val="24"/>
                <w:color w:val="auto"/>
              </w:rPr>
            </w:pPr>
          </w:p>
        </w:tc>
        <w:tc>
          <w:tcPr>
            <w:tcW w:w="216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0" w:type="dxa"/>
            <w:vAlign w:val="bottom"/>
          </w:tcPr>
          <w:p>
            <w:pPr>
              <w:spacing w:after="0"/>
              <w:rPr>
                <w:sz w:val="1"/>
                <w:szCs w:val="1"/>
                <w:color w:val="auto"/>
              </w:rPr>
            </w:pPr>
          </w:p>
        </w:tc>
      </w:tr>
      <w:tr>
        <w:trPr>
          <w:trHeight w:val="97"/>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320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580" w:type="dxa"/>
            <w:vAlign w:val="bottom"/>
          </w:tcPr>
          <w:p>
            <w:pPr>
              <w:spacing w:after="0"/>
              <w:rPr>
                <w:sz w:val="24"/>
                <w:szCs w:val="24"/>
                <w:color w:val="auto"/>
              </w:rPr>
            </w:pPr>
          </w:p>
        </w:tc>
        <w:tc>
          <w:tcPr>
            <w:tcW w:w="49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200" w:type="dxa"/>
            <w:vAlign w:val="bottom"/>
          </w:tcPr>
          <w:p>
            <w:pPr>
              <w:jc w:val="center"/>
              <w:spacing w:after="0"/>
              <w:rPr>
                <w:sz w:val="20"/>
                <w:szCs w:val="20"/>
                <w:color w:val="auto"/>
              </w:rPr>
            </w:pPr>
            <w:r>
              <w:rPr>
                <w:rFonts w:ascii="Arial" w:cs="Arial" w:eastAsia="Arial" w:hAnsi="Arial"/>
                <w:sz w:val="18"/>
                <w:szCs w:val="18"/>
                <w:color w:val="auto"/>
                <w:w w:val="88"/>
              </w:rPr>
              <w:t>/s/ Paul R. Gray</w:t>
            </w:r>
          </w:p>
        </w:tc>
        <w:tc>
          <w:tcPr>
            <w:tcW w:w="580" w:type="dxa"/>
            <w:vAlign w:val="bottom"/>
          </w:tcPr>
          <w:p>
            <w:pPr>
              <w:spacing w:after="0"/>
              <w:rPr>
                <w:sz w:val="24"/>
                <w:szCs w:val="24"/>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560" w:type="dxa"/>
            <w:vAlign w:val="bottom"/>
          </w:tcPr>
          <w:p>
            <w:pPr>
              <w:spacing w:after="0"/>
              <w:rPr>
                <w:sz w:val="24"/>
                <w:szCs w:val="24"/>
                <w:color w:val="auto"/>
              </w:rPr>
            </w:pPr>
          </w:p>
        </w:tc>
        <w:tc>
          <w:tcPr>
            <w:tcW w:w="216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0" w:type="dxa"/>
            <w:vAlign w:val="bottom"/>
          </w:tcPr>
          <w:p>
            <w:pPr>
              <w:spacing w:after="0"/>
              <w:rPr>
                <w:sz w:val="1"/>
                <w:szCs w:val="1"/>
                <w:color w:val="auto"/>
              </w:rPr>
            </w:pPr>
          </w:p>
        </w:tc>
      </w:tr>
      <w:tr>
        <w:trPr>
          <w:trHeight w:val="97"/>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3200" w:type="dxa"/>
            <w:vAlign w:val="bottom"/>
          </w:tcPr>
          <w:p>
            <w:pPr>
              <w:jc w:val="center"/>
              <w:spacing w:after="0"/>
              <w:rPr>
                <w:sz w:val="20"/>
                <w:szCs w:val="20"/>
                <w:color w:val="auto"/>
              </w:rPr>
            </w:pPr>
            <w:r>
              <w:rPr>
                <w:rFonts w:ascii="Arial" w:cs="Arial" w:eastAsia="Arial" w:hAnsi="Arial"/>
                <w:sz w:val="18"/>
                <w:szCs w:val="18"/>
                <w:color w:val="auto"/>
                <w:w w:val="89"/>
              </w:rPr>
              <w:t>Dr. Paul R. Gray</w:t>
            </w:r>
          </w:p>
        </w:tc>
        <w:tc>
          <w:tcPr>
            <w:tcW w:w="580" w:type="dxa"/>
            <w:vAlign w:val="bottom"/>
          </w:tcPr>
          <w:p>
            <w:pPr>
              <w:spacing w:after="0"/>
              <w:rPr>
                <w:sz w:val="24"/>
                <w:szCs w:val="24"/>
                <w:color w:val="auto"/>
              </w:rPr>
            </w:pPr>
          </w:p>
        </w:tc>
        <w:tc>
          <w:tcPr>
            <w:tcW w:w="49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200" w:type="dxa"/>
            <w:vAlign w:val="bottom"/>
          </w:tcPr>
          <w:p>
            <w:pPr>
              <w:jc w:val="center"/>
              <w:spacing w:after="0"/>
              <w:rPr>
                <w:sz w:val="20"/>
                <w:szCs w:val="20"/>
                <w:color w:val="auto"/>
              </w:rPr>
            </w:pPr>
            <w:r>
              <w:rPr>
                <w:rFonts w:ascii="Arial" w:cs="Arial" w:eastAsia="Arial" w:hAnsi="Arial"/>
                <w:sz w:val="18"/>
                <w:szCs w:val="18"/>
                <w:color w:val="auto"/>
                <w:w w:val="88"/>
              </w:rPr>
              <w:t>/s/ Ron Verdoorn</w:t>
            </w:r>
          </w:p>
        </w:tc>
        <w:tc>
          <w:tcPr>
            <w:tcW w:w="580" w:type="dxa"/>
            <w:vAlign w:val="bottom"/>
          </w:tcPr>
          <w:p>
            <w:pPr>
              <w:spacing w:after="0"/>
              <w:rPr>
                <w:sz w:val="24"/>
                <w:szCs w:val="24"/>
                <w:color w:val="auto"/>
              </w:rPr>
            </w:pPr>
          </w:p>
        </w:tc>
        <w:tc>
          <w:tcPr>
            <w:tcW w:w="492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560" w:type="dxa"/>
            <w:vAlign w:val="bottom"/>
          </w:tcPr>
          <w:p>
            <w:pPr>
              <w:spacing w:after="0"/>
              <w:rPr>
                <w:sz w:val="24"/>
                <w:szCs w:val="24"/>
                <w:color w:val="auto"/>
              </w:rPr>
            </w:pPr>
          </w:p>
        </w:tc>
        <w:tc>
          <w:tcPr>
            <w:tcW w:w="216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0" w:type="dxa"/>
            <w:vAlign w:val="bottom"/>
          </w:tcPr>
          <w:p>
            <w:pPr>
              <w:spacing w:after="0"/>
              <w:rPr>
                <w:sz w:val="1"/>
                <w:szCs w:val="1"/>
                <w:color w:val="auto"/>
              </w:rPr>
            </w:pPr>
          </w:p>
        </w:tc>
      </w:tr>
      <w:tr>
        <w:trPr>
          <w:trHeight w:val="97"/>
        </w:trPr>
        <w:tc>
          <w:tcPr>
            <w:tcW w:w="320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49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1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3200" w:type="dxa"/>
            <w:vAlign w:val="bottom"/>
          </w:tcPr>
          <w:p>
            <w:pPr>
              <w:jc w:val="center"/>
              <w:spacing w:after="0"/>
              <w:rPr>
                <w:sz w:val="20"/>
                <w:szCs w:val="20"/>
                <w:color w:val="auto"/>
              </w:rPr>
            </w:pPr>
            <w:r>
              <w:rPr>
                <w:rFonts w:ascii="Arial" w:cs="Arial" w:eastAsia="Arial" w:hAnsi="Arial"/>
                <w:sz w:val="18"/>
                <w:szCs w:val="18"/>
                <w:color w:val="auto"/>
                <w:w w:val="87"/>
              </w:rPr>
              <w:t>Ron Verdoorn</w:t>
            </w:r>
          </w:p>
        </w:tc>
        <w:tc>
          <w:tcPr>
            <w:tcW w:w="580" w:type="dxa"/>
            <w:vAlign w:val="bottom"/>
          </w:tcPr>
          <w:p>
            <w:pPr>
              <w:spacing w:after="0"/>
              <w:rPr>
                <w:sz w:val="24"/>
                <w:szCs w:val="24"/>
                <w:color w:val="auto"/>
              </w:rPr>
            </w:pPr>
          </w:p>
        </w:tc>
        <w:tc>
          <w:tcPr>
            <w:tcW w:w="49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200" w:type="dxa"/>
            <w:vAlign w:val="bottom"/>
          </w:tcPr>
          <w:p>
            <w:pPr>
              <w:spacing w:after="0"/>
              <w:rPr>
                <w:sz w:val="24"/>
                <w:szCs w:val="24"/>
                <w:color w:val="auto"/>
              </w:rPr>
            </w:pPr>
          </w:p>
        </w:tc>
        <w:tc>
          <w:tcPr>
            <w:tcW w:w="5500" w:type="dxa"/>
            <w:vAlign w:val="bottom"/>
            <w:gridSpan w:val="2"/>
          </w:tcPr>
          <w:p>
            <w:pPr>
              <w:jc w:val="right"/>
              <w:ind w:right="2794"/>
              <w:spacing w:after="0"/>
              <w:rPr>
                <w:sz w:val="20"/>
                <w:szCs w:val="20"/>
                <w:color w:val="auto"/>
              </w:rPr>
            </w:pPr>
            <w:r>
              <w:rPr>
                <w:rFonts w:ascii="Arial" w:cs="Arial" w:eastAsia="Arial" w:hAnsi="Arial"/>
                <w:sz w:val="18"/>
                <w:szCs w:val="18"/>
                <w:color w:val="auto"/>
              </w:rPr>
              <w:t>-5-</w:t>
            </w:r>
          </w:p>
        </w:tc>
        <w:tc>
          <w:tcPr>
            <w:tcW w:w="56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20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492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c>
          <w:tcPr>
            <w:tcW w:w="21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1440" w:type="dxa"/>
            <w:vAlign w:val="bottom"/>
          </w:tcPr>
          <w:p>
            <w:pPr>
              <w:spacing w:after="0"/>
              <w:rPr>
                <w:sz w:val="15"/>
                <w:szCs w:val="15"/>
                <w:color w:val="auto"/>
              </w:rPr>
            </w:pPr>
          </w:p>
        </w:tc>
        <w:tc>
          <w:tcPr>
            <w:tcW w:w="2400" w:type="dxa"/>
            <w:vAlign w:val="bottom"/>
          </w:tcPr>
          <w:p>
            <w:pPr>
              <w:jc w:val="center"/>
              <w:spacing w:after="0"/>
              <w:rPr>
                <w:sz w:val="20"/>
                <w:szCs w:val="20"/>
                <w:color w:val="auto"/>
              </w:rPr>
            </w:pPr>
            <w:r>
              <w:rPr>
                <w:rFonts w:ascii="Arial" w:cs="Arial" w:eastAsia="Arial" w:hAnsi="Arial"/>
                <w:sz w:val="14"/>
                <w:szCs w:val="14"/>
                <w:b w:val="1"/>
                <w:bCs w:val="1"/>
                <w:color w:val="auto"/>
                <w:w w:val="86"/>
              </w:rPr>
              <w:t>Signature</w:t>
            </w:r>
          </w:p>
        </w:tc>
        <w:tc>
          <w:tcPr>
            <w:tcW w:w="440" w:type="dxa"/>
            <w:vAlign w:val="bottom"/>
          </w:tcPr>
          <w:p>
            <w:pPr>
              <w:spacing w:after="0"/>
              <w:rPr>
                <w:sz w:val="15"/>
                <w:szCs w:val="15"/>
                <w:color w:val="auto"/>
              </w:rPr>
            </w:pPr>
          </w:p>
        </w:tc>
        <w:tc>
          <w:tcPr>
            <w:tcW w:w="3660" w:type="dxa"/>
            <w:vAlign w:val="bottom"/>
          </w:tcPr>
          <w:p>
            <w:pPr>
              <w:jc w:val="center"/>
              <w:spacing w:after="0"/>
              <w:rPr>
                <w:sz w:val="20"/>
                <w:szCs w:val="20"/>
                <w:color w:val="auto"/>
              </w:rPr>
            </w:pPr>
            <w:r>
              <w:rPr>
                <w:rFonts w:ascii="Arial" w:cs="Arial" w:eastAsia="Arial" w:hAnsi="Arial"/>
                <w:sz w:val="14"/>
                <w:szCs w:val="14"/>
                <w:b w:val="1"/>
                <w:bCs w:val="1"/>
                <w:color w:val="auto"/>
                <w:w w:val="90"/>
              </w:rPr>
              <w:t>Title</w:t>
            </w:r>
          </w:p>
        </w:tc>
        <w:tc>
          <w:tcPr>
            <w:tcW w:w="420" w:type="dxa"/>
            <w:vAlign w:val="bottom"/>
          </w:tcPr>
          <w:p>
            <w:pPr>
              <w:spacing w:after="0"/>
              <w:rPr>
                <w:sz w:val="15"/>
                <w:szCs w:val="15"/>
                <w:color w:val="auto"/>
              </w:rPr>
            </w:pPr>
          </w:p>
        </w:tc>
        <w:tc>
          <w:tcPr>
            <w:tcW w:w="1620" w:type="dxa"/>
            <w:vAlign w:val="bottom"/>
          </w:tcPr>
          <w:p>
            <w:pPr>
              <w:jc w:val="center"/>
              <w:spacing w:after="0"/>
              <w:rPr>
                <w:sz w:val="20"/>
                <w:szCs w:val="20"/>
                <w:color w:val="auto"/>
              </w:rPr>
            </w:pPr>
            <w:r>
              <w:rPr>
                <w:rFonts w:ascii="Arial" w:cs="Arial" w:eastAsia="Arial" w:hAnsi="Arial"/>
                <w:sz w:val="14"/>
                <w:szCs w:val="14"/>
                <w:b w:val="1"/>
                <w:bCs w:val="1"/>
                <w:color w:val="auto"/>
                <w:w w:val="92"/>
              </w:rPr>
              <w:t>Date</w:t>
            </w:r>
          </w:p>
        </w:tc>
        <w:tc>
          <w:tcPr>
            <w:tcW w:w="1440" w:type="dxa"/>
            <w:vAlign w:val="bottom"/>
          </w:tcPr>
          <w:p>
            <w:pPr>
              <w:spacing w:after="0"/>
              <w:rPr>
                <w:sz w:val="15"/>
                <w:szCs w:val="15"/>
                <w:color w:val="auto"/>
              </w:rPr>
            </w:pPr>
          </w:p>
        </w:tc>
      </w:tr>
      <w:tr>
        <w:trPr>
          <w:trHeight w:val="95"/>
        </w:trPr>
        <w:tc>
          <w:tcPr>
            <w:tcW w:w="1440" w:type="dxa"/>
            <w:vAlign w:val="bottom"/>
          </w:tcPr>
          <w:p>
            <w:pPr>
              <w:spacing w:after="0"/>
              <w:rPr>
                <w:sz w:val="8"/>
                <w:szCs w:val="8"/>
                <w:color w:val="auto"/>
              </w:rPr>
            </w:pPr>
          </w:p>
        </w:tc>
        <w:tc>
          <w:tcPr>
            <w:tcW w:w="24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366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620" w:type="dxa"/>
            <w:vAlign w:val="bottom"/>
            <w:tcBorders>
              <w:bottom w:val="single" w:sz="8" w:color="808080"/>
            </w:tcBorders>
          </w:tcPr>
          <w:p>
            <w:pPr>
              <w:spacing w:after="0"/>
              <w:rPr>
                <w:sz w:val="8"/>
                <w:szCs w:val="8"/>
                <w:color w:val="auto"/>
              </w:rPr>
            </w:pPr>
          </w:p>
        </w:tc>
        <w:tc>
          <w:tcPr>
            <w:tcW w:w="1440" w:type="dxa"/>
            <w:vAlign w:val="bottom"/>
          </w:tcPr>
          <w:p>
            <w:pPr>
              <w:spacing w:after="0"/>
              <w:rPr>
                <w:sz w:val="8"/>
                <w:szCs w:val="8"/>
                <w:color w:val="auto"/>
              </w:rPr>
            </w:pPr>
          </w:p>
        </w:tc>
      </w:tr>
      <w:tr>
        <w:trPr>
          <w:trHeight w:val="316"/>
        </w:trPr>
        <w:tc>
          <w:tcPr>
            <w:tcW w:w="1440" w:type="dxa"/>
            <w:vAlign w:val="bottom"/>
          </w:tcPr>
          <w:p>
            <w:pPr>
              <w:spacing w:after="0"/>
              <w:rPr>
                <w:sz w:val="24"/>
                <w:szCs w:val="24"/>
                <w:color w:val="auto"/>
              </w:rPr>
            </w:pPr>
          </w:p>
        </w:tc>
        <w:tc>
          <w:tcPr>
            <w:tcW w:w="2400" w:type="dxa"/>
            <w:vAlign w:val="bottom"/>
          </w:tcPr>
          <w:p>
            <w:pPr>
              <w:jc w:val="center"/>
              <w:spacing w:after="0"/>
              <w:rPr>
                <w:sz w:val="20"/>
                <w:szCs w:val="20"/>
                <w:color w:val="auto"/>
              </w:rPr>
            </w:pPr>
            <w:r>
              <w:rPr>
                <w:rFonts w:ascii="Arial" w:cs="Arial" w:eastAsia="Arial" w:hAnsi="Arial"/>
                <w:sz w:val="18"/>
                <w:szCs w:val="18"/>
                <w:color w:val="auto"/>
                <w:w w:val="92"/>
              </w:rPr>
              <w:t>/s/ John M. Cioffi</w:t>
            </w:r>
          </w:p>
        </w:tc>
        <w:tc>
          <w:tcPr>
            <w:tcW w:w="440" w:type="dxa"/>
            <w:vAlign w:val="bottom"/>
          </w:tcPr>
          <w:p>
            <w:pPr>
              <w:spacing w:after="0"/>
              <w:rPr>
                <w:sz w:val="24"/>
                <w:szCs w:val="24"/>
                <w:color w:val="auto"/>
              </w:rPr>
            </w:pPr>
          </w:p>
        </w:tc>
        <w:tc>
          <w:tcPr>
            <w:tcW w:w="366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420" w:type="dxa"/>
            <w:vAlign w:val="bottom"/>
          </w:tcPr>
          <w:p>
            <w:pPr>
              <w:spacing w:after="0"/>
              <w:rPr>
                <w:sz w:val="24"/>
                <w:szCs w:val="24"/>
                <w:color w:val="auto"/>
              </w:rPr>
            </w:pPr>
          </w:p>
        </w:tc>
        <w:tc>
          <w:tcPr>
            <w:tcW w:w="162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1440" w:type="dxa"/>
            <w:vAlign w:val="bottom"/>
          </w:tcPr>
          <w:p>
            <w:pPr>
              <w:spacing w:after="0"/>
              <w:rPr>
                <w:sz w:val="24"/>
                <w:szCs w:val="24"/>
                <w:color w:val="auto"/>
              </w:rPr>
            </w:pPr>
          </w:p>
        </w:tc>
      </w:tr>
      <w:tr>
        <w:trPr>
          <w:trHeight w:val="97"/>
        </w:trPr>
        <w:tc>
          <w:tcPr>
            <w:tcW w:w="1440" w:type="dxa"/>
            <w:vAlign w:val="bottom"/>
          </w:tcPr>
          <w:p>
            <w:pPr>
              <w:spacing w:after="0"/>
              <w:rPr>
                <w:sz w:val="8"/>
                <w:szCs w:val="8"/>
                <w:color w:val="auto"/>
              </w:rPr>
            </w:pPr>
          </w:p>
        </w:tc>
        <w:tc>
          <w:tcPr>
            <w:tcW w:w="24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36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620" w:type="dxa"/>
            <w:vAlign w:val="bottom"/>
          </w:tcPr>
          <w:p>
            <w:pPr>
              <w:spacing w:after="0"/>
              <w:rPr>
                <w:sz w:val="8"/>
                <w:szCs w:val="8"/>
                <w:color w:val="auto"/>
              </w:rPr>
            </w:pPr>
          </w:p>
        </w:tc>
        <w:tc>
          <w:tcPr>
            <w:tcW w:w="1440" w:type="dxa"/>
            <w:vAlign w:val="bottom"/>
          </w:tcPr>
          <w:p>
            <w:pPr>
              <w:spacing w:after="0"/>
              <w:rPr>
                <w:sz w:val="8"/>
                <w:szCs w:val="8"/>
                <w:color w:val="auto"/>
              </w:rPr>
            </w:pPr>
          </w:p>
        </w:tc>
      </w:tr>
      <w:tr>
        <w:trPr>
          <w:trHeight w:val="289"/>
        </w:trPr>
        <w:tc>
          <w:tcPr>
            <w:tcW w:w="1440" w:type="dxa"/>
            <w:vAlign w:val="bottom"/>
          </w:tcPr>
          <w:p>
            <w:pPr>
              <w:spacing w:after="0"/>
              <w:rPr>
                <w:sz w:val="24"/>
                <w:szCs w:val="24"/>
                <w:color w:val="auto"/>
              </w:rPr>
            </w:pPr>
          </w:p>
        </w:tc>
        <w:tc>
          <w:tcPr>
            <w:tcW w:w="2400" w:type="dxa"/>
            <w:vAlign w:val="bottom"/>
          </w:tcPr>
          <w:p>
            <w:pPr>
              <w:jc w:val="center"/>
              <w:spacing w:after="0"/>
              <w:rPr>
                <w:sz w:val="20"/>
                <w:szCs w:val="20"/>
                <w:color w:val="auto"/>
              </w:rPr>
            </w:pPr>
            <w:r>
              <w:rPr>
                <w:rFonts w:ascii="Arial" w:cs="Arial" w:eastAsia="Arial" w:hAnsi="Arial"/>
                <w:sz w:val="18"/>
                <w:szCs w:val="18"/>
                <w:color w:val="auto"/>
                <w:w w:val="93"/>
              </w:rPr>
              <w:t>Dr. John M. Cioffi</w:t>
            </w:r>
          </w:p>
        </w:tc>
        <w:tc>
          <w:tcPr>
            <w:tcW w:w="44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440" w:type="dxa"/>
            <w:vAlign w:val="bottom"/>
          </w:tcPr>
          <w:p>
            <w:pPr>
              <w:spacing w:after="0"/>
              <w:rPr>
                <w:sz w:val="24"/>
                <w:szCs w:val="24"/>
                <w:color w:val="auto"/>
              </w:rPr>
            </w:pPr>
          </w:p>
        </w:tc>
      </w:tr>
      <w:tr>
        <w:trPr>
          <w:trHeight w:val="432"/>
        </w:trPr>
        <w:tc>
          <w:tcPr>
            <w:tcW w:w="1440" w:type="dxa"/>
            <w:vAlign w:val="bottom"/>
          </w:tcPr>
          <w:p>
            <w:pPr>
              <w:spacing w:after="0"/>
              <w:rPr>
                <w:sz w:val="24"/>
                <w:szCs w:val="24"/>
                <w:color w:val="auto"/>
              </w:rPr>
            </w:pPr>
          </w:p>
        </w:tc>
        <w:tc>
          <w:tcPr>
            <w:tcW w:w="2400" w:type="dxa"/>
            <w:vAlign w:val="bottom"/>
          </w:tcPr>
          <w:p>
            <w:pPr>
              <w:jc w:val="center"/>
              <w:spacing w:after="0"/>
              <w:rPr>
                <w:sz w:val="20"/>
                <w:szCs w:val="20"/>
                <w:color w:val="auto"/>
              </w:rPr>
            </w:pPr>
            <w:r>
              <w:rPr>
                <w:rFonts w:ascii="Arial" w:cs="Arial" w:eastAsia="Arial" w:hAnsi="Arial"/>
                <w:sz w:val="18"/>
                <w:szCs w:val="18"/>
                <w:color w:val="auto"/>
                <w:w w:val="90"/>
              </w:rPr>
              <w:t>/s/ Manuel Alba</w:t>
            </w:r>
          </w:p>
        </w:tc>
        <w:tc>
          <w:tcPr>
            <w:tcW w:w="440" w:type="dxa"/>
            <w:vAlign w:val="bottom"/>
          </w:tcPr>
          <w:p>
            <w:pPr>
              <w:spacing w:after="0"/>
              <w:rPr>
                <w:sz w:val="24"/>
                <w:szCs w:val="24"/>
                <w:color w:val="auto"/>
              </w:rPr>
            </w:pPr>
          </w:p>
        </w:tc>
        <w:tc>
          <w:tcPr>
            <w:tcW w:w="3660" w:type="dxa"/>
            <w:vAlign w:val="bottom"/>
          </w:tcPr>
          <w:p>
            <w:pPr>
              <w:jc w:val="center"/>
              <w:spacing w:after="0"/>
              <w:rPr>
                <w:sz w:val="20"/>
                <w:szCs w:val="20"/>
                <w:color w:val="auto"/>
              </w:rPr>
            </w:pPr>
            <w:r>
              <w:rPr>
                <w:rFonts w:ascii="Arial" w:cs="Arial" w:eastAsia="Arial" w:hAnsi="Arial"/>
                <w:sz w:val="18"/>
                <w:szCs w:val="18"/>
                <w:color w:val="auto"/>
                <w:w w:val="91"/>
              </w:rPr>
              <w:t>Director</w:t>
            </w:r>
          </w:p>
        </w:tc>
        <w:tc>
          <w:tcPr>
            <w:tcW w:w="420" w:type="dxa"/>
            <w:vAlign w:val="bottom"/>
          </w:tcPr>
          <w:p>
            <w:pPr>
              <w:spacing w:after="0"/>
              <w:rPr>
                <w:sz w:val="24"/>
                <w:szCs w:val="24"/>
                <w:color w:val="auto"/>
              </w:rPr>
            </w:pPr>
          </w:p>
        </w:tc>
        <w:tc>
          <w:tcPr>
            <w:tcW w:w="1620" w:type="dxa"/>
            <w:vAlign w:val="bottom"/>
          </w:tcPr>
          <w:p>
            <w:pPr>
              <w:jc w:val="center"/>
              <w:spacing w:after="0"/>
              <w:rPr>
                <w:sz w:val="20"/>
                <w:szCs w:val="20"/>
                <w:color w:val="auto"/>
              </w:rPr>
            </w:pPr>
            <w:r>
              <w:rPr>
                <w:rFonts w:ascii="Arial" w:cs="Arial" w:eastAsia="Arial" w:hAnsi="Arial"/>
                <w:sz w:val="18"/>
                <w:szCs w:val="18"/>
                <w:color w:val="auto"/>
                <w:w w:val="87"/>
              </w:rPr>
              <w:t>December 12, 2003</w:t>
            </w:r>
          </w:p>
        </w:tc>
        <w:tc>
          <w:tcPr>
            <w:tcW w:w="1440" w:type="dxa"/>
            <w:vAlign w:val="bottom"/>
          </w:tcPr>
          <w:p>
            <w:pPr>
              <w:spacing w:after="0"/>
              <w:rPr>
                <w:sz w:val="24"/>
                <w:szCs w:val="24"/>
                <w:color w:val="auto"/>
              </w:rPr>
            </w:pPr>
          </w:p>
        </w:tc>
      </w:tr>
      <w:tr>
        <w:trPr>
          <w:trHeight w:val="97"/>
        </w:trPr>
        <w:tc>
          <w:tcPr>
            <w:tcW w:w="1440" w:type="dxa"/>
            <w:vAlign w:val="bottom"/>
          </w:tcPr>
          <w:p>
            <w:pPr>
              <w:spacing w:after="0"/>
              <w:rPr>
                <w:sz w:val="8"/>
                <w:szCs w:val="8"/>
                <w:color w:val="auto"/>
              </w:rPr>
            </w:pPr>
          </w:p>
        </w:tc>
        <w:tc>
          <w:tcPr>
            <w:tcW w:w="240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36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620" w:type="dxa"/>
            <w:vAlign w:val="bottom"/>
          </w:tcPr>
          <w:p>
            <w:pPr>
              <w:spacing w:after="0"/>
              <w:rPr>
                <w:sz w:val="8"/>
                <w:szCs w:val="8"/>
                <w:color w:val="auto"/>
              </w:rPr>
            </w:pPr>
          </w:p>
        </w:tc>
        <w:tc>
          <w:tcPr>
            <w:tcW w:w="1440" w:type="dxa"/>
            <w:vAlign w:val="bottom"/>
          </w:tcPr>
          <w:p>
            <w:pPr>
              <w:spacing w:after="0"/>
              <w:rPr>
                <w:sz w:val="8"/>
                <w:szCs w:val="8"/>
                <w:color w:val="auto"/>
              </w:rPr>
            </w:pPr>
          </w:p>
        </w:tc>
      </w:tr>
      <w:tr>
        <w:trPr>
          <w:trHeight w:val="289"/>
        </w:trPr>
        <w:tc>
          <w:tcPr>
            <w:tcW w:w="1440" w:type="dxa"/>
            <w:vAlign w:val="bottom"/>
          </w:tcPr>
          <w:p>
            <w:pPr>
              <w:spacing w:after="0"/>
              <w:rPr>
                <w:sz w:val="24"/>
                <w:szCs w:val="24"/>
                <w:color w:val="auto"/>
              </w:rPr>
            </w:pPr>
          </w:p>
        </w:tc>
        <w:tc>
          <w:tcPr>
            <w:tcW w:w="240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440" w:type="dxa"/>
            <w:vAlign w:val="bottom"/>
          </w:tcPr>
          <w:p>
            <w:pPr>
              <w:spacing w:after="0"/>
              <w:rPr>
                <w:sz w:val="24"/>
                <w:szCs w:val="24"/>
                <w:color w:val="auto"/>
              </w:rPr>
            </w:pPr>
          </w:p>
        </w:tc>
        <w:tc>
          <w:tcPr>
            <w:tcW w:w="3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440" w:type="dxa"/>
            <w:vAlign w:val="bottom"/>
          </w:tcPr>
          <w:p>
            <w:pPr>
              <w:spacing w:after="0"/>
              <w:rPr>
                <w:sz w:val="24"/>
                <w:szCs w:val="24"/>
                <w:color w:val="auto"/>
              </w:rPr>
            </w:pPr>
          </w:p>
        </w:tc>
      </w:tr>
      <w:tr>
        <w:trPr>
          <w:trHeight w:val="432"/>
        </w:trPr>
        <w:tc>
          <w:tcPr>
            <w:tcW w:w="144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4100" w:type="dxa"/>
            <w:vAlign w:val="bottom"/>
            <w:gridSpan w:val="2"/>
          </w:tcPr>
          <w:p>
            <w:pPr>
              <w:jc w:val="right"/>
              <w:ind w:right="2039"/>
              <w:spacing w:after="0"/>
              <w:rPr>
                <w:sz w:val="20"/>
                <w:szCs w:val="20"/>
                <w:color w:val="auto"/>
              </w:rPr>
            </w:pPr>
            <w:r>
              <w:rPr>
                <w:rFonts w:ascii="Arial" w:cs="Arial" w:eastAsia="Arial" w:hAnsi="Arial"/>
                <w:sz w:val="18"/>
                <w:szCs w:val="18"/>
                <w:color w:val="auto"/>
              </w:rPr>
              <w:t>-6-</w:t>
            </w: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440" w:type="dxa"/>
            <w:vAlign w:val="bottom"/>
          </w:tcPr>
          <w:p>
            <w:pPr>
              <w:spacing w:after="0"/>
              <w:rPr>
                <w:sz w:val="24"/>
                <w:szCs w:val="24"/>
                <w:color w:val="auto"/>
              </w:rPr>
            </w:pPr>
          </w:p>
        </w:tc>
      </w:tr>
      <w:tr>
        <w:trPr>
          <w:trHeight w:val="228"/>
        </w:trPr>
        <w:tc>
          <w:tcPr>
            <w:tcW w:w="1440" w:type="dxa"/>
            <w:vAlign w:val="bottom"/>
            <w:tcBorders>
              <w:bottom w:val="single" w:sz="8" w:color="808080"/>
            </w:tcBorders>
          </w:tcPr>
          <w:p>
            <w:pPr>
              <w:spacing w:after="0"/>
              <w:rPr>
                <w:sz w:val="19"/>
                <w:szCs w:val="19"/>
                <w:color w:val="auto"/>
              </w:rPr>
            </w:pPr>
          </w:p>
        </w:tc>
        <w:tc>
          <w:tcPr>
            <w:tcW w:w="2400" w:type="dxa"/>
            <w:vAlign w:val="bottom"/>
            <w:tcBorders>
              <w:bottom w:val="single" w:sz="8" w:color="808080"/>
            </w:tcBorders>
          </w:tcPr>
          <w:p>
            <w:pPr>
              <w:spacing w:after="0"/>
              <w:rPr>
                <w:sz w:val="19"/>
                <w:szCs w:val="19"/>
                <w:color w:val="auto"/>
              </w:rPr>
            </w:pPr>
          </w:p>
        </w:tc>
        <w:tc>
          <w:tcPr>
            <w:tcW w:w="440" w:type="dxa"/>
            <w:vAlign w:val="bottom"/>
            <w:tcBorders>
              <w:bottom w:val="single" w:sz="8" w:color="808080"/>
            </w:tcBorders>
          </w:tcPr>
          <w:p>
            <w:pPr>
              <w:spacing w:after="0"/>
              <w:rPr>
                <w:sz w:val="19"/>
                <w:szCs w:val="19"/>
                <w:color w:val="auto"/>
              </w:rPr>
            </w:pPr>
          </w:p>
        </w:tc>
        <w:tc>
          <w:tcPr>
            <w:tcW w:w="3660" w:type="dxa"/>
            <w:vAlign w:val="bottom"/>
            <w:tcBorders>
              <w:bottom w:val="single" w:sz="8" w:color="808080"/>
            </w:tcBorders>
          </w:tcPr>
          <w:p>
            <w:pPr>
              <w:spacing w:after="0"/>
              <w:rPr>
                <w:sz w:val="19"/>
                <w:szCs w:val="19"/>
                <w:color w:val="auto"/>
              </w:rPr>
            </w:pPr>
          </w:p>
        </w:tc>
        <w:tc>
          <w:tcPr>
            <w:tcW w:w="420" w:type="dxa"/>
            <w:vAlign w:val="bottom"/>
            <w:tcBorders>
              <w:bottom w:val="single" w:sz="8" w:color="808080"/>
            </w:tcBorders>
          </w:tcPr>
          <w:p>
            <w:pPr>
              <w:spacing w:after="0"/>
              <w:rPr>
                <w:sz w:val="19"/>
                <w:szCs w:val="19"/>
                <w:color w:val="auto"/>
              </w:rPr>
            </w:pPr>
          </w:p>
        </w:tc>
        <w:tc>
          <w:tcPr>
            <w:tcW w:w="1620" w:type="dxa"/>
            <w:vAlign w:val="bottom"/>
            <w:tcBorders>
              <w:bottom w:val="single" w:sz="8" w:color="808080"/>
            </w:tcBorders>
          </w:tcPr>
          <w:p>
            <w:pPr>
              <w:spacing w:after="0"/>
              <w:rPr>
                <w:sz w:val="19"/>
                <w:szCs w:val="19"/>
                <w:color w:val="auto"/>
              </w:rPr>
            </w:pPr>
          </w:p>
        </w:tc>
        <w:tc>
          <w:tcPr>
            <w:tcW w:w="14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ind w:right="3819"/>
        <w:spacing w:after="0"/>
        <w:rPr>
          <w:sz w:val="20"/>
          <w:szCs w:val="20"/>
          <w:color w:val="auto"/>
        </w:rPr>
      </w:pPr>
      <w:r>
        <w:rPr>
          <w:rFonts w:ascii="Arial" w:cs="Arial" w:eastAsia="Arial" w:hAnsi="Arial"/>
          <w:sz w:val="18"/>
          <w:szCs w:val="18"/>
          <w:b w:val="1"/>
          <w:bCs w:val="1"/>
          <w:color w:val="auto"/>
        </w:rPr>
        <w:t>EXHIBIT INDEX</w:t>
      </w:r>
    </w:p>
    <w:p>
      <w:pPr>
        <w:spacing w:after="0" w:line="231" w:lineRule="exact"/>
        <w:rPr>
          <w:sz w:val="20"/>
          <w:szCs w:val="20"/>
          <w:color w:val="auto"/>
        </w:rPr>
      </w:pPr>
    </w:p>
    <w:p>
      <w:pPr>
        <w:ind w:left="100"/>
        <w:spacing w:after="0"/>
        <w:tabs>
          <w:tab w:leader="none" w:pos="620" w:val="left"/>
        </w:tabs>
        <w:rPr>
          <w:sz w:val="20"/>
          <w:szCs w:val="20"/>
          <w:color w:val="auto"/>
        </w:rPr>
      </w:pPr>
      <w:r>
        <w:rPr>
          <w:rFonts w:ascii="Arial" w:cs="Arial" w:eastAsia="Arial" w:hAnsi="Arial"/>
          <w:sz w:val="18"/>
          <w:szCs w:val="18"/>
          <w:color w:val="auto"/>
        </w:rPr>
        <w:t>5.1</w:t>
      </w:r>
      <w:r>
        <w:rPr>
          <w:sz w:val="20"/>
          <w:szCs w:val="20"/>
          <w:color w:val="auto"/>
        </w:rPr>
        <w:tab/>
      </w:r>
      <w:r>
        <w:rPr>
          <w:rFonts w:ascii="Arial" w:cs="Arial" w:eastAsia="Arial" w:hAnsi="Arial"/>
          <w:sz w:val="16"/>
          <w:szCs w:val="16"/>
          <w:color w:val="auto"/>
        </w:rPr>
        <w:t>Opinion of Appleby Spurling &amp; Kempe.</w:t>
      </w:r>
    </w:p>
    <w:p>
      <w:pPr>
        <w:spacing w:after="0" w:line="225" w:lineRule="exact"/>
        <w:rPr>
          <w:sz w:val="20"/>
          <w:szCs w:val="20"/>
          <w:color w:val="auto"/>
        </w:rPr>
      </w:pPr>
    </w:p>
    <w:p>
      <w:pPr>
        <w:ind w:left="20"/>
        <w:spacing w:after="0"/>
        <w:tabs>
          <w:tab w:leader="none" w:pos="62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5"/>
          <w:szCs w:val="15"/>
          <w:color w:val="auto"/>
        </w:rPr>
        <w:t>Consent of PricewaterhouseCoopers LLP, Independent Accountants.</w:t>
      </w:r>
    </w:p>
    <w:p>
      <w:pPr>
        <w:spacing w:after="0" w:line="225" w:lineRule="exact"/>
        <w:rPr>
          <w:sz w:val="20"/>
          <w:szCs w:val="20"/>
          <w:color w:val="auto"/>
        </w:rPr>
      </w:pPr>
    </w:p>
    <w:p>
      <w:pPr>
        <w:ind w:left="20"/>
        <w:spacing w:after="0"/>
        <w:tabs>
          <w:tab w:leader="none" w:pos="62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Spurling &amp; Kempe (included in Exhibit 5.1 hereto).</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219"/>
          </w:cols>
          <w:pgMar w:left="240" w:top="419" w:right="1440" w:bottom="1440" w:gutter="0" w:footer="0" w:header="0"/>
        </w:sectPr>
      </w:pPr>
    </w:p>
    <w:bookmarkStart w:id="9" w:name="page10"/>
    <w:bookmarkEnd w:id="9"/>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Appleby Spurling &amp; Kempe</w:t>
      </w:r>
    </w:p>
    <w:p>
      <w:pPr>
        <w:spacing w:after="0" w:line="200" w:lineRule="exact"/>
        <w:rPr>
          <w:sz w:val="20"/>
          <w:szCs w:val="20"/>
          <w:color w:val="auto"/>
        </w:rPr>
      </w:pPr>
    </w:p>
    <w:p>
      <w:pPr>
        <w:spacing w:after="0" w:line="204"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JVS/rt/124194.4</w:t>
      </w:r>
    </w:p>
    <w:p>
      <w:pPr>
        <w:jc w:val="right"/>
        <w:ind w:right="1779"/>
        <w:spacing w:after="0" w:line="238" w:lineRule="auto"/>
        <w:rPr>
          <w:sz w:val="20"/>
          <w:szCs w:val="20"/>
          <w:color w:val="auto"/>
        </w:rPr>
      </w:pPr>
      <w:r>
        <w:rPr>
          <w:rFonts w:ascii="Courier New" w:cs="Courier New" w:eastAsia="Courier New" w:hAnsi="Courier New"/>
          <w:sz w:val="18"/>
          <w:szCs w:val="18"/>
          <w:color w:val="auto"/>
        </w:rPr>
        <w:t>Direct Telephone: 441 298 3240</w:t>
      </w:r>
    </w:p>
    <w:p>
      <w:pPr>
        <w:jc w:val="right"/>
        <w:ind w:right="1779"/>
        <w:spacing w:after="0"/>
        <w:rPr>
          <w:sz w:val="20"/>
          <w:szCs w:val="20"/>
          <w:color w:val="auto"/>
        </w:rPr>
      </w:pPr>
      <w:r>
        <w:rPr>
          <w:rFonts w:ascii="Courier New" w:cs="Courier New" w:eastAsia="Courier New" w:hAnsi="Courier New"/>
          <w:sz w:val="18"/>
          <w:szCs w:val="18"/>
          <w:color w:val="auto"/>
        </w:rPr>
        <w:t>Direct Fax: 441 298 3314</w:t>
      </w:r>
    </w:p>
    <w:p>
      <w:pPr>
        <w:jc w:val="right"/>
        <w:ind w:right="1779"/>
        <w:spacing w:after="0" w:line="237" w:lineRule="auto"/>
        <w:rPr>
          <w:sz w:val="20"/>
          <w:szCs w:val="20"/>
          <w:color w:val="auto"/>
        </w:rPr>
      </w:pPr>
      <w:r>
        <w:rPr>
          <w:rFonts w:ascii="Courier New" w:cs="Courier New" w:eastAsia="Courier New" w:hAnsi="Courier New"/>
          <w:sz w:val="18"/>
          <w:szCs w:val="18"/>
          <w:color w:val="auto"/>
        </w:rPr>
        <w:t>Direct e-mail: jvirgil@ask.bm</w:t>
      </w:r>
    </w:p>
    <w:p>
      <w:pPr>
        <w:spacing w:after="0" w:line="200" w:lineRule="exact"/>
        <w:rPr>
          <w:sz w:val="20"/>
          <w:szCs w:val="20"/>
          <w:color w:val="auto"/>
        </w:rPr>
      </w:pPr>
    </w:p>
    <w:p>
      <w:pPr>
        <w:spacing w:after="0" w:line="204"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12 December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4th Floor, Windsor Place</w:t>
      </w:r>
    </w:p>
    <w:p>
      <w:pPr>
        <w:spacing w:after="0"/>
        <w:rPr>
          <w:sz w:val="20"/>
          <w:szCs w:val="20"/>
          <w:color w:val="auto"/>
        </w:rPr>
      </w:pPr>
      <w:r>
        <w:rPr>
          <w:rFonts w:ascii="Courier New" w:cs="Courier New" w:eastAsia="Courier New" w:hAnsi="Courier New"/>
          <w:sz w:val="18"/>
          <w:szCs w:val="18"/>
          <w:color w:val="auto"/>
        </w:rPr>
        <w:t>22 Queen Street</w:t>
      </w:r>
    </w:p>
    <w:p>
      <w:pPr>
        <w:spacing w:after="0" w:line="237" w:lineRule="auto"/>
        <w:rPr>
          <w:sz w:val="20"/>
          <w:szCs w:val="20"/>
          <w:color w:val="auto"/>
        </w:rPr>
      </w:pPr>
      <w:r>
        <w:rPr>
          <w:rFonts w:ascii="Courier New" w:cs="Courier New" w:eastAsia="Courier New" w:hAnsi="Courier New"/>
          <w:sz w:val="18"/>
          <w:szCs w:val="18"/>
          <w:color w:val="auto"/>
        </w:rPr>
        <w:t>P.O. Box HM 1179</w:t>
      </w:r>
    </w:p>
    <w:p>
      <w:pPr>
        <w:spacing w:after="0" w:line="238" w:lineRule="auto"/>
        <w:rPr>
          <w:sz w:val="20"/>
          <w:szCs w:val="20"/>
          <w:color w:val="auto"/>
        </w:rPr>
      </w:pPr>
      <w:r>
        <w:rPr>
          <w:rFonts w:ascii="Courier New" w:cs="Courier New" w:eastAsia="Courier New" w:hAnsi="Courier New"/>
          <w:sz w:val="18"/>
          <w:szCs w:val="18"/>
          <w:color w:val="auto"/>
        </w:rPr>
        <w:t>Hamilton HM EX</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 (THE "COMPANY")</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26,021 of the Company's common shares of par value US$0.002 per share to be issued pursuant to the terms of Asia, Inc. 2001 Stock Option Plan which has been assumed by the Company (together, the "Common Shares").</w:t>
      </w:r>
    </w:p>
    <w:p>
      <w:pPr>
        <w:spacing w:after="0" w:line="211"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7" w:lineRule="exact"/>
        <w:rPr>
          <w:sz w:val="20"/>
          <w:szCs w:val="20"/>
          <w:color w:val="auto"/>
        </w:rPr>
      </w:pPr>
    </w:p>
    <w:p>
      <w:pPr>
        <w:ind w:left="960" w:right="1879" w:hanging="952"/>
        <w:spacing w:after="0" w:line="237" w:lineRule="auto"/>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203" w:lineRule="exact"/>
        <w:rPr>
          <w:rFonts w:ascii="Courier New" w:cs="Courier New" w:eastAsia="Courier New" w:hAnsi="Courier New"/>
          <w:sz w:val="18"/>
          <w:szCs w:val="18"/>
          <w:color w:val="auto"/>
        </w:rPr>
      </w:pPr>
    </w:p>
    <w:p>
      <w:pPr>
        <w:ind w:left="960" w:hanging="952"/>
        <w:spacing w:after="0"/>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6" w:lineRule="exact"/>
        <w:rPr>
          <w:rFonts w:ascii="Courier New" w:cs="Courier New" w:eastAsia="Courier New" w:hAnsi="Courier New"/>
          <w:sz w:val="18"/>
          <w:szCs w:val="18"/>
          <w:color w:val="auto"/>
        </w:rPr>
      </w:pPr>
    </w:p>
    <w:p>
      <w:pPr>
        <w:ind w:left="960" w:right="1779" w:hanging="952"/>
        <w:spacing w:after="0" w:line="236" w:lineRule="auto"/>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ectPr>
          <w:pgSz w:w="11900" w:h="16838" w:orient="portrait"/>
          <w:cols w:equalWidth="0" w:num="1">
            <w:col w:w="10219"/>
          </w:cols>
          <w:pgMar w:left="240" w:top="541" w:right="1440" w:bottom="1440" w:gutter="0" w:footer="0" w:header="0"/>
        </w:sectPr>
      </w:pPr>
    </w:p>
    <w:bookmarkStart w:id="10" w:name="page11"/>
    <w:bookmarkEnd w:id="10"/>
    <w:p>
      <w:pPr>
        <w:ind w:left="952" w:right="1999" w:hanging="952"/>
        <w:spacing w:after="0" w:line="236" w:lineRule="auto"/>
        <w:tabs>
          <w:tab w:leader="none" w:pos="952"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there are no provisions of the laws or regulations of any jurisdiction other than Bermuda which would have a material effect on any of the opinions herein expressed;</w:t>
      </w:r>
    </w:p>
    <w:p>
      <w:pPr>
        <w:spacing w:after="0" w:line="208" w:lineRule="exact"/>
        <w:rPr>
          <w:rFonts w:ascii="Courier New" w:cs="Courier New" w:eastAsia="Courier New" w:hAnsi="Courier New"/>
          <w:sz w:val="18"/>
          <w:szCs w:val="18"/>
          <w:color w:val="auto"/>
        </w:rPr>
      </w:pPr>
    </w:p>
    <w:p>
      <w:pPr>
        <w:ind w:left="952" w:right="1879" w:hanging="952"/>
        <w:spacing w:after="0" w:line="237" w:lineRule="auto"/>
        <w:tabs>
          <w:tab w:leader="none" w:pos="952"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all representations and factual statements appearing in the Registration Statement, the Plan and the Resolutions, other than as to the laws of Bermuda, are true, accurate and complete in all material respects;</w:t>
      </w:r>
    </w:p>
    <w:p>
      <w:pPr>
        <w:spacing w:after="0" w:line="207" w:lineRule="exact"/>
        <w:rPr>
          <w:rFonts w:ascii="Courier New" w:cs="Courier New" w:eastAsia="Courier New" w:hAnsi="Courier New"/>
          <w:sz w:val="18"/>
          <w:szCs w:val="18"/>
          <w:color w:val="auto"/>
        </w:rPr>
      </w:pPr>
    </w:p>
    <w:p>
      <w:pPr>
        <w:ind w:left="952" w:right="1879" w:hanging="952"/>
        <w:spacing w:after="0" w:line="237" w:lineRule="auto"/>
        <w:tabs>
          <w:tab w:leader="none" w:pos="952"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Resolutions are in full force and effect and have not been rescinded, either in whole or in part, and accurately record: (i) the resolutions passed by the Board of Directors of the Company in a meeting which was duly convened and at which a duly constituted quorum was present and voting throughout and further that there is no matter affecting the authority of the Directors to bring about the issue of the Common Shares by the Company under the terms of the Plan, not disclosed by the Constitutional Documents or the Resolutions, which would have any adverse implication in relation to the opinions expressed herein;</w:t>
      </w:r>
    </w:p>
    <w:p>
      <w:pPr>
        <w:spacing w:after="0" w:line="214" w:lineRule="exact"/>
        <w:rPr>
          <w:rFonts w:ascii="Courier New" w:cs="Courier New" w:eastAsia="Courier New" w:hAnsi="Courier New"/>
          <w:sz w:val="18"/>
          <w:szCs w:val="18"/>
          <w:color w:val="auto"/>
        </w:rPr>
      </w:pPr>
    </w:p>
    <w:p>
      <w:pPr>
        <w:ind w:left="952" w:right="1879" w:hanging="952"/>
        <w:spacing w:after="0" w:line="236" w:lineRule="auto"/>
        <w:tabs>
          <w:tab w:leader="none" w:pos="952"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any options granted under the Plan relevant to this opinion (collectively, "Options") will constitute the legal, valid and binding obligations of the parties thereto, other than the Company;</w:t>
      </w:r>
    </w:p>
    <w:p>
      <w:pPr>
        <w:spacing w:after="0" w:line="208" w:lineRule="exact"/>
        <w:rPr>
          <w:rFonts w:ascii="Courier New" w:cs="Courier New" w:eastAsia="Courier New" w:hAnsi="Courier New"/>
          <w:sz w:val="18"/>
          <w:szCs w:val="18"/>
          <w:color w:val="auto"/>
        </w:rPr>
      </w:pPr>
    </w:p>
    <w:p>
      <w:pPr>
        <w:ind w:left="952" w:right="1779" w:hanging="952"/>
        <w:spacing w:after="0" w:line="237" w:lineRule="auto"/>
        <w:tabs>
          <w:tab w:leader="none" w:pos="952"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207" w:lineRule="exact"/>
        <w:rPr>
          <w:rFonts w:ascii="Courier New" w:cs="Courier New" w:eastAsia="Courier New" w:hAnsi="Courier New"/>
          <w:sz w:val="18"/>
          <w:szCs w:val="18"/>
          <w:color w:val="auto"/>
        </w:rPr>
      </w:pPr>
    </w:p>
    <w:p>
      <w:pPr>
        <w:ind w:left="952" w:right="1779" w:hanging="952"/>
        <w:spacing w:after="0" w:line="237" w:lineRule="auto"/>
        <w:tabs>
          <w:tab w:leader="none" w:pos="952"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Company has entered into its obligations under the Plan in good faith for the purpose of carrying on its business and that, at the time it did so, there were reasonable grounds for believing that the transactions contemplated in the respective Plan would benefit the Company;</w:t>
      </w:r>
    </w:p>
    <w:p>
      <w:pPr>
        <w:spacing w:after="0" w:line="208" w:lineRule="exact"/>
        <w:rPr>
          <w:rFonts w:ascii="Courier New" w:cs="Courier New" w:eastAsia="Courier New" w:hAnsi="Courier New"/>
          <w:sz w:val="18"/>
          <w:szCs w:val="18"/>
          <w:color w:val="auto"/>
        </w:rPr>
      </w:pPr>
    </w:p>
    <w:p>
      <w:pPr>
        <w:ind w:left="952" w:right="1779" w:hanging="952"/>
        <w:spacing w:after="0" w:line="272" w:lineRule="auto"/>
        <w:tabs>
          <w:tab w:leader="none" w:pos="952"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at the time of issue by either the Board of Directors, a committee designated by the Board of Directors (the "Committee") of an Option, or any Common Shares pursuant to any such Option, such Committee was duly constituted and at the date hereof remains a duly constituted committee of the Board of Directors of the Company having the necessary powers and authorities to issue Option and Common Shares pursuant to the Plan;</w:t>
      </w:r>
    </w:p>
    <w:p>
      <w:pPr>
        <w:spacing w:after="0" w:line="185" w:lineRule="exact"/>
        <w:rPr>
          <w:rFonts w:ascii="Courier New" w:cs="Courier New" w:eastAsia="Courier New" w:hAnsi="Courier New"/>
          <w:sz w:val="16"/>
          <w:szCs w:val="16"/>
          <w:color w:val="auto"/>
        </w:rPr>
      </w:pPr>
    </w:p>
    <w:p>
      <w:pPr>
        <w:ind w:left="952" w:right="1779" w:hanging="952"/>
        <w:spacing w:after="0" w:line="237" w:lineRule="auto"/>
        <w:tabs>
          <w:tab w:leader="none" w:pos="952"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approval of the issue of any Option and of any Common Shares pursuant to any such Option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ectPr>
          <w:pgSz w:w="11900" w:h="16838" w:orient="portrait"/>
          <w:cols w:equalWidth="0" w:num="1">
            <w:col w:w="10211"/>
          </w:cols>
          <w:pgMar w:left="248" w:top="723" w:right="1440" w:bottom="1440" w:gutter="0" w:footer="0" w:header="0"/>
        </w:sectPr>
      </w:pPr>
    </w:p>
    <w:bookmarkStart w:id="11" w:name="page12"/>
    <w:bookmarkEnd w:id="11"/>
    <w:p>
      <w:pPr>
        <w:ind w:left="960" w:right="1879" w:hanging="952"/>
        <w:spacing w:after="0" w:line="273" w:lineRule="auto"/>
        <w:tabs>
          <w:tab w:leader="none" w:pos="96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when the issue of any Common Shares under the Plan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184" w:lineRule="exact"/>
        <w:rPr>
          <w:rFonts w:ascii="Courier New" w:cs="Courier New" w:eastAsia="Courier New" w:hAnsi="Courier New"/>
          <w:sz w:val="16"/>
          <w:szCs w:val="16"/>
          <w:color w:val="auto"/>
        </w:rPr>
      </w:pPr>
    </w:p>
    <w:p>
      <w:pPr>
        <w:ind w:left="960" w:right="1779" w:hanging="952"/>
        <w:spacing w:after="0" w:line="237"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in any case where Common Shares are issued by the Company pursuant to the Plan on the terms of an Option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Option;</w:t>
      </w:r>
    </w:p>
    <w:p>
      <w:pPr>
        <w:spacing w:after="0" w:line="211" w:lineRule="exact"/>
        <w:rPr>
          <w:rFonts w:ascii="Courier New" w:cs="Courier New" w:eastAsia="Courier New" w:hAnsi="Courier New"/>
          <w:sz w:val="18"/>
          <w:szCs w:val="18"/>
          <w:color w:val="auto"/>
        </w:rPr>
      </w:pPr>
    </w:p>
    <w:p>
      <w:pPr>
        <w:ind w:left="960" w:right="1779" w:hanging="952"/>
        <w:spacing w:after="0" w:line="236"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OPINION</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Options and when fully paid for pursuant to and in accordance with the terms and conditions of the Plan, as contemplated by the Plan, the Common Shares will be validly issued, fully-paid and non-assessable shares in the capital of the Company.</w:t>
      </w: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pacing w:after="0" w:line="207" w:lineRule="exact"/>
        <w:rPr>
          <w:sz w:val="20"/>
          <w:szCs w:val="20"/>
          <w:color w:val="auto"/>
        </w:rPr>
      </w:pPr>
    </w:p>
    <w:p>
      <w:pPr>
        <w:ind w:left="960" w:right="1879" w:hanging="952"/>
        <w:spacing w:after="0" w:line="237" w:lineRule="auto"/>
        <w:tabs>
          <w:tab w:leader="none" w:pos="9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ectPr>
          <w:pgSz w:w="11900" w:h="16838" w:orient="portrait"/>
          <w:cols w:equalWidth="0" w:num="1">
            <w:col w:w="10219"/>
          </w:cols>
          <w:pgMar w:left="240" w:top="723" w:right="1440" w:bottom="1440" w:gutter="0" w:footer="0" w:header="0"/>
        </w:sectPr>
      </w:pPr>
    </w:p>
    <w:bookmarkStart w:id="12" w:name="page13"/>
    <w:bookmarkEnd w:id="12"/>
    <w:p>
      <w:pPr>
        <w:ind w:left="960" w:right="1779" w:hanging="952"/>
        <w:spacing w:after="0" w:line="271" w:lineRule="auto"/>
        <w:tabs>
          <w:tab w:leader="none" w:pos="96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3" w:lineRule="exact"/>
        <w:rPr>
          <w:rFonts w:ascii="Courier New" w:cs="Courier New" w:eastAsia="Courier New" w:hAnsi="Courier New"/>
          <w:sz w:val="16"/>
          <w:szCs w:val="16"/>
          <w:color w:val="auto"/>
        </w:rPr>
      </w:pPr>
    </w:p>
    <w:p>
      <w:pPr>
        <w:ind w:left="960" w:right="1779" w:hanging="952"/>
        <w:spacing w:after="0" w:line="236" w:lineRule="auto"/>
        <w:tabs>
          <w:tab w:leader="none" w:pos="9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are not conclusive and it should be noted that the Register of Companies does not reveal:</w:t>
      </w:r>
    </w:p>
    <w:p>
      <w:pPr>
        <w:spacing w:after="0" w:line="208" w:lineRule="exact"/>
        <w:rPr>
          <w:rFonts w:ascii="Courier New" w:cs="Courier New" w:eastAsia="Courier New" w:hAnsi="Courier New"/>
          <w:sz w:val="18"/>
          <w:szCs w:val="18"/>
          <w:color w:val="auto"/>
        </w:rPr>
      </w:pPr>
    </w:p>
    <w:p>
      <w:pPr>
        <w:ind w:left="1900" w:right="1779" w:hanging="944"/>
        <w:spacing w:after="0" w:line="237" w:lineRule="auto"/>
        <w:tabs>
          <w:tab w:leader="none" w:pos="1900" w:val="left"/>
        </w:tabs>
        <w:numPr>
          <w:ilvl w:val="1"/>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211" w:lineRule="exact"/>
        <w:rPr>
          <w:rFonts w:ascii="Courier New" w:cs="Courier New" w:eastAsia="Courier New" w:hAnsi="Courier New"/>
          <w:sz w:val="18"/>
          <w:szCs w:val="18"/>
          <w:color w:val="auto"/>
        </w:rPr>
      </w:pPr>
    </w:p>
    <w:p>
      <w:pPr>
        <w:ind w:left="1900" w:right="1879" w:hanging="944"/>
        <w:spacing w:after="0" w:line="236" w:lineRule="auto"/>
        <w:tabs>
          <w:tab w:leader="none" w:pos="1900" w:val="left"/>
        </w:tabs>
        <w:numPr>
          <w:ilvl w:val="1"/>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208" w:lineRule="exact"/>
        <w:rPr>
          <w:rFonts w:ascii="Courier New" w:cs="Courier New" w:eastAsia="Courier New" w:hAnsi="Courier New"/>
          <w:sz w:val="18"/>
          <w:szCs w:val="18"/>
          <w:color w:val="auto"/>
        </w:rPr>
      </w:pPr>
    </w:p>
    <w:p>
      <w:pPr>
        <w:ind w:left="960" w:right="1779" w:hanging="952"/>
        <w:spacing w:after="0" w:line="279" w:lineRule="auto"/>
        <w:tabs>
          <w:tab w:leader="none" w:pos="96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order to issue this opinion we have carried out the Searches as referred to in paragraphs 4 and 5 of the Schedule and have not enquired as to whether there has been any change since the date of the Searches.</w:t>
      </w:r>
    </w:p>
    <w:p>
      <w:pPr>
        <w:spacing w:after="0" w:line="178" w:lineRule="exact"/>
        <w:rPr>
          <w:rFonts w:ascii="Courier New" w:cs="Courier New" w:eastAsia="Courier New" w:hAnsi="Courier New"/>
          <w:sz w:val="16"/>
          <w:szCs w:val="16"/>
          <w:color w:val="auto"/>
        </w:rPr>
      </w:pPr>
    </w:p>
    <w:p>
      <w:pPr>
        <w:ind w:left="960" w:right="1779" w:hanging="952"/>
        <w:spacing w:after="0" w:line="237" w:lineRule="auto"/>
        <w:tabs>
          <w:tab w:leader="none" w:pos="9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have relied upon the statements made in the Officers Certificate referred to in paragraph 9 of the Schedule. We have made no independent verification of the matters referred to in the certificate and we qualify this opinion to the extent that the statements made in the certificate are not accurate in any respect.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DISCLOSURE</w:t>
      </w:r>
    </w:p>
    <w:p>
      <w:pPr>
        <w:spacing w:after="0" w:line="207" w:lineRule="exact"/>
        <w:rPr>
          <w:sz w:val="20"/>
          <w:szCs w:val="20"/>
          <w:color w:val="auto"/>
        </w:rPr>
      </w:pPr>
    </w:p>
    <w:p>
      <w:pPr>
        <w:ind w:right="1779"/>
        <w:spacing w:after="0" w:line="272" w:lineRule="auto"/>
        <w:rPr>
          <w:sz w:val="20"/>
          <w:szCs w:val="20"/>
          <w:color w:val="auto"/>
        </w:rPr>
      </w:pPr>
      <w:r>
        <w:rPr>
          <w:rFonts w:ascii="Courier New" w:cs="Courier New" w:eastAsia="Courier New" w:hAnsi="Courier New"/>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ectPr>
          <w:pgSz w:w="11900" w:h="16838" w:orient="portrait"/>
          <w:cols w:equalWidth="0" w:num="1">
            <w:col w:w="10219"/>
          </w:cols>
          <w:pgMar w:left="240" w:top="723" w:right="1440" w:bottom="1440" w:gutter="0" w:footer="0" w:header="0"/>
        </w:sectPr>
      </w:pPr>
    </w:p>
    <w:bookmarkStart w:id="13" w:name="page14"/>
    <w:bookmarkEnd w:id="13"/>
    <w:p>
      <w:pPr>
        <w:ind w:right="2099"/>
        <w:spacing w:after="0" w:line="279"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APPLEBY SPURLING &amp; KEMPE</w:t>
      </w:r>
    </w:p>
    <w:p>
      <w:pPr>
        <w:sectPr>
          <w:pgSz w:w="11900" w:h="16838" w:orient="portrait"/>
          <w:cols w:equalWidth="0" w:num="1">
            <w:col w:w="10219"/>
          </w:cols>
          <w:pgMar w:left="240" w:top="723" w:right="1440" w:bottom="1440" w:gutter="0" w:footer="0" w:header="0"/>
        </w:sectPr>
      </w:pPr>
    </w:p>
    <w:bookmarkStart w:id="14" w:name="page15"/>
    <w:bookmarkEnd w:id="14"/>
    <w:p>
      <w:pPr>
        <w:ind w:left="3792"/>
        <w:spacing w:after="0"/>
        <w:rPr>
          <w:sz w:val="20"/>
          <w:szCs w:val="20"/>
          <w:color w:val="auto"/>
        </w:rPr>
      </w:pPr>
      <w:r>
        <w:rPr>
          <w:rFonts w:ascii="Courier New" w:cs="Courier New" w:eastAsia="Courier New" w:hAnsi="Courier New"/>
          <w:sz w:val="18"/>
          <w:szCs w:val="18"/>
          <w:color w:val="auto"/>
        </w:rPr>
        <w:t>SCHEDULE</w:t>
      </w:r>
    </w:p>
    <w:p>
      <w:pPr>
        <w:spacing w:after="0" w:line="207" w:lineRule="exact"/>
        <w:rPr>
          <w:sz w:val="20"/>
          <w:szCs w:val="20"/>
          <w:color w:val="auto"/>
        </w:rPr>
      </w:pPr>
    </w:p>
    <w:p>
      <w:pPr>
        <w:jc w:val="both"/>
        <w:ind w:left="952" w:right="1879" w:hanging="952"/>
        <w:spacing w:after="0" w:line="236" w:lineRule="auto"/>
        <w:tabs>
          <w:tab w:leader="none" w:pos="952"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received on 4 December 2003 (excluding the exhibits and excluding the documents incorporated by reference).</w:t>
      </w:r>
    </w:p>
    <w:p>
      <w:pPr>
        <w:spacing w:after="0" w:line="208" w:lineRule="exact"/>
        <w:rPr>
          <w:rFonts w:ascii="Courier New" w:cs="Courier New" w:eastAsia="Courier New" w:hAnsi="Courier New"/>
          <w:sz w:val="18"/>
          <w:szCs w:val="18"/>
          <w:color w:val="auto"/>
        </w:rPr>
      </w:pPr>
    </w:p>
    <w:p>
      <w:pPr>
        <w:ind w:left="952" w:right="2519" w:hanging="952"/>
        <w:spacing w:after="0" w:line="235" w:lineRule="auto"/>
        <w:tabs>
          <w:tab w:leader="none" w:pos="952"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Asia, Inc. 2001 Stock Option Plan (the "Plan").</w:t>
      </w:r>
    </w:p>
    <w:p>
      <w:pPr>
        <w:spacing w:after="0" w:line="208" w:lineRule="exact"/>
        <w:rPr>
          <w:rFonts w:ascii="Courier New" w:cs="Courier New" w:eastAsia="Courier New" w:hAnsi="Courier New"/>
          <w:sz w:val="18"/>
          <w:szCs w:val="18"/>
          <w:color w:val="auto"/>
        </w:rPr>
      </w:pPr>
    </w:p>
    <w:p>
      <w:pPr>
        <w:ind w:left="952" w:right="1999" w:hanging="952"/>
        <w:spacing w:after="0" w:line="290" w:lineRule="auto"/>
        <w:tabs>
          <w:tab w:leader="none" w:pos="952"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electronic copy of the Minutes of the meeting of the Board of Directors of the Company held on 10 December 2003 (the "Resolutions")</w:t>
      </w:r>
    </w:p>
    <w:p>
      <w:pPr>
        <w:spacing w:after="0" w:line="169" w:lineRule="exact"/>
        <w:rPr>
          <w:rFonts w:ascii="Courier New" w:cs="Courier New" w:eastAsia="Courier New" w:hAnsi="Courier New"/>
          <w:sz w:val="16"/>
          <w:szCs w:val="16"/>
          <w:color w:val="auto"/>
        </w:rPr>
      </w:pPr>
    </w:p>
    <w:p>
      <w:pPr>
        <w:ind w:left="952" w:right="1879" w:hanging="952"/>
        <w:spacing w:after="0" w:line="237" w:lineRule="auto"/>
        <w:tabs>
          <w:tab w:leader="none" w:pos="952"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12 December 2003 (the "Company Search");</w:t>
      </w:r>
    </w:p>
    <w:p>
      <w:pPr>
        <w:spacing w:after="0" w:line="207" w:lineRule="exact"/>
        <w:rPr>
          <w:rFonts w:ascii="Courier New" w:cs="Courier New" w:eastAsia="Courier New" w:hAnsi="Courier New"/>
          <w:sz w:val="18"/>
          <w:szCs w:val="18"/>
          <w:color w:val="auto"/>
        </w:rPr>
      </w:pPr>
    </w:p>
    <w:p>
      <w:pPr>
        <w:ind w:left="952" w:right="1879" w:hanging="952"/>
        <w:spacing w:after="0" w:line="237" w:lineRule="auto"/>
        <w:tabs>
          <w:tab w:leader="none" w:pos="952"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12 December 2003 (the "Litigation Search");</w:t>
      </w:r>
    </w:p>
    <w:p>
      <w:pPr>
        <w:spacing w:after="0" w:line="207" w:lineRule="exact"/>
        <w:rPr>
          <w:rFonts w:ascii="Courier New" w:cs="Courier New" w:eastAsia="Courier New" w:hAnsi="Courier New"/>
          <w:sz w:val="18"/>
          <w:szCs w:val="18"/>
          <w:color w:val="auto"/>
        </w:rPr>
      </w:pPr>
    </w:p>
    <w:p>
      <w:pPr>
        <w:ind w:left="952"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208" w:lineRule="exact"/>
        <w:rPr>
          <w:rFonts w:ascii="Courier New" w:cs="Courier New" w:eastAsia="Courier New" w:hAnsi="Courier New"/>
          <w:sz w:val="18"/>
          <w:szCs w:val="18"/>
          <w:color w:val="auto"/>
        </w:rPr>
      </w:pPr>
    </w:p>
    <w:p>
      <w:pPr>
        <w:ind w:left="952" w:right="1999" w:hanging="952"/>
        <w:spacing w:after="0" w:line="279" w:lineRule="auto"/>
        <w:tabs>
          <w:tab w:leader="none" w:pos="952"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Copies of the Certificate of Incorporation, Memorandum of Association and Bye-laws of the Company incorporating all amendments to 21 June 2001 (collectively referred to as the "Constitutional Documents");</w:t>
      </w:r>
    </w:p>
    <w:p>
      <w:pPr>
        <w:spacing w:after="0" w:line="178" w:lineRule="exact"/>
        <w:rPr>
          <w:rFonts w:ascii="Courier New" w:cs="Courier New" w:eastAsia="Courier New" w:hAnsi="Courier New"/>
          <w:sz w:val="16"/>
          <w:szCs w:val="16"/>
          <w:color w:val="auto"/>
        </w:rPr>
      </w:pPr>
    </w:p>
    <w:p>
      <w:pPr>
        <w:ind w:left="952" w:right="1879" w:hanging="952"/>
        <w:spacing w:after="0" w:line="279" w:lineRule="auto"/>
        <w:tabs>
          <w:tab w:leader="none" w:pos="952"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copy of the permissions dated 31 May 2000 given by the Bermuda Monetary Authority under the Exchange Control Act (1972) and related regulations for the issue of shares in the capital of the Company; and</w:t>
      </w:r>
    </w:p>
    <w:p>
      <w:pPr>
        <w:spacing w:after="0" w:line="178" w:lineRule="exact"/>
        <w:rPr>
          <w:rFonts w:ascii="Courier New" w:cs="Courier New" w:eastAsia="Courier New" w:hAnsi="Courier New"/>
          <w:sz w:val="16"/>
          <w:szCs w:val="16"/>
          <w:color w:val="auto"/>
        </w:rPr>
      </w:pPr>
    </w:p>
    <w:p>
      <w:pPr>
        <w:ind w:left="952" w:right="1999" w:hanging="952"/>
        <w:spacing w:after="0" w:line="237" w:lineRule="auto"/>
        <w:tabs>
          <w:tab w:leader="none" w:pos="952"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fax copy of an Officer's Certificate dated 11 December 2003 and signed by George Hervey as Vice President and Chief Financial Officer of the Company confirming the authorised and issued share capital of the Company as at that date.</w:t>
      </w:r>
    </w:p>
    <w:p>
      <w:pPr>
        <w:sectPr>
          <w:pgSz w:w="11900" w:h="16838" w:orient="portrait"/>
          <w:cols w:equalWidth="0" w:num="1">
            <w:col w:w="10211"/>
          </w:cols>
          <w:pgMar w:left="248" w:top="717" w:right="1440" w:bottom="1440" w:gutter="0" w:footer="0" w:header="0"/>
        </w:sectPr>
      </w:pPr>
    </w:p>
    <w:bookmarkStart w:id="15" w:name="page16"/>
    <w:bookmarkEnd w:id="15"/>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hereby consent to the incorporation by reference in this Registration Statement on Form S-8 of our report dated February 26, 2003 relating to the financial statements of Marvell Technology Group Ltd., which appears in Marvell Technology Group Ltd.'s Annual Report on Form 10-K for the year ended February 1, 2003.</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38" w:lineRule="auto"/>
        <w:rPr>
          <w:sz w:val="20"/>
          <w:szCs w:val="20"/>
          <w:color w:val="auto"/>
        </w:rPr>
      </w:pPr>
      <w:r>
        <w:rPr>
          <w:rFonts w:ascii="Courier New" w:cs="Courier New" w:eastAsia="Courier New" w:hAnsi="Courier New"/>
          <w:sz w:val="18"/>
          <w:szCs w:val="18"/>
          <w:color w:val="auto"/>
        </w:rPr>
        <w:t>December 12, 2003</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1)"/>
      <w:numFmt w:val="decimal"/>
      <w:start w:val="1"/>
    </w:lvl>
  </w:abstractNum>
  <w:abstractNum w:abstractNumId="1">
    <w:nsid w:val="79E2A9E3"/>
    <w:multiLevelType w:val="hybridMultilevel"/>
    <w:lvl w:ilvl="0">
      <w:lvlJc w:val="left"/>
      <w:lvlText w:val="*"/>
      <w:numFmt w:val="bullet"/>
      <w:start w:val="1"/>
    </w:lvl>
  </w:abstractNum>
  <w:abstractNum w:abstractNumId="2">
    <w:nsid w:val="7545E146"/>
    <w:multiLevelType w:val="hybridMultilevel"/>
    <w:lvl w:ilvl="0">
      <w:lvlJc w:val="left"/>
      <w:lvlText w:val="(%1)"/>
      <w:numFmt w:val="decimal"/>
      <w:start w:val="1"/>
    </w:lvl>
  </w:abstractNum>
  <w:abstractNum w:abstractNumId="3">
    <w:nsid w:val="515F007C"/>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4">
    <w:nsid w:val="5BD062C2"/>
    <w:multiLevelType w:val="hybridMultilevel"/>
    <w:lvl w:ilvl="0">
      <w:lvlJc w:val="left"/>
      <w:lvlText w:val="(%1)"/>
      <w:numFmt w:val="lowerRoman"/>
      <w:start w:val="3"/>
    </w:lvl>
  </w:abstractNum>
  <w:abstractNum w:abstractNumId="5">
    <w:nsid w:val="12200854"/>
    <w:multiLevelType w:val="hybridMultilevel"/>
    <w:lvl w:ilvl="0">
      <w:lvlJc w:val="left"/>
      <w:lvlText w:val="%1"/>
      <w:numFmt w:val="lowerLetter"/>
      <w:start w:val="1"/>
    </w:lvl>
    <w:lvl w:ilvl="1">
      <w:lvlJc w:val="left"/>
      <w:lvlText w:val="(%2)"/>
      <w:numFmt w:val="decimal"/>
      <w:start w:val="2"/>
    </w:lvl>
  </w:abstractNum>
  <w:abstractNum w:abstractNumId="6">
    <w:nsid w:val="4DB127F8"/>
    <w:multiLevelType w:val="hybridMultilevel"/>
    <w:lvl w:ilvl="0">
      <w:lvlJc w:val="left"/>
      <w:lvlText w:val="(%1)"/>
      <w:numFmt w:val="lowerLetter"/>
      <w:start w:val="2"/>
    </w:lvl>
    <w:lvl w:ilvl="1">
      <w:lvlJc w:val="left"/>
      <w:lvlText w:val="%2"/>
      <w:numFmt w:val="decimal"/>
      <w:start w:val="1"/>
    </w:lvl>
  </w:abstractNum>
  <w:abstractNum w:abstractNumId="7">
    <w:nsid w:val="216231B"/>
    <w:multiLevelType w:val="hybridMultilevel"/>
    <w:lvl w:ilvl="0">
      <w:lvlJc w:val="left"/>
      <w:lvlText w:val="(%1)"/>
      <w:numFmt w:val="lowerLetter"/>
      <w:start w:val="1"/>
    </w:lvl>
  </w:abstractNum>
  <w:abstractNum w:abstractNumId="8">
    <w:nsid w:val="1F16E9E8"/>
    <w:multiLevelType w:val="hybridMultilevel"/>
    <w:lvl w:ilvl="0">
      <w:lvlJc w:val="left"/>
      <w:lvlText w:val="(%1)"/>
      <w:numFmt w:val="lowerLetter"/>
      <w:start w:val="4"/>
    </w:lvl>
  </w:abstractNum>
  <w:abstractNum w:abstractNumId="9">
    <w:nsid w:val="1190CDE7"/>
    <w:multiLevelType w:val="hybridMultilevel"/>
    <w:lvl w:ilvl="0">
      <w:lvlJc w:val="left"/>
      <w:lvlText w:val="(%1)"/>
      <w:numFmt w:val="lowerLetter"/>
      <w:start w:val="12"/>
    </w:lvl>
  </w:abstractNum>
  <w:abstractNum w:abstractNumId="10">
    <w:nsid w:val="66EF438D"/>
    <w:multiLevelType w:val="hybridMultilevel"/>
    <w:lvl w:ilvl="0">
      <w:lvlJc w:val="left"/>
      <w:lvlText w:val="(%1)"/>
      <w:numFmt w:val="lowerLetter"/>
      <w:start w:val="1"/>
    </w:lvl>
  </w:abstractNum>
  <w:abstractNum w:abstractNumId="11">
    <w:nsid w:val="140E0F76"/>
    <w:multiLevelType w:val="hybridMultilevel"/>
    <w:lvl w:ilvl="0">
      <w:lvlJc w:val="left"/>
      <w:lvlText w:val="(%1)"/>
      <w:numFmt w:val="lowerLetter"/>
      <w:start w:val="2"/>
    </w:lvl>
    <w:lvl w:ilvl="1">
      <w:lvlJc w:val="left"/>
      <w:lvlText w:val="(%2)"/>
      <w:numFmt w:val="lowerRoman"/>
      <w:start w:val="1"/>
    </w:lvl>
  </w:abstractNum>
  <w:abstractNum w:abstractNumId="12">
    <w:nsid w:val="3352255A"/>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2019-12-12T01:49:44Z</dcterms:created>
  <dcterms:modified xsi:type="dcterms:W3CDTF">2019-12-12T01:49:44Z</dcterms:modified>
</cp:coreProperties>
</file>