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October 2, 2003</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Registration No. 333-106833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Amendment No. 3</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To</w:t>
      </w:r>
    </w:p>
    <w:p>
      <w:pPr>
        <w:spacing w:after="0" w:line="1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jc w:val="center"/>
        <w:spacing w:after="0"/>
        <w:rPr>
          <w:sz w:val="20"/>
          <w:szCs w:val="20"/>
          <w:color w:val="auto"/>
        </w:rPr>
      </w:pPr>
      <w:r>
        <w:rPr>
          <w:rFonts w:ascii="Arial" w:cs="Arial" w:eastAsia="Arial" w:hAnsi="Arial"/>
          <w:sz w:val="22"/>
          <w:szCs w:val="22"/>
          <w:b w:val="1"/>
          <w:bCs w:val="1"/>
          <w:color w:val="auto"/>
        </w:rPr>
        <w:t>REGISTRATION STATEMENT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133350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(Exact name of registrant as specified in its charter)</w:t>
      </w:r>
    </w:p>
    <w:p>
      <w:pPr>
        <w:sectPr>
          <w:pgSz w:w="11900" w:h="16838" w:orient="portrait"/>
          <w:cols w:equalWidth="0" w:num="1">
            <w:col w:w="11420"/>
          </w:cols>
          <w:pgMar w:left="240" w:top="122" w:right="239" w:bottom="0" w:gutter="0" w:footer="0" w:header="0"/>
        </w:sectPr>
      </w:pPr>
    </w:p>
    <w:p>
      <w:pPr>
        <w:spacing w:after="0" w:line="219" w:lineRule="exact"/>
        <w:rPr>
          <w:sz w:val="20"/>
          <w:szCs w:val="20"/>
          <w:color w:val="auto"/>
        </w:rPr>
      </w:pPr>
    </w:p>
    <w:p>
      <w:pPr>
        <w:ind w:left="2920"/>
        <w:spacing w:after="0"/>
        <w:rPr>
          <w:sz w:val="20"/>
          <w:szCs w:val="20"/>
          <w:color w:val="auto"/>
        </w:rPr>
      </w:pPr>
      <w:r>
        <w:rPr>
          <w:rFonts w:ascii="Arial" w:cs="Arial" w:eastAsia="Arial" w:hAnsi="Arial"/>
          <w:sz w:val="18"/>
          <w:szCs w:val="18"/>
          <w:b w:val="1"/>
          <w:bCs w:val="1"/>
          <w:color w:val="auto"/>
        </w:rPr>
        <w:t>Bermuda</w:t>
      </w:r>
    </w:p>
    <w:p>
      <w:pPr>
        <w:spacing w:after="0" w:line="21" w:lineRule="exact"/>
        <w:rPr>
          <w:sz w:val="20"/>
          <w:szCs w:val="20"/>
          <w:color w:val="auto"/>
        </w:rPr>
      </w:pPr>
    </w:p>
    <w:p>
      <w:pPr>
        <w:ind w:left="2240"/>
        <w:spacing w:after="0"/>
        <w:rPr>
          <w:sz w:val="20"/>
          <w:szCs w:val="20"/>
          <w:color w:val="auto"/>
        </w:rPr>
      </w:pPr>
      <w:r>
        <w:rPr>
          <w:rFonts w:ascii="Arial" w:cs="Arial" w:eastAsia="Arial" w:hAnsi="Arial"/>
          <w:sz w:val="16"/>
          <w:szCs w:val="16"/>
          <w:i w:val="1"/>
          <w:iCs w:val="1"/>
          <w:color w:val="auto"/>
        </w:rPr>
        <w:t>(State or other jurisdiction of</w:t>
      </w:r>
    </w:p>
    <w:p>
      <w:pPr>
        <w:spacing w:after="0" w:line="32" w:lineRule="exact"/>
        <w:rPr>
          <w:sz w:val="20"/>
          <w:szCs w:val="20"/>
          <w:color w:val="auto"/>
        </w:rPr>
      </w:pPr>
    </w:p>
    <w:p>
      <w:pPr>
        <w:ind w:left="2180"/>
        <w:spacing w:after="0"/>
        <w:rPr>
          <w:sz w:val="20"/>
          <w:szCs w:val="20"/>
          <w:color w:val="auto"/>
        </w:rPr>
      </w:pPr>
      <w:r>
        <w:rPr>
          <w:rFonts w:ascii="Arial" w:cs="Arial" w:eastAsia="Arial" w:hAnsi="Arial"/>
          <w:sz w:val="16"/>
          <w:szCs w:val="16"/>
          <w:i w:val="1"/>
          <w:iCs w:val="1"/>
          <w:color w:val="auto"/>
        </w:rPr>
        <w:t>incorporation or organization)</w:t>
      </w:r>
    </w:p>
    <w:p>
      <w:pPr>
        <w:spacing w:after="0" w:line="20" w:lineRule="exact"/>
        <w:rPr>
          <w:sz w:val="20"/>
          <w:szCs w:val="20"/>
          <w:color w:val="auto"/>
        </w:rPr>
      </w:pPr>
      <w:r>
        <w:rPr>
          <w:sz w:val="20"/>
          <w:szCs w:val="20"/>
          <w:color w:val="auto"/>
        </w:rPr>
        <w:br w:type="column"/>
      </w:r>
    </w:p>
    <w:p>
      <w:pPr>
        <w:spacing w:after="0" w:line="199" w:lineRule="exact"/>
        <w:rPr>
          <w:sz w:val="20"/>
          <w:szCs w:val="20"/>
          <w:color w:val="auto"/>
        </w:rPr>
      </w:pPr>
    </w:p>
    <w:p>
      <w:pPr>
        <w:jc w:val="center"/>
        <w:ind w:right="1640"/>
        <w:spacing w:after="0"/>
        <w:rPr>
          <w:sz w:val="20"/>
          <w:szCs w:val="20"/>
          <w:color w:val="auto"/>
        </w:rPr>
      </w:pPr>
      <w:r>
        <w:rPr>
          <w:rFonts w:ascii="Arial" w:cs="Arial" w:eastAsia="Arial" w:hAnsi="Arial"/>
          <w:sz w:val="18"/>
          <w:szCs w:val="18"/>
          <w:b w:val="1"/>
          <w:bCs w:val="1"/>
          <w:color w:val="auto"/>
        </w:rPr>
        <w:t>77-0481679</w:t>
      </w:r>
    </w:p>
    <w:p>
      <w:pPr>
        <w:spacing w:after="0" w:line="21" w:lineRule="exact"/>
        <w:rPr>
          <w:sz w:val="20"/>
          <w:szCs w:val="20"/>
          <w:color w:val="auto"/>
        </w:rPr>
      </w:pPr>
    </w:p>
    <w:p>
      <w:pPr>
        <w:jc w:val="center"/>
        <w:ind w:right="1640"/>
        <w:spacing w:after="0"/>
        <w:rPr>
          <w:sz w:val="20"/>
          <w:szCs w:val="20"/>
          <w:color w:val="auto"/>
        </w:rPr>
      </w:pPr>
      <w:r>
        <w:rPr>
          <w:rFonts w:ascii="Arial" w:cs="Arial" w:eastAsia="Arial" w:hAnsi="Arial"/>
          <w:sz w:val="16"/>
          <w:szCs w:val="16"/>
          <w:i w:val="1"/>
          <w:iCs w:val="1"/>
          <w:color w:val="auto"/>
        </w:rPr>
        <w:t>(I.R.S. Employer</w:t>
      </w:r>
    </w:p>
    <w:p>
      <w:pPr>
        <w:spacing w:after="0" w:line="32" w:lineRule="exact"/>
        <w:rPr>
          <w:sz w:val="20"/>
          <w:szCs w:val="20"/>
          <w:color w:val="auto"/>
        </w:rPr>
      </w:pPr>
    </w:p>
    <w:p>
      <w:pPr>
        <w:jc w:val="center"/>
        <w:ind w:right="1640"/>
        <w:spacing w:after="0"/>
        <w:rPr>
          <w:sz w:val="20"/>
          <w:szCs w:val="20"/>
          <w:color w:val="auto"/>
        </w:rPr>
      </w:pPr>
      <w:r>
        <w:rPr>
          <w:rFonts w:ascii="Arial" w:cs="Arial" w:eastAsia="Arial" w:hAnsi="Arial"/>
          <w:sz w:val="16"/>
          <w:szCs w:val="16"/>
          <w:i w:val="1"/>
          <w:iCs w:val="1"/>
          <w:color w:val="auto"/>
        </w:rPr>
        <w:t>Identification No.)</w:t>
      </w:r>
    </w:p>
    <w:p>
      <w:pPr>
        <w:spacing w:after="0" w:line="200" w:lineRule="exact"/>
        <w:rPr>
          <w:sz w:val="20"/>
          <w:szCs w:val="20"/>
          <w:color w:val="auto"/>
        </w:rPr>
      </w:pPr>
    </w:p>
    <w:p>
      <w:pPr>
        <w:sectPr>
          <w:pgSz w:w="11900" w:h="16838" w:orient="portrait"/>
          <w:cols w:equalWidth="0" w:num="2">
            <w:col w:w="7760" w:space="720"/>
            <w:col w:w="2940"/>
          </w:cols>
          <w:pgMar w:left="240" w:top="122" w:right="239" w:bottom="0" w:gutter="0" w:footer="0" w:header="0"/>
          <w:type w:val="continuous"/>
        </w:sectPr>
      </w:pPr>
    </w:p>
    <w:p>
      <w:pPr>
        <w:spacing w:after="0" w:line="36" w:lineRule="exact"/>
        <w:rPr>
          <w:sz w:val="20"/>
          <w:szCs w:val="20"/>
          <w:color w:val="auto"/>
        </w:rPr>
      </w:pPr>
    </w:p>
    <w:p>
      <w:pPr>
        <w:jc w:val="center"/>
        <w:spacing w:after="0"/>
        <w:rPr>
          <w:sz w:val="20"/>
          <w:szCs w:val="20"/>
          <w:color w:val="auto"/>
        </w:rPr>
      </w:pPr>
      <w:r>
        <w:rPr>
          <w:rFonts w:ascii="Arial" w:cs="Arial" w:eastAsia="Arial" w:hAnsi="Arial"/>
          <w:sz w:val="16"/>
          <w:szCs w:val="16"/>
          <w:b w:val="1"/>
          <w:bCs w:val="1"/>
          <w:color w:val="auto"/>
        </w:rPr>
        <w:t>4th Floor</w:t>
      </w:r>
    </w:p>
    <w:p>
      <w:pPr>
        <w:sectPr>
          <w:pgSz w:w="11900" w:h="16838" w:orient="portrait"/>
          <w:cols w:equalWidth="0" w:num="1">
            <w:col w:w="11420"/>
          </w:cols>
          <w:pgMar w:left="240" w:top="122" w:right="239" w:bottom="0" w:gutter="0" w:footer="0" w:header="0"/>
          <w:type w:val="continuous"/>
        </w:sectPr>
      </w:pPr>
    </w:p>
    <w:p>
      <w:pPr>
        <w:spacing w:after="0" w:line="24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Windsor Place</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(Address, including zip code, and telephone number, including area code, of registrant’s principal executive offices)</w:t>
      </w:r>
    </w:p>
    <w:p>
      <w:pPr>
        <w:spacing w:after="0" w:line="21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MATTHEW GLOSS, ESQ.</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(Name, address, including zip code, and telephone number, including area code, of agent for service)</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i w:val="1"/>
          <w:iCs w:val="1"/>
          <w:color w:val="auto"/>
        </w:rPr>
        <w:t>Copies to:</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DAVINA K. KAILE, ESQ.</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Pillsbury Winthrop LLP</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2550 Hanover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Palo Alto, California 94304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ind w:left="34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281" w:lineRule="exact"/>
        <w:rPr>
          <w:sz w:val="20"/>
          <w:szCs w:val="20"/>
          <w:color w:val="auto"/>
        </w:rPr>
      </w:pPr>
    </w:p>
    <w:p>
      <w:pPr>
        <w:ind w:left="340"/>
        <w:spacing w:after="0"/>
        <w:tabs>
          <w:tab w:leader="none" w:pos="11240" w:val="left"/>
        </w:tabs>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 box.</w:t>
      </w:r>
      <w:r>
        <w:rPr>
          <w:sz w:val="20"/>
          <w:szCs w:val="20"/>
          <w:color w:val="auto"/>
        </w:rPr>
        <w:tab/>
      </w:r>
      <w:r>
        <w:rPr>
          <w:rFonts w:ascii="Arial" w:cs="Arial" w:eastAsia="Arial" w:hAnsi="Arial"/>
          <w:sz w:val="14"/>
          <w:szCs w:val="14"/>
          <w:color w:val="auto"/>
        </w:rPr>
        <w:t>o</w:t>
      </w:r>
    </w:p>
    <w:p>
      <w:pPr>
        <w:spacing w:after="0" w:line="275" w:lineRule="exact"/>
        <w:rPr>
          <w:sz w:val="20"/>
          <w:szCs w:val="20"/>
          <w:color w:val="auto"/>
        </w:rPr>
      </w:pPr>
    </w:p>
    <w:p>
      <w:pPr>
        <w:ind w:firstLine="324"/>
        <w:spacing w:after="0" w:line="229"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218" w:lineRule="exact"/>
        <w:rPr>
          <w:sz w:val="20"/>
          <w:szCs w:val="20"/>
          <w:color w:val="auto"/>
        </w:rPr>
      </w:pPr>
    </w:p>
    <w:p>
      <w:pPr>
        <w:ind w:right="180" w:firstLine="324"/>
        <w:spacing w:after="0" w:line="268"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5486400</wp:posOffset>
            </wp:positionH>
            <wp:positionV relativeFrom="paragraph">
              <wp:posOffset>-38735</wp:posOffset>
            </wp:positionV>
            <wp:extent cx="6413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41350" cy="8890"/>
                    </a:xfrm>
                    <a:prstGeom prst="rect">
                      <a:avLst/>
                    </a:prstGeom>
                    <a:noFill/>
                  </pic:spPr>
                </pic:pic>
              </a:graphicData>
            </a:graphic>
          </wp:anchor>
        </w:drawing>
      </w:r>
    </w:p>
    <w:p>
      <w:pPr>
        <w:spacing w:after="0" w:line="193"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4665980</wp:posOffset>
            </wp:positionH>
            <wp:positionV relativeFrom="paragraph">
              <wp:posOffset>-38735</wp:posOffset>
            </wp:positionV>
            <wp:extent cx="6413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41350" cy="8890"/>
                    </a:xfrm>
                    <a:prstGeom prst="rect">
                      <a:avLst/>
                    </a:prstGeom>
                    <a:noFill/>
                  </pic:spPr>
                </pic:pic>
              </a:graphicData>
            </a:graphic>
          </wp:anchor>
        </w:drawing>
      </w:r>
    </w:p>
    <w:p>
      <w:pPr>
        <w:spacing w:after="0" w:line="193" w:lineRule="exact"/>
        <w:rPr>
          <w:sz w:val="20"/>
          <w:szCs w:val="20"/>
          <w:color w:val="auto"/>
        </w:rPr>
      </w:pPr>
    </w:p>
    <w:p>
      <w:pPr>
        <w:ind w:left="340"/>
        <w:spacing w:after="0"/>
        <w:tabs>
          <w:tab w:leader="none" w:pos="7980" w:val="left"/>
        </w:tabs>
        <w:rPr>
          <w:sz w:val="20"/>
          <w:szCs w:val="20"/>
          <w:color w:val="auto"/>
        </w:rPr>
      </w:pPr>
      <w:r>
        <w:rPr>
          <w:rFonts w:ascii="Arial" w:cs="Arial" w:eastAsia="Arial" w:hAnsi="Arial"/>
          <w:sz w:val="16"/>
          <w:szCs w:val="16"/>
          <w:color w:val="auto"/>
        </w:rPr>
        <w:t>If delivery of the prospectus is expected to be made pursuant to Rule 434, please check the following box.</w:t>
      </w:r>
      <w:r>
        <w:rPr>
          <w:sz w:val="20"/>
          <w:szCs w:val="20"/>
          <w:color w:val="auto"/>
        </w:rPr>
        <w:tab/>
      </w:r>
      <w:r>
        <w:rPr>
          <w:rFonts w:ascii="Arial" w:cs="Arial" w:eastAsia="Arial" w:hAnsi="Arial"/>
          <w:sz w:val="14"/>
          <w:szCs w:val="14"/>
          <w:color w:val="auto"/>
        </w:rPr>
        <w:t>o</w:t>
      </w:r>
    </w:p>
    <w:p>
      <w:pPr>
        <w:spacing w:after="0" w:line="269" w:lineRule="exact"/>
        <w:rPr>
          <w:sz w:val="20"/>
          <w:szCs w:val="20"/>
          <w:color w:val="auto"/>
        </w:rPr>
      </w:pPr>
    </w:p>
    <w:p>
      <w:pPr>
        <w:ind w:right="20" w:firstLine="324"/>
        <w:spacing w:after="0" w:line="378" w:lineRule="auto"/>
        <w:rPr>
          <w:sz w:val="20"/>
          <w:szCs w:val="20"/>
          <w:color w:val="auto"/>
        </w:rPr>
      </w:pPr>
      <w:r>
        <w:rPr>
          <w:rFonts w:ascii="Arial" w:cs="Arial" w:eastAsia="Arial" w:hAnsi="Arial"/>
          <w:sz w:val="15"/>
          <w:szCs w:val="15"/>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w:t>
      </w:r>
    </w:p>
    <w:p>
      <w:pPr>
        <w:sectPr>
          <w:pgSz w:w="11900" w:h="16838" w:orient="portrait"/>
          <w:cols w:equalWidth="0" w:num="1">
            <w:col w:w="11420"/>
          </w:cols>
          <w:pgMar w:left="240" w:top="122" w:right="239" w:bottom="0" w:gutter="0" w:footer="0" w:header="0"/>
          <w:type w:val="continuous"/>
        </w:sectPr>
      </w:pPr>
    </w:p>
    <w:bookmarkStart w:id="2" w:name="page3"/>
    <w:bookmarkEnd w:id="2"/>
    <w:p>
      <w:pPr>
        <w:spacing w:after="0" w:line="275" w:lineRule="auto"/>
        <w:rPr>
          <w:sz w:val="20"/>
          <w:szCs w:val="20"/>
          <w:color w:val="auto"/>
        </w:rPr>
      </w:pPr>
      <w:r>
        <w:rPr>
          <w:rFonts w:ascii="Arial" w:cs="Arial" w:eastAsia="Arial" w:hAnsi="Arial"/>
          <w:sz w:val="18"/>
          <w:szCs w:val="18"/>
          <w:b w:val="1"/>
          <w:bCs w:val="1"/>
          <w:color w:val="auto"/>
        </w:rPr>
        <w:t>of the Securities Act of 1933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119380</wp:posOffset>
            </wp:positionV>
            <wp:extent cx="72637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196850</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340360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280"/>
          </w:cols>
          <w:pgMar w:left="240" w:top="125" w:right="3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193040</wp:posOffset>
            </wp:positionV>
            <wp:extent cx="7272020" cy="5911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2020" cy="591185"/>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20" w:right="200"/>
        <w:spacing w:after="0" w:line="262" w:lineRule="auto"/>
        <w:rPr>
          <w:sz w:val="20"/>
          <w:szCs w:val="20"/>
          <w:color w:val="auto"/>
        </w:rPr>
      </w:pPr>
      <w:r>
        <w:rPr>
          <w:rFonts w:ascii="Arial" w:cs="Arial" w:eastAsia="Arial" w:hAnsi="Arial"/>
          <w:sz w:val="18"/>
          <w:szCs w:val="18"/>
          <w:b w:val="1"/>
          <w:bCs w:val="1"/>
          <w:color w:val="E8112D"/>
        </w:rPr>
        <w:t>The information in this prospectus is not complete and may be changed. The selling shareholders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E8112D"/>
        </w:rPr>
        <w:t>Subject to Completion, Dated October 2, 2003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3,986,921 Shares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160020</wp:posOffset>
            </wp:positionV>
            <wp:extent cx="18954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80" w:lineRule="exact"/>
        <w:rPr>
          <w:sz w:val="20"/>
          <w:szCs w:val="20"/>
          <w:color w:val="auto"/>
        </w:rPr>
      </w:pPr>
    </w:p>
    <w:p>
      <w:pPr>
        <w:ind w:right="80" w:firstLine="432"/>
        <w:spacing w:after="0" w:line="306" w:lineRule="auto"/>
        <w:rPr>
          <w:sz w:val="20"/>
          <w:szCs w:val="20"/>
          <w:color w:val="auto"/>
        </w:rPr>
      </w:pPr>
      <w:r>
        <w:rPr>
          <w:rFonts w:ascii="Arial" w:cs="Arial" w:eastAsia="Arial" w:hAnsi="Arial"/>
          <w:sz w:val="16"/>
          <w:szCs w:val="16"/>
          <w:color w:val="auto"/>
        </w:rPr>
        <w:t>This prospectus relates to the resale, from time to time, of up to 3,986,921 shares of our common stock by our shareholders (the “selling shareholders”). The selling shareholders may offer and sell their shares in transactions on the Nasdaq National Market, in negotiated transactions, or both. These sales may occur at fixed prices that are subject to change, at prices that are determined by prevailing market prices, or at negotiated prices.</w:t>
      </w:r>
    </w:p>
    <w:p>
      <w:pPr>
        <w:spacing w:after="0" w:line="188" w:lineRule="exact"/>
        <w:rPr>
          <w:sz w:val="20"/>
          <w:szCs w:val="20"/>
          <w:color w:val="auto"/>
        </w:rPr>
      </w:pPr>
    </w:p>
    <w:p>
      <w:pPr>
        <w:jc w:val="both"/>
        <w:ind w:right="60" w:firstLine="324"/>
        <w:spacing w:after="0" w:line="298" w:lineRule="auto"/>
        <w:rPr>
          <w:sz w:val="20"/>
          <w:szCs w:val="20"/>
          <w:color w:val="auto"/>
        </w:rPr>
      </w:pPr>
      <w:r>
        <w:rPr>
          <w:rFonts w:ascii="Arial" w:cs="Arial" w:eastAsia="Arial" w:hAnsi="Arial"/>
          <w:sz w:val="16"/>
          <w:szCs w:val="16"/>
          <w:color w:val="auto"/>
        </w:rPr>
        <w:t>The selling shareholders may sell shares to or through broker-dealers, who may receive compensation in the form of discounts, concessions or commissions from the selling shareholders, the purchasers of the shares, or both. Information on the selling shareholders and the time and manner in which they may offer and sell shares of our common stock under this prospectus is provided under “Selling Shareholders” and “Plan of Distribution” in this prospectus. We will not receive any of the proceeds from the sale of shares by the selling shareholders.</w:t>
      </w:r>
    </w:p>
    <w:p>
      <w:pPr>
        <w:spacing w:after="0" w:line="194" w:lineRule="exact"/>
        <w:rPr>
          <w:sz w:val="20"/>
          <w:szCs w:val="20"/>
          <w:color w:val="auto"/>
        </w:rPr>
      </w:pPr>
    </w:p>
    <w:p>
      <w:pPr>
        <w:ind w:right="320" w:firstLine="324"/>
        <w:spacing w:after="0" w:line="268"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September 12, 2003 was $40.02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123190</wp:posOffset>
            </wp:positionV>
            <wp:extent cx="18954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ind w:right="840" w:firstLine="37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2 of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120650</wp:posOffset>
            </wp:positionV>
            <wp:extent cx="18954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ind w:right="320" w:firstLine="378"/>
        <w:spacing w:after="0" w:line="339" w:lineRule="auto"/>
        <w:rPr>
          <w:sz w:val="20"/>
          <w:szCs w:val="20"/>
          <w:color w:val="auto"/>
        </w:rPr>
      </w:pPr>
      <w:r>
        <w:rPr>
          <w:rFonts w:ascii="Arial" w:cs="Arial" w:eastAsia="Arial" w:hAnsi="Arial"/>
          <w:sz w:val="16"/>
          <w:szCs w:val="16"/>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90805</wp:posOffset>
            </wp:positionV>
            <wp:extent cx="18954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520" w:type="dxa"/>
            <w:vAlign w:val="bottom"/>
          </w:tcPr>
          <w:p>
            <w:pPr>
              <w:ind w:left="400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912"/>
              <w:spacing w:after="0"/>
              <w:rPr>
                <w:sz w:val="20"/>
                <w:szCs w:val="20"/>
                <w:color w:val="auto"/>
              </w:rPr>
            </w:pPr>
            <w:r>
              <w:rPr>
                <w:rFonts w:ascii="Arial" w:cs="Arial" w:eastAsia="Arial" w:hAnsi="Arial"/>
                <w:sz w:val="18"/>
                <w:szCs w:val="18"/>
                <w:color w:val="auto"/>
              </w:rPr>
              <w:t>, 2003</w:t>
            </w:r>
          </w:p>
        </w:tc>
      </w:tr>
      <w:tr>
        <w:trPr>
          <w:trHeight w:val="228"/>
        </w:trPr>
        <w:tc>
          <w:tcPr>
            <w:tcW w:w="6520" w:type="dxa"/>
            <w:vAlign w:val="bottom"/>
            <w:tcBorders>
              <w:bottom w:val="single" w:sz="8" w:color="808080"/>
            </w:tcBorders>
          </w:tcPr>
          <w:p>
            <w:pPr>
              <w:spacing w:after="0"/>
              <w:rPr>
                <w:sz w:val="19"/>
                <w:szCs w:val="19"/>
                <w:color w:val="auto"/>
              </w:rPr>
            </w:pPr>
          </w:p>
        </w:tc>
        <w:tc>
          <w:tcPr>
            <w:tcW w:w="4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Table of Contents</w:t>
        </w:r>
      </w:hyperlink>
    </w:p>
    <w:p>
      <w:pPr>
        <w:spacing w:after="0" w:line="238"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MARVELL TECHNOLOGY GROUP LTD.</w:t>
        </w:r>
      </w:hyperlink>
    </w:p>
    <w:p>
      <w:pPr>
        <w:spacing w:after="0" w:line="230" w:lineRule="auto"/>
        <w:rPr>
          <w:rFonts w:ascii="Arial" w:cs="Arial" w:eastAsia="Arial" w:hAnsi="Arial"/>
          <w:sz w:val="22"/>
          <w:szCs w:val="22"/>
          <w:u w:val="single" w:color="auto"/>
          <w:color w:val="0000EE"/>
        </w:rPr>
      </w:pPr>
      <w:hyperlink w:anchor="page9">
        <w:r>
          <w:rPr>
            <w:rFonts w:ascii="Arial" w:cs="Arial" w:eastAsia="Arial" w:hAnsi="Arial"/>
            <w:sz w:val="22"/>
            <w:szCs w:val="22"/>
            <w:u w:val="single" w:color="auto"/>
            <w:color w:val="0000EE"/>
          </w:rPr>
          <w:t>RISK FACTORS</w:t>
        </w:r>
      </w:hyperlink>
    </w:p>
    <w:p>
      <w:pPr>
        <w:spacing w:after="0" w:line="231"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FORWARD-LOOKING STATEMENTS</w:t>
        </w:r>
      </w:hyperlink>
    </w:p>
    <w:p>
      <w:pPr>
        <w:spacing w:after="0" w:line="231"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PROCEEDS FROM THE OFFERING</w:t>
        </w:r>
      </w:hyperlink>
    </w:p>
    <w:p>
      <w:pPr>
        <w:spacing w:after="0" w:line="230" w:lineRule="auto"/>
        <w:rPr>
          <w:rFonts w:ascii="Arial" w:cs="Arial" w:eastAsia="Arial" w:hAnsi="Arial"/>
          <w:sz w:val="22"/>
          <w:szCs w:val="22"/>
          <w:u w:val="single" w:color="auto"/>
          <w:color w:val="0000EE"/>
        </w:rPr>
      </w:pPr>
      <w:hyperlink w:anchor="page24">
        <w:r>
          <w:rPr>
            <w:rFonts w:ascii="Arial" w:cs="Arial" w:eastAsia="Arial" w:hAnsi="Arial"/>
            <w:sz w:val="22"/>
            <w:szCs w:val="22"/>
            <w:u w:val="single" w:color="auto"/>
            <w:color w:val="0000EE"/>
          </w:rPr>
          <w:t>SELLING SHAREHOLDERS</w:t>
        </w:r>
      </w:hyperlink>
    </w:p>
    <w:p>
      <w:pPr>
        <w:spacing w:after="0" w:line="231"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PLAN OF DISTRIBUTION</w:t>
        </w:r>
      </w:hyperlink>
    </w:p>
    <w:p>
      <w:pPr>
        <w:spacing w:after="0" w:line="231"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LEGAL MATTERS</w:t>
        </w:r>
      </w:hyperlink>
    </w:p>
    <w:p>
      <w:pPr>
        <w:spacing w:after="0" w:line="230"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EXPERTS</w:t>
        </w:r>
      </w:hyperlink>
    </w:p>
    <w:p>
      <w:pPr>
        <w:spacing w:after="0" w:line="231"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WHERE YOU CAN FIND ADDITIONAL INFORMATION</w:t>
        </w:r>
      </w:hyperlink>
    </w:p>
    <w:p>
      <w:pPr>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EXHIBIT INDEX</w:t>
        </w:r>
      </w:hyperlink>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6340" w:type="dxa"/>
            <w:vAlign w:val="bottom"/>
          </w:tcPr>
          <w:p>
            <w:pPr>
              <w:ind w:left="2740"/>
              <w:spacing w:after="0"/>
              <w:rPr>
                <w:sz w:val="20"/>
                <w:szCs w:val="20"/>
                <w:color w:val="auto"/>
              </w:rPr>
            </w:pPr>
            <w:r>
              <w:rPr>
                <w:rFonts w:ascii="Arial" w:cs="Arial" w:eastAsia="Arial" w:hAnsi="Arial"/>
                <w:sz w:val="18"/>
                <w:szCs w:val="18"/>
                <w:b w:val="1"/>
                <w:bCs w:val="1"/>
                <w:color w:val="auto"/>
              </w:rPr>
              <w:t>Table of Contents</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2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480" w:type="dxa"/>
            <w:vAlign w:val="bottom"/>
          </w:tcPr>
          <w:p>
            <w:pPr>
              <w:jc w:val="right"/>
              <w:ind w:right="14"/>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Marvell Technology Group Ltd.</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Risk Factors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Forward-Looking Statements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Proceeds from the Offering</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Selling Shareholders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Plan of Distribution</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Legal Matters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Experts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Where You Can Find Additional Information</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i w:val="1"/>
          <w:iCs w:val="1"/>
          <w:color w:val="auto"/>
        </w:rPr>
        <w:t>You should read carefully the entire prospectus, as well as the documents incorporated by reference in the prospectus, before making an investment decision. References to “we”, “us”, “our” or Marvell in the prospectus means Marvell Technology Group Ltd. and its subsidiaries, except where it is made clear that the term means only the parent company.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8"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 high-speed networking equipment including Cisco, 3Com Corporation, Foundry Networks, Dell Computer, Intel and NETGEAR.</w:t>
      </w:r>
    </w:p>
    <w:p>
      <w:pPr>
        <w:spacing w:after="0" w:line="199"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Registration Statement on Form 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or the Exchange Act, as soon as reasonably practicable after we electronically file this material with, or furnish it to, the Securities and Exchange Commission, or the SEC.</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Events</w:t>
      </w:r>
    </w:p>
    <w:p>
      <w:pPr>
        <w:spacing w:after="0" w:line="258"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On June 27, 2003, we completed the acquisition of RADLAN Computer Communications Ltd. (“RADLAN”), a leading provider of embedded networking software. RADLAN is now a wholly owned subsidiary of Marvell. The total estimated purchase price was approximately $66.6 million and consisted of $24.0 million of shares of common stock and options to purchase common stock, $22.5 million of cash or 1,162,791 additional shares of common stock depending on the share price of our common stock at a future date as discussed below, $7.5 million of warrants to purchase 543,183 shares of our common stock at an exercise price of $18.41 per share, $2.9 million of vested options assumed, our existing investment in preferred stock of RADLAN of $8.5 million and direct transaction costs of $1.2 million. The value of the common stock and stock options was determined based on the average market price of our common stock over a 5-day period</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around February 6, 2003, the date the share purchase agreement was signed and announced, or $18.26 per share.</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As noted above, under the terms of the share purchase agreement, if the per share price of Marvell common stock is $19.35 or less on the effective date of the registration statement of which this prospectus forms a part, we will be required to pay an additional $22.5 million in cash to the selling shareholders. If such share price is greater than $19.35 per share, we will be required to issue an additional 1,162,791 shares of our common stock. Any difference between the value of our common stock issued and $22.5 million will be accounted for as additional goodwill.</w:t>
      </w:r>
    </w:p>
    <w:p>
      <w:pPr>
        <w:spacing w:after="0" w:line="224"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In addition, we may issue up to an additional 1,023,256 shares of common stock (the “Earn Out Shares”) to the selling shareholders upon achievement of certain performance milestones. Specifically, the Earn Out Shares would be issued at four six-month intervals beginning after the closing date of the acquisition, with the amount of Earn Out Shares issued at each time reflecting completion of the applicable performance milestone in the preceding six-month period. In the event of an acquisition, merger or consolidation of Marvell or events outside RADLAN’s control which materially affect the time, scope or feasibility of certain performance milestones, then the applicable Earn Out Shares will be deemed earned and will be issued at the applicable time. Any Earn Out Shares issued will represent additional purchase price and will be accounted for as additional goodwill.</w:t>
      </w:r>
    </w:p>
    <w:p>
      <w:pPr>
        <w:spacing w:after="0" w:line="201" w:lineRule="exact"/>
        <w:rPr>
          <w:sz w:val="20"/>
          <w:szCs w:val="20"/>
          <w:color w:val="auto"/>
        </w:rPr>
      </w:pPr>
    </w:p>
    <w:p>
      <w:pPr>
        <w:jc w:val="both"/>
        <w:ind w:right="20" w:firstLine="324"/>
        <w:spacing w:after="0" w:line="370" w:lineRule="auto"/>
        <w:rPr>
          <w:sz w:val="20"/>
          <w:szCs w:val="20"/>
          <w:color w:val="auto"/>
        </w:rPr>
      </w:pPr>
      <w:r>
        <w:rPr>
          <w:rFonts w:ascii="Arial" w:cs="Arial" w:eastAsia="Arial" w:hAnsi="Arial"/>
          <w:sz w:val="15"/>
          <w:szCs w:val="15"/>
          <w:color w:val="auto"/>
        </w:rPr>
        <w:t>Our trademarks include: the Marvell name, logo, and the phrase “Moving Forward Faster.” This prospectus also contains brand names, trademarks, or service marks of companies other than Marvell Technology Group Ltd., and these brand names, trademarks and service marks are the property of their respective holders.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200" w:lineRule="exact"/>
        <w:rPr>
          <w:sz w:val="20"/>
          <w:szCs w:val="20"/>
          <w:color w:val="auto"/>
        </w:rPr>
      </w:pPr>
    </w:p>
    <w:p>
      <w:pPr>
        <w:spacing w:after="0" w:line="240"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200" w:lineRule="exact"/>
        <w:rPr>
          <w:sz w:val="20"/>
          <w:szCs w:val="20"/>
          <w:color w:val="auto"/>
        </w:rPr>
      </w:pPr>
    </w:p>
    <w:p>
      <w:pPr>
        <w:spacing w:after="0" w:line="217"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upon the hard disk drive industry, which is highly cyclical and experiences rapid technological change.</w:t>
      </w:r>
    </w:p>
    <w:p>
      <w:pPr>
        <w:spacing w:after="0" w:line="213"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six months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6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its principal offices are located in, the State of Israel and therefore its business operations may be harmed by adverse political, economic and military conditions affecting Israel.</w:t>
      </w:r>
    </w:p>
    <w:p>
      <w:pPr>
        <w:spacing w:after="0" w:line="221"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Each of Marvell Semiconductor Israel Ltd., or MSIL, and RADLAN Computer Communications Ltd., or RADLAN, are incorporated under the laws of and has its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and RADLAN.</w:t>
      </w:r>
    </w:p>
    <w:p>
      <w:pPr>
        <w:spacing w:after="0" w:line="166"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In the first six months of fiscal 2004, approximately 46% of our net revenue was derived from sales to three customers, each of whom individually accounted for 10% or more of our net revenue during this period. Of these customers, Intel accounted for 20%, Samsung accounted for 16%, and Toshiba accounted for 10%.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395" w:lineRule="exact"/>
        <w:rPr>
          <w:sz w:val="20"/>
          <w:szCs w:val="20"/>
          <w:color w:val="auto"/>
        </w:rPr>
      </w:pPr>
    </w:p>
    <w:p>
      <w:pPr>
        <w:ind w:left="460" w:right="240" w:hanging="101"/>
        <w:spacing w:after="0" w:line="268"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52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52" w:lineRule="exact"/>
        <w:rPr>
          <w:sz w:val="20"/>
          <w:szCs w:val="20"/>
          <w:color w:val="auto"/>
        </w:rPr>
      </w:pPr>
    </w:p>
    <w:p>
      <w:pPr>
        <w:ind w:right="200" w:firstLine="324"/>
        <w:spacing w:after="0" w:line="268"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Pursuant to the terms of the share purchase agreement, we issued a</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combination of shares, warrants and stock options to purchase our common stock for the remaining outstanding shares of RADLAN capital stock and employee stock options.</w:t>
      </w:r>
    </w:p>
    <w:p>
      <w:pPr>
        <w:spacing w:after="0" w:line="213"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0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20"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12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8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1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15" w:lineRule="exact"/>
        <w:rPr>
          <w:sz w:val="20"/>
          <w:szCs w:val="20"/>
          <w:color w:val="auto"/>
        </w:rPr>
      </w:pPr>
    </w:p>
    <w:p>
      <w:pPr>
        <w:ind w:left="360" w:right="10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16"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59" w:lineRule="exact"/>
        <w:rPr>
          <w:sz w:val="20"/>
          <w:szCs w:val="20"/>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215" w:lineRule="exact"/>
        <w:rPr>
          <w:sz w:val="20"/>
          <w:szCs w:val="20"/>
          <w:color w:val="auto"/>
        </w:rPr>
      </w:pPr>
    </w:p>
    <w:p>
      <w:pPr>
        <w:ind w:left="360" w:right="36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580" w:firstLine="324"/>
        <w:spacing w:after="0" w:line="268" w:lineRule="auto"/>
        <w:rPr>
          <w:sz w:val="20"/>
          <w:szCs w:val="20"/>
          <w:color w:val="auto"/>
        </w:rPr>
      </w:pPr>
      <w:r>
        <w:rPr>
          <w:rFonts w:ascii="Arial" w:cs="Arial" w:eastAsia="Arial" w:hAnsi="Arial"/>
          <w:sz w:val="18"/>
          <w:szCs w:val="18"/>
          <w:color w:val="auto"/>
        </w:rPr>
        <w:t>Highly complex products such as the products that we offer frequently contain defects and bugs when they are first introduced or as new versions are released. We have in the past experienced, and may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4" w:lineRule="exact"/>
        <w:rPr>
          <w:sz w:val="20"/>
          <w:szCs w:val="20"/>
          <w:color w:val="auto"/>
        </w:rPr>
      </w:pPr>
    </w:p>
    <w:p>
      <w:pPr>
        <w:ind w:left="360" w:right="1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200" w:lineRule="exact"/>
        <w:rPr>
          <w:sz w:val="20"/>
          <w:szCs w:val="20"/>
          <w:color w:val="auto"/>
        </w:rPr>
      </w:pPr>
    </w:p>
    <w:p>
      <w:pPr>
        <w:spacing w:after="0" w:line="220" w:lineRule="exact"/>
        <w:rPr>
          <w:sz w:val="20"/>
          <w:szCs w:val="20"/>
          <w:color w:val="auto"/>
        </w:rPr>
      </w:pPr>
    </w:p>
    <w:p>
      <w:pPr>
        <w:ind w:left="360" w:right="38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We may not be successful in attracting and retaining sufficient numbers of technical personnel to support our anticipated growth.</w:t>
      </w:r>
    </w:p>
    <w:p>
      <w:pPr>
        <w:spacing w:after="0" w:line="252" w:lineRule="exact"/>
        <w:rPr>
          <w:sz w:val="20"/>
          <w:szCs w:val="20"/>
          <w:color w:val="auto"/>
        </w:rPr>
      </w:pPr>
    </w:p>
    <w:p>
      <w:pPr>
        <w:jc w:val="both"/>
        <w:ind w:left="360" w:right="8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As of August 31, 2003, our executive officers and directors beneficially owned or controlled, directly or indirectly, approximately 31% of the outstanding shares our common stock. Additionally, Sehat Sutardja and Weili Dai are husband and wife and Sehat Sutardja and Pantas Sutardja are brothers. All three are directors and together they held approximately 27% of our outstanding common stock as of August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In May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40" w:lineRule="exact"/>
        <w:rPr>
          <w:sz w:val="20"/>
          <w:szCs w:val="20"/>
          <w:color w:val="auto"/>
        </w:rPr>
      </w:pPr>
    </w:p>
    <w:p>
      <w:pPr>
        <w:ind w:left="360" w:right="8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360" w:firstLine="324"/>
        <w:spacing w:after="0" w:line="268"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the first six months of fiscal 2004, and represented 87% and 83% of our net revenue in fiscal 2003 and 2002, respectively.</w:t>
      </w:r>
    </w:p>
    <w:p>
      <w:pPr>
        <w:spacing w:after="0" w:line="224" w:lineRule="exact"/>
        <w:rPr>
          <w:sz w:val="20"/>
          <w:szCs w:val="20"/>
          <w:color w:val="auto"/>
        </w:rPr>
      </w:pPr>
    </w:p>
    <w:p>
      <w:pPr>
        <w:ind w:right="56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66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rise or spread to other areas, our international sales and operations could be harmed.</w:t>
      </w:r>
    </w:p>
    <w:p>
      <w:pPr>
        <w:spacing w:after="0" w:line="221"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24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to shift our manufacturing, assembling or testing from the affected contractor to another third-party vendor. We may not be able to obtain alternate capacity on favorable terms, if at all.</w:t>
      </w:r>
    </w:p>
    <w:p>
      <w:pPr>
        <w:spacing w:after="0" w:line="213" w:lineRule="exact"/>
        <w:rPr>
          <w:sz w:val="20"/>
          <w:szCs w:val="20"/>
          <w:color w:val="auto"/>
        </w:rPr>
      </w:pPr>
    </w:p>
    <w:p>
      <w:pPr>
        <w:ind w:left="360" w:right="5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32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6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4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4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00" w:lineRule="exact"/>
        <w:rPr>
          <w:sz w:val="20"/>
          <w:szCs w:val="20"/>
          <w:color w:val="auto"/>
        </w:rPr>
      </w:pPr>
    </w:p>
    <w:p>
      <w:pPr>
        <w:spacing w:after="0" w:line="25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95"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0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2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213"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2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August 31, 2003, we had 126,802,575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8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58"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This prospectus, including the documents that are and will be incorporated by reference into this prospectus, contains forward-looking statements within the “safe harbor” provisions of the Private Securities and Litigation Reform Act of 1995 with respect to our plans, expectations, estimates and beliefs. Words such as “anticipates,” “expects,” “estimates,” “intends,” “plans,” and similar expressions or the negative of such terms are intended to identify forward-looking statements. These forward-looking statements are not guarantees of future performance and are subject to risks and uncertainties that could cause actual results to differ materially from the results contemplated by the forward-looking statements. Factors that could cause actual results to differ materially from those predicted, include but are not limited to, those discussed under “Risk Factors” and as detailed from time to time in our annual and quarterly reports we file with the Securities and Exchange Commission. These forward-looking statements speak only as of the date hereof. We expressly disclaim any obligation or undertaking to release publicly any updates or revisions to any forward-looking statements contained herein to reflect any change in our expectations with regard thereto or any change in events, conditions or circumstances on which any such statement is based.</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PROCEEDS FROM THE OFFERING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will not receive any proceeds from the sale of the shares by the selling shareholders. All proceeds from the sale of the shares will be for the account of the selling shareholders, as described below. See “Selling Shareholders” and “Plan of Distribution.”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58"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The following table sets forth information as of August 15, 2003 regarding the beneficial ownership of common stock by each of the selling shareholders and the shares being offered by the selling shareholders. The shares are being registered to permit the resale from time to time by the selling shareholders. Information with respect to beneficial ownership is based upon information provided from or on behalf of the selling shareholders. Unless otherwise indicated, the persons and entities named in the table have sole voting and sole investment power with respect to all shares beneficially owned, subject to community property laws, where applicable. Based on information provided by the selling shareholders, none of the selling shareholders is a broker-dealer and one of the selling shareholders, UBS Capital (Jersey) Ltd., is an affiliate of a broker-dealer. UBS Capital (Jersey) Ltd. acquired the shares in the ordinary course of business and at the time of the receipt of such shares, it had no agreements or understandings, directly or indirectly, with any person to distribute them.</w:t>
      </w:r>
    </w:p>
    <w:p>
      <w:pPr>
        <w:spacing w:after="0" w:line="199"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color w:val="auto"/>
        </w:rPr>
        <w:t>The number of shares that may be actually sold by any selling shareholder will be determined by the selling shareholder. Because the selling shareholders may sell all, some or none of the shares of common stock which they hold, no estimate can be given as to the number of shares of common stock that will be held by the selling shareholders upon termination of the offering. Information with respect to shares owned beneficially after the offering assumes the sale of all of the shares offered and no other purchases or sales of common stock. None of the share amounts set forth below represents more than 1% of our outstanding stock as of August 15, 2003, calculated under the rules promulgated by the SEC.</w:t>
      </w:r>
    </w:p>
    <w:p>
      <w:pPr>
        <w:spacing w:after="0" w:line="197" w:lineRule="exact"/>
        <w:rPr>
          <w:sz w:val="20"/>
          <w:szCs w:val="20"/>
          <w:color w:val="auto"/>
        </w:rPr>
      </w:pPr>
    </w:p>
    <w:p>
      <w:pPr>
        <w:ind w:right="80" w:firstLine="324"/>
        <w:spacing w:after="0" w:line="286" w:lineRule="auto"/>
        <w:rPr>
          <w:sz w:val="20"/>
          <w:szCs w:val="20"/>
          <w:color w:val="auto"/>
        </w:rPr>
      </w:pPr>
      <w:r>
        <w:rPr>
          <w:rFonts w:ascii="Arial" w:cs="Arial" w:eastAsia="Arial" w:hAnsi="Arial"/>
          <w:sz w:val="16"/>
          <w:szCs w:val="16"/>
          <w:color w:val="auto"/>
        </w:rPr>
        <w:t>The shares being offered by the selling shareholders were acquired in connection with our acquisition of RADLAN in June 2003, and include up to 483,232 shares issuable upon the exercise of warrants that we issued as part of the consideration in the acquisition and up to 1,023,256 shares that we may issue upon the attainment of certain performance milestones set forth in the share purchase agreement between RADLAN and us. In addition, under the terms of the share purchase agreement, we will be required to issue either an additional 1,162,791 shares of our common stock or $22.5 million in cash to the selling shareholders depending on the share price of Marvell common stock on the effective date of the registration statement of which this prospectus is a part. The number of shares in the table below assume the attainment of the performance milestones and the issuance of the additional shares rather than cash. The actual number of shares that may be issued depends on whether those milestones and share price targets are, in fact, met and, accordingly, the number of shares listed in the table to be sold by each selling shareholder will be subject to change. Further, the selling shareholders listed in the table below may have sold or transferred, in transactions exempt from the registration requirements of the Securities Act, some or all of their shares of common stock since the date on which the information in the table is presented, and information concerning the selling shareholders may change from time to time. Any changed information will be set forth in supplements or amendments to this prospectus if and when necessary.</w:t>
      </w:r>
    </w:p>
    <w:p>
      <w:pPr>
        <w:spacing w:after="0" w:line="208" w:lineRule="exact"/>
        <w:rPr>
          <w:sz w:val="20"/>
          <w:szCs w:val="20"/>
          <w:color w:val="auto"/>
        </w:rPr>
      </w:pPr>
    </w:p>
    <w:p>
      <w:pPr>
        <w:ind w:right="40" w:firstLine="324"/>
        <w:spacing w:after="0" w:line="306" w:lineRule="auto"/>
        <w:rPr>
          <w:sz w:val="20"/>
          <w:szCs w:val="20"/>
          <w:color w:val="auto"/>
        </w:rPr>
      </w:pPr>
      <w:r>
        <w:rPr>
          <w:rFonts w:ascii="Arial" w:cs="Arial" w:eastAsia="Arial" w:hAnsi="Arial"/>
          <w:sz w:val="16"/>
          <w:szCs w:val="16"/>
          <w:color w:val="auto"/>
        </w:rPr>
        <w:t>The registration statement of which this prospectus is a part is being filed pursuant to the terms of a registration rights agreement among Marvell and the RADLAN shareholders that was entered into in connection with the RADLAN acquisition. Subject to the terms of the agreement, we agreed to register the shares under the Securities Act for resale to the public and to cause the registration statement to be kept effective until:</w:t>
      </w:r>
    </w:p>
    <w:p>
      <w:pPr>
        <w:spacing w:after="0" w:line="161"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two years from the effective date of the registration statement,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such shorter time as all the shares offered by this prospectus have been sold.</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400" w:type="dxa"/>
            <w:vAlign w:val="bottom"/>
          </w:tcPr>
          <w:p>
            <w:pPr>
              <w:ind w:left="160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r>
      <w:tr>
        <w:trPr>
          <w:trHeight w:val="95"/>
        </w:trPr>
        <w:tc>
          <w:tcPr>
            <w:tcW w:w="44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r>
      <w:tr>
        <w:trPr>
          <w:trHeight w:val="309"/>
        </w:trPr>
        <w:tc>
          <w:tcPr>
            <w:tcW w:w="4400" w:type="dxa"/>
            <w:vAlign w:val="bottom"/>
          </w:tcPr>
          <w:p>
            <w:pPr>
              <w:spacing w:after="0"/>
              <w:rPr>
                <w:sz w:val="20"/>
                <w:szCs w:val="20"/>
                <w:color w:val="auto"/>
              </w:rPr>
            </w:pPr>
            <w:r>
              <w:rPr>
                <w:rFonts w:ascii="Arial" w:cs="Arial" w:eastAsia="Arial" w:hAnsi="Arial"/>
                <w:sz w:val="18"/>
                <w:szCs w:val="18"/>
                <w:color w:val="auto"/>
              </w:rPr>
              <w:t>Yehuda Zisapel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665,747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665,747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Carm-Ad Ltd.(1)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90,663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90,663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Zohar Zisapel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114,510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114,510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Lomsha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40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18</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228"/>
        </w:trPr>
        <w:tc>
          <w:tcPr>
            <w:tcW w:w="44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400" w:type="dxa"/>
            <w:vAlign w:val="bottom"/>
          </w:tcPr>
          <w:p>
            <w:pPr>
              <w:ind w:left="160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r>
      <w:tr>
        <w:trPr>
          <w:trHeight w:val="95"/>
        </w:trPr>
        <w:tc>
          <w:tcPr>
            <w:tcW w:w="44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r>
      <w:tr>
        <w:trPr>
          <w:trHeight w:val="309"/>
        </w:trPr>
        <w:tc>
          <w:tcPr>
            <w:tcW w:w="4400" w:type="dxa"/>
            <w:vAlign w:val="bottom"/>
          </w:tcPr>
          <w:p>
            <w:pPr>
              <w:spacing w:after="0"/>
              <w:rPr>
                <w:sz w:val="20"/>
                <w:szCs w:val="20"/>
                <w:color w:val="auto"/>
              </w:rPr>
            </w:pPr>
            <w:r>
              <w:rPr>
                <w:rFonts w:ascii="Arial" w:cs="Arial" w:eastAsia="Arial" w:hAnsi="Arial"/>
                <w:sz w:val="18"/>
                <w:szCs w:val="18"/>
                <w:color w:val="auto"/>
              </w:rPr>
              <w:t>Michael and Klil Holdings (93)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Yossi Elihav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34,204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34,204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Bynet Data Communications Ltd. (Trust)(1)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64,175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64,175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RAD Data Communications Ltd. (Trust)(3)</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69,193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69,193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Formula Ventures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176,459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176,459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FV PEH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47,482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47,482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Formula Ventures (Israel)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55,800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55,800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UBS Capital (Jersey) Ltd.(5)</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168,626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168,626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w w:val="93"/>
              </w:rPr>
              <w:t>HarbourVest International Private Equity Partners III Direct</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ind w:left="140"/>
              <w:spacing w:after="0"/>
              <w:rPr>
                <w:sz w:val="20"/>
                <w:szCs w:val="20"/>
                <w:color w:val="auto"/>
              </w:rPr>
            </w:pPr>
            <w:r>
              <w:rPr>
                <w:rFonts w:ascii="Arial" w:cs="Arial" w:eastAsia="Arial" w:hAnsi="Arial"/>
                <w:sz w:val="18"/>
                <w:szCs w:val="18"/>
                <w:color w:val="auto"/>
              </w:rPr>
              <w:t>Fund LP(6)</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432,910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432,910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Accton Network (BVI) Co., Ltd.(7)</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106,831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106,831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BCS Growth Fund (Israel) L.P.(8)</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Sub)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312,482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312,482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Sub) Non Q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28,886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28,886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JP Morgan Fund III (Israel)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91,249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91,249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(Israeli Investors)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85,178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85,178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Venture Capital Fund III Trusts 2000 Ltd.(9)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22,034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22,034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Pitango Principals Fund III (Israel)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11,017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11,017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Shrem Fudim Kelner &amp; Co. Ltd.(10)</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Shrem Fudim Kelner (Founders Group) LP(11)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Canada Israel Opportunity Fund III LP(12)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Danrok Holdings Ltd.(13)</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August Capital III LP(14)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562,083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562,083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Applied Micro Circuits Corporation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Zohar Gilon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Yair Tauman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10,631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10,631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Dalia Lev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2,531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2,531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Livi Apel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5,061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5,061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w w:val="97"/>
              </w:rPr>
              <w:t>Amos and Daughter Investments and Properties Ltd.(15)</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7,087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7,087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Hanigal Investments (1997) Ltd.(16)</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10,125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10,125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Shay Kamin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545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545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Jacob Zankel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132,858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132,858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Orly Moran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Naftali Tannin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1,804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1,804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Barak Henig</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Hannan Uliel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840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840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Hadar Tal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Luo Xuefeng</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1,572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1,572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Ilan Kieselstein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3,898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3,898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40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19</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r>
      <w:tr>
        <w:trPr>
          <w:trHeight w:val="228"/>
        </w:trPr>
        <w:tc>
          <w:tcPr>
            <w:tcW w:w="44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20" w:type="dxa"/>
            <w:vAlign w:val="bottom"/>
          </w:tcPr>
          <w:p>
            <w:pPr>
              <w:spacing w:after="0"/>
              <w:rPr>
                <w:sz w:val="12"/>
                <w:szCs w:val="12"/>
                <w:color w:val="auto"/>
              </w:rPr>
            </w:pPr>
          </w:p>
        </w:tc>
        <w:tc>
          <w:tcPr>
            <w:tcW w:w="1840" w:type="dxa"/>
            <w:vAlign w:val="bottom"/>
          </w:tcPr>
          <w:p>
            <w:pPr>
              <w:jc w:val="right"/>
              <w:ind w:right="31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r>
      <w:tr>
        <w:trPr>
          <w:trHeight w:val="174"/>
        </w:trPr>
        <w:tc>
          <w:tcPr>
            <w:tcW w:w="4580" w:type="dxa"/>
            <w:vAlign w:val="bottom"/>
          </w:tcPr>
          <w:p>
            <w:pPr>
              <w:ind w:left="170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20" w:type="dxa"/>
            <w:vAlign w:val="bottom"/>
          </w:tcPr>
          <w:p>
            <w:pPr>
              <w:spacing w:after="0"/>
              <w:rPr>
                <w:sz w:val="15"/>
                <w:szCs w:val="15"/>
                <w:color w:val="auto"/>
              </w:rPr>
            </w:pPr>
          </w:p>
        </w:tc>
        <w:tc>
          <w:tcPr>
            <w:tcW w:w="1840" w:type="dxa"/>
            <w:vAlign w:val="bottom"/>
          </w:tcPr>
          <w:p>
            <w:pPr>
              <w:jc w:val="right"/>
              <w:ind w:right="43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r>
      <w:tr>
        <w:trPr>
          <w:trHeight w:val="309"/>
        </w:trPr>
        <w:tc>
          <w:tcPr>
            <w:tcW w:w="4580" w:type="dxa"/>
            <w:vAlign w:val="bottom"/>
          </w:tcPr>
          <w:p>
            <w:pPr>
              <w:spacing w:after="0"/>
              <w:rPr>
                <w:sz w:val="20"/>
                <w:szCs w:val="20"/>
                <w:color w:val="auto"/>
              </w:rPr>
            </w:pPr>
            <w:r>
              <w:rPr>
                <w:rFonts w:ascii="Arial" w:cs="Arial" w:eastAsia="Arial" w:hAnsi="Arial"/>
                <w:sz w:val="18"/>
                <w:szCs w:val="18"/>
                <w:color w:val="auto"/>
              </w:rPr>
              <w:t>Ezra Ram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780</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780</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 Burman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Alexander Chuzhoy</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 Thanski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557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557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Alexander Lifshits</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Alon Harel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1,007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1,007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Amit Karten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754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754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Ariel Ein Mor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Avi Shif</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Eyal Kosovski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Benzion Elyashar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Danny Sborovsky</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Doron Rozental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581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581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Emanuel Reyzer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Eyal Hilel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Gad Ever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Gadi Eizenberg</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Gil Shevach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1,025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1,025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Gil Raz</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Ilan Finkelstein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Ilan Elmaliah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Irit Eilon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Ovadia Itzik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Ithak Chen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Yitshak Goldbum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547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547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Yekaterina Linker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331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331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Kfir Gerti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Cfir Maimon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613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613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Anat Koren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1,263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1,263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Leonid Guberman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Liav Leshem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Lior Avitan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Lior Ronen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Lubov Braverman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Michael Shvarsland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Michael Rachamim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Moshe Yechezkael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Nachum Vilner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Noam Shaked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Octavia Pichl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Or Grushka</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16"/>
        </w:trPr>
        <w:tc>
          <w:tcPr>
            <w:tcW w:w="4580" w:type="dxa"/>
            <w:vAlign w:val="bottom"/>
          </w:tcPr>
          <w:p>
            <w:pPr>
              <w:spacing w:after="0"/>
              <w:rPr>
                <w:sz w:val="20"/>
                <w:szCs w:val="20"/>
                <w:color w:val="auto"/>
              </w:rPr>
            </w:pPr>
            <w:r>
              <w:rPr>
                <w:rFonts w:ascii="Arial" w:cs="Arial" w:eastAsia="Arial" w:hAnsi="Arial"/>
                <w:sz w:val="18"/>
                <w:szCs w:val="18"/>
                <w:color w:val="auto"/>
              </w:rPr>
              <w:t>Revital Malka</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692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692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222"/>
        </w:trPr>
        <w:tc>
          <w:tcPr>
            <w:tcW w:w="4580" w:type="dxa"/>
            <w:vAlign w:val="bottom"/>
          </w:tcPr>
          <w:p>
            <w:pPr>
              <w:spacing w:after="0"/>
              <w:rPr>
                <w:sz w:val="20"/>
                <w:szCs w:val="20"/>
                <w:color w:val="auto"/>
              </w:rPr>
            </w:pPr>
            <w:r>
              <w:rPr>
                <w:rFonts w:ascii="Arial" w:cs="Arial" w:eastAsia="Arial" w:hAnsi="Arial"/>
                <w:sz w:val="18"/>
                <w:szCs w:val="18"/>
                <w:color w:val="auto"/>
              </w:rPr>
              <w:t>Roman Kleinerman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742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r>
      <w:tr>
        <w:trPr>
          <w:trHeight w:val="432"/>
        </w:trPr>
        <w:tc>
          <w:tcPr>
            <w:tcW w:w="4580" w:type="dxa"/>
            <w:vAlign w:val="bottom"/>
          </w:tcPr>
          <w:p>
            <w:pPr>
              <w:spacing w:after="0"/>
              <w:rPr>
                <w:sz w:val="24"/>
                <w:szCs w:val="24"/>
                <w:color w:val="auto"/>
              </w:rPr>
            </w:pPr>
          </w:p>
        </w:tc>
        <w:tc>
          <w:tcPr>
            <w:tcW w:w="2460" w:type="dxa"/>
            <w:vAlign w:val="bottom"/>
            <w:gridSpan w:val="2"/>
          </w:tcPr>
          <w:p>
            <w:pPr>
              <w:jc w:val="right"/>
              <w:ind w:right="1172"/>
              <w:spacing w:after="0"/>
              <w:rPr>
                <w:sz w:val="20"/>
                <w:szCs w:val="20"/>
                <w:color w:val="auto"/>
              </w:rPr>
            </w:pPr>
            <w:r>
              <w:rPr>
                <w:rFonts w:ascii="Arial" w:cs="Arial" w:eastAsia="Arial" w:hAnsi="Arial"/>
                <w:sz w:val="18"/>
                <w:szCs w:val="18"/>
                <w:color w:val="auto"/>
              </w:rPr>
              <w:t>20</w:t>
            </w: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00" w:type="dxa"/>
            <w:vAlign w:val="bottom"/>
          </w:tcPr>
          <w:p>
            <w:pPr>
              <w:spacing w:after="0"/>
              <w:rPr>
                <w:sz w:val="24"/>
                <w:szCs w:val="24"/>
                <w:color w:val="auto"/>
              </w:rPr>
            </w:pPr>
          </w:p>
        </w:tc>
      </w:tr>
      <w:tr>
        <w:trPr>
          <w:trHeight w:val="228"/>
        </w:trPr>
        <w:tc>
          <w:tcPr>
            <w:tcW w:w="45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Ron Auster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Sveta Gorelik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548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548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Sharon Meir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Shiri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Lili Segev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 Shiff</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Tamar Ilani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Matty Toker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1,451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1,451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Vadim Timakov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Victor Ryabchin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Yakov Treister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Yevgeny Yanovsky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Yedidia Falk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732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732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Yehiel Reeb</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Judith Huller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Yehonatan Maidenberg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Yuval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Zach Marco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Alex Mikunis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Boaz Kahana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Galit Volpert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3,309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3,309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Indenbaum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27,914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27,914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Meir Gersi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Moshe Arad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3,541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3,541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Moshe Shaul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Mordechai Avni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Oleg Pinchuk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3,205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3,205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Tausi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4,142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4,142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Redman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5,880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5,880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Vitaly Vovnoboy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Vladimir Avanessian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3,487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3,487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Udi Yehezkel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4,207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4,207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Aharon Gadot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Amnon Even Zohar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Avrahami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773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773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 Elia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Boris Shehter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Ofir Gal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1,135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1,135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Galit Efraty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Gil Siso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1,954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1,954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Giora Kaplinski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Robert Goldschlager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3,884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3,884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Gai Nachum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50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21</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228"/>
        </w:trPr>
        <w:tc>
          <w:tcPr>
            <w:tcW w:w="4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Igor Miroshnik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595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595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Bogachek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1,856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1,856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Natan Lugasi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Nathan Iarovich</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1,622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1,622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Ofer Rashuk-Rosenthal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Oren Viner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Ori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2,453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2,453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Omer Radin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3,067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3,067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Ran Dar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Shay Zuker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Shlomo Pongratz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Yair Golan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1,202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1,202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Evgeni Zetserov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2,072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2,072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Adi Kachal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Amos Melnikov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Ariel Gilman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Eldad Winkler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Eran Zwilling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Nimrod Stern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Ronen Cojocaru</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Tsahi Bronshter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Nir Yona Richtiger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Gadi Hutt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Amos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Omer Lado</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Alex Dverin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Doron Nevipur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Avi Goldberg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Tal-Sarit Zubakov-Cohen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Gil Osovsky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Jehudit Shimoni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Gali Darei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Yaniv Inbar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Hanoch Raviv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1,911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1,911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Shelly Aks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1,233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1,233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Tally Kaplan Porat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1,034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1,034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Amnon Ptashek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6,174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6,174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Ronny Shalev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4,950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4,950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Francis Petersen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6,089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6,089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Wayne Lieberman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23,325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23,325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Michael Zimmerman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933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933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Zion Benodis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1,885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1,885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432"/>
        </w:trPr>
        <w:tc>
          <w:tcPr>
            <w:tcW w:w="450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22</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228"/>
        </w:trPr>
        <w:tc>
          <w:tcPr>
            <w:tcW w:w="45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r>
      <w:tr>
        <w:trPr>
          <w:trHeight w:val="149"/>
        </w:trPr>
        <w:tc>
          <w:tcPr>
            <w:tcW w:w="4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r>
      <w:tr>
        <w:trPr>
          <w:trHeight w:val="174"/>
        </w:trPr>
        <w:tc>
          <w:tcPr>
            <w:tcW w:w="4500" w:type="dxa"/>
            <w:vAlign w:val="bottom"/>
          </w:tcPr>
          <w:p>
            <w:pPr>
              <w:ind w:left="166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r>
      <w:tr>
        <w:trPr>
          <w:trHeight w:val="95"/>
        </w:trPr>
        <w:tc>
          <w:tcPr>
            <w:tcW w:w="4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r>
      <w:tr>
        <w:trPr>
          <w:trHeight w:val="309"/>
        </w:trPr>
        <w:tc>
          <w:tcPr>
            <w:tcW w:w="4500" w:type="dxa"/>
            <w:vAlign w:val="bottom"/>
          </w:tcPr>
          <w:p>
            <w:pPr>
              <w:spacing w:after="0"/>
              <w:rPr>
                <w:sz w:val="20"/>
                <w:szCs w:val="20"/>
                <w:color w:val="auto"/>
              </w:rPr>
            </w:pPr>
            <w:r>
              <w:rPr>
                <w:rFonts w:ascii="Arial" w:cs="Arial" w:eastAsia="Arial" w:hAnsi="Arial"/>
                <w:sz w:val="18"/>
                <w:szCs w:val="18"/>
                <w:color w:val="auto"/>
              </w:rPr>
              <w:t>Michael Orr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5,265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5,265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Yaron Shachal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7,545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7,545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Tal Anker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6,238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6,238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Errol Brodie</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Ilan Hagai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Ilan Yerushalmi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Izhack Gavra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Maria Khlud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859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859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Anna Marie Black-Shoshan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Amy Fredj</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Amit Paz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Rina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Lizy Delaricha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Anat Berlin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Arkady Katz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35,092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35,092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Yuval Cohen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39,502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39,502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Emi Scliar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5,106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5,106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Eli Fux</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35,244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35,244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Simcha Gutgold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21,463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21,463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Udi Abramovich</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16"/>
        </w:trPr>
        <w:tc>
          <w:tcPr>
            <w:tcW w:w="4500" w:type="dxa"/>
            <w:vAlign w:val="bottom"/>
          </w:tcPr>
          <w:p>
            <w:pPr>
              <w:spacing w:after="0"/>
              <w:rPr>
                <w:sz w:val="20"/>
                <w:szCs w:val="20"/>
                <w:color w:val="auto"/>
              </w:rPr>
            </w:pPr>
            <w:r>
              <w:rPr>
                <w:rFonts w:ascii="Arial" w:cs="Arial" w:eastAsia="Arial" w:hAnsi="Arial"/>
                <w:sz w:val="18"/>
                <w:szCs w:val="18"/>
                <w:color w:val="auto"/>
              </w:rPr>
              <w:t>Yoram Valent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31,661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31,661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r>
        <w:trPr>
          <w:trHeight w:val="222"/>
        </w:trPr>
        <w:tc>
          <w:tcPr>
            <w:tcW w:w="4500" w:type="dxa"/>
            <w:vAlign w:val="bottom"/>
          </w:tcPr>
          <w:p>
            <w:pPr>
              <w:spacing w:after="0"/>
              <w:rPr>
                <w:sz w:val="20"/>
                <w:szCs w:val="20"/>
                <w:color w:val="auto"/>
              </w:rPr>
            </w:pPr>
            <w:r>
              <w:rPr>
                <w:rFonts w:ascii="Arial" w:cs="Arial" w:eastAsia="Arial" w:hAnsi="Arial"/>
                <w:sz w:val="18"/>
                <w:szCs w:val="18"/>
                <w:color w:val="auto"/>
              </w:rPr>
              <w:t>Yossi Amir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9,764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9,764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Zohar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and Zohar Zisapel share voting and dispositive power with respect to the listed shares.</w:t>
      </w:r>
    </w:p>
    <w:p>
      <w:pPr>
        <w:spacing w:after="0" w:line="279" w:lineRule="exact"/>
        <w:rPr>
          <w:rFonts w:ascii="Arial" w:cs="Arial" w:eastAsia="Arial" w:hAnsi="Arial"/>
          <w:sz w:val="18"/>
          <w:szCs w:val="18"/>
          <w:color w:val="auto"/>
        </w:rPr>
      </w:pPr>
    </w:p>
    <w:p>
      <w:pPr>
        <w:ind w:left="580" w:right="8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Formula Ventures L.P., Formula Ventures (Israel) L.P. and FV-PEH L.P. are part of an affiliated group of investment entities, “Formula Ventures,” managed by Formula Ventures Ltd. and Formula Ventures Partners (Cayman Islands) Ltd. which are the beneficial owners. Michael Geiger, Yigal Erlich, Shai Beilis, Dan Goldstein and Nir Linchevski possess the voting and dispositive power with respect to the listed shares.</w:t>
      </w:r>
    </w:p>
    <w:p>
      <w:pPr>
        <w:spacing w:after="0" w:line="187" w:lineRule="exact"/>
        <w:rPr>
          <w:rFonts w:ascii="Arial" w:cs="Arial" w:eastAsia="Arial" w:hAnsi="Arial"/>
          <w:sz w:val="16"/>
          <w:szCs w:val="16"/>
          <w:color w:val="auto"/>
        </w:rPr>
      </w:pPr>
    </w:p>
    <w:p>
      <w:pPr>
        <w:ind w:left="580" w:right="300" w:hanging="450"/>
        <w:spacing w:after="0" w:line="332"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UBS Capital (Jersey) Ltd. is wholly owned by UBS AG which is the beneficial owner. The directors of UBS Capital (Jersey) Ltd., Johann Baerlocher, Derek Crane, David Hall, Flavio Muller, Alan Ross and Derek Smith, possess the voting and dispositive power with respect to the listed shares.</w:t>
      </w:r>
    </w:p>
    <w:p>
      <w:pPr>
        <w:spacing w:after="0" w:line="166" w:lineRule="exact"/>
        <w:rPr>
          <w:rFonts w:ascii="Arial" w:cs="Arial" w:eastAsia="Arial" w:hAnsi="Arial"/>
          <w:sz w:val="16"/>
          <w:szCs w:val="16"/>
          <w:color w:val="auto"/>
        </w:rPr>
      </w:pPr>
    </w:p>
    <w:p>
      <w:pPr>
        <w:ind w:left="580" w:right="34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HIPEP III — Direct Associates LLC is the General Partner of HarbourVest International Private Equity Partners III — Direct Fund L.P. HIPEP III — Direct Associates LLC is managed by HarbourVest Partners, LLC. The Managing Members of HarbourVest Partners, LLC are Edward W. Kane and D. Brooks Zug who possess the voting and dispositive power with respect to the listed shares.</w:t>
      </w:r>
    </w:p>
    <w:p>
      <w:pPr>
        <w:spacing w:after="0" w:line="187" w:lineRule="exact"/>
        <w:rPr>
          <w:rFonts w:ascii="Arial" w:cs="Arial" w:eastAsia="Arial" w:hAnsi="Arial"/>
          <w:sz w:val="16"/>
          <w:szCs w:val="16"/>
          <w:color w:val="auto"/>
        </w:rPr>
      </w:pPr>
    </w:p>
    <w:p>
      <w:pPr>
        <w:ind w:left="580" w:right="48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Accton Network (B.V.I.) Co. Ltd. is the beneficial owner. Yimin Doo, Fai-Long Kuo and An-Jye Huang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4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BCS Investment Company is the beneficial owner and along with its directors Benny Bergman, Itschak Shrem, Ram Caspi and Itschak Swary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40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Pitango V.C. Fund III GP is the general partner and beneficial owner of Pitango Venture Capital Fund III (Israeli Sub) L.P., Pintango Venture Capital Fund III (Israeli Sub) Non Q L.P., Pitango</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right="100"/>
        <w:spacing w:after="0" w:line="256" w:lineRule="auto"/>
        <w:rPr>
          <w:sz w:val="20"/>
          <w:szCs w:val="20"/>
          <w:color w:val="auto"/>
        </w:rPr>
      </w:pPr>
      <w:r>
        <w:rPr>
          <w:rFonts w:ascii="Arial" w:cs="Arial" w:eastAsia="Arial" w:hAnsi="Arial"/>
          <w:sz w:val="18"/>
          <w:szCs w:val="18"/>
          <w:color w:val="auto"/>
        </w:rPr>
        <w:t>Venture Capital Fund III (Israeli Investors) L.P., Pitango JP Morgan Fund III (Israel) L.P., Pitango Venture Capital Fund III Trusts 2000 Ltd. and Pitango Principals Fund III (Israel) L.P. The partners of the General Partner are various companies, including companies each of which are solely owned by one of the following: Rami Beracha, Bruce Cocker, Isaac Hillel, Rami Kalish, Aaron Mankovski and Chemi Peres (the “Principals”). All of the Principals possess the voting and dispositive power with respect to the listed shares.</w:t>
      </w:r>
    </w:p>
    <w:p>
      <w:pPr>
        <w:spacing w:after="0" w:line="197" w:lineRule="exact"/>
        <w:rPr>
          <w:sz w:val="20"/>
          <w:szCs w:val="20"/>
          <w:color w:val="auto"/>
        </w:rPr>
      </w:pPr>
    </w:p>
    <w:p>
      <w:pPr>
        <w:ind w:left="580" w:right="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&amp; Co. Ltd is the beneficial owner. The Board of Directors including Itschak Shrem, Yair Fudim, Rubin Zimmerman, Avraham Podhorzer, Ruth Amit-Fogel, Avner Cohen, Ronit Haimovitz and Elishva Milo possess the voting and dispositive power with respect to the listed shares.</w:t>
      </w:r>
    </w:p>
    <w:p>
      <w:pPr>
        <w:spacing w:after="0" w:line="166" w:lineRule="exact"/>
        <w:rPr>
          <w:rFonts w:ascii="Arial" w:cs="Arial" w:eastAsia="Arial" w:hAnsi="Arial"/>
          <w:sz w:val="16"/>
          <w:szCs w:val="16"/>
          <w:color w:val="auto"/>
        </w:rPr>
      </w:pPr>
    </w:p>
    <w:p>
      <w:pPr>
        <w:ind w:left="580" w:right="30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 Founders Group II Ltd is the General Partner and beneficial owner of Shrem Fudim Kelner (Founders Group) LP and along with its directors, Yair Fudim and Itschak Shrem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3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Israel Opportunity III Inc. is the General Partner and beneficial owner of Canada Israel Opportunity Fund III LP and along with its directors, Paul Morton, Henry Morton, Jim Hume, Itschak Shrem and Ofra Amir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240" w:hanging="572"/>
        <w:spacing w:after="0" w:line="268"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Danrock Holdings Ltd. is the beneficial owner of the listed shares. Ori Rosen and Avigdor Klagsbald possess the ultimate voting and dispositve power with respect to the listed shares.</w:t>
      </w:r>
    </w:p>
    <w:p>
      <w:pPr>
        <w:spacing w:after="0" w:line="212" w:lineRule="exact"/>
        <w:rPr>
          <w:rFonts w:ascii="Arial" w:cs="Arial" w:eastAsia="Arial" w:hAnsi="Arial"/>
          <w:sz w:val="18"/>
          <w:szCs w:val="18"/>
          <w:color w:val="auto"/>
        </w:rPr>
      </w:pPr>
    </w:p>
    <w:p>
      <w:pPr>
        <w:ind w:left="580" w:hanging="572"/>
        <w:spacing w:after="0" w:line="256"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August Capital III LP, August Capital III Founders Fund, L.P., August Capital Strategic Partners III, L.P. and August Capital Management III, L.P. are the beneficial owners of the listed shares. August Capital Management III, LLC is the General Partner of each of August Capital III LP and along with its investment members, David F. Marquardt, John Johnston and Andy Rappaport possess the ultimate voting and dispositive power with respect to the listed shares.</w:t>
      </w:r>
    </w:p>
    <w:p>
      <w:pPr>
        <w:spacing w:after="0" w:line="224"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Eri M. Steimatzky is the beneficial owner and possesses sole voting and dispositive power with respect to the listed shares.</w:t>
      </w:r>
    </w:p>
    <w:p>
      <w:pPr>
        <w:spacing w:after="0" w:line="252"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Benny Hanigal is the beneficial owner and possesses sole voting and dispositive power with respect to the listed shares.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PLAN OF DISTRIBUTION</w:t>
      </w:r>
    </w:p>
    <w:p>
      <w:pPr>
        <w:spacing w:after="0" w:line="25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We are registering for resale the shares on behalf of the selling shareholders. 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Marvell in making decisions with respect to the timing, manner and size of each sale. The shares may be sold by or for the account of the selling shareholders in transactions on the Nasdaq National Market, the over-the-counter market, or otherwise. These sales may be made at fixed prices, at market prices prevailing at the time of sale, at prices related to prevailing market prices, or at negotiated prices. The shares may be sold by means of one or more of the following methods:</w:t>
      </w:r>
    </w:p>
    <w:p>
      <w:pPr>
        <w:spacing w:after="0" w:line="172" w:lineRule="exact"/>
        <w:rPr>
          <w:sz w:val="20"/>
          <w:szCs w:val="20"/>
          <w:color w:val="auto"/>
        </w:rPr>
      </w:pPr>
    </w:p>
    <w:p>
      <w:pPr>
        <w:ind w:left="46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ordinary brokerage transactions on which the broker solicits purchasers;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after the registration statement becomes effective, in connection with short sales, in which the shares are redelivered to close out short positions;</w:t>
      </w:r>
    </w:p>
    <w:p>
      <w:pPr>
        <w:spacing w:after="0" w:line="302" w:lineRule="exact"/>
        <w:rPr>
          <w:rFonts w:ascii="Arial" w:cs="Arial" w:eastAsia="Arial" w:hAnsi="Arial"/>
          <w:sz w:val="16"/>
          <w:szCs w:val="16"/>
          <w:color w:val="auto"/>
        </w:rPr>
      </w:pPr>
    </w:p>
    <w:p>
      <w:pPr>
        <w:ind w:left="460" w:right="42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80" w:hanging="101"/>
        <w:spacing w:after="0" w:line="268" w:lineRule="auto"/>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privately negotiated transactions;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 a combination of any of the above methods.</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52"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224"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selling shareholders also may resell all or a portion of the shares covered by this prospectus that qualify for sale under Rule 144 of the Securities Act in open market transactions in reliance upon Rule 144 under the Securities Act.</w:t>
      </w:r>
    </w:p>
    <w:p>
      <w:pPr>
        <w:spacing w:after="0" w:line="213"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97"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name of the participating selling shareholder(s) and broker-dealer(s) or underwriters;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number of shares involved;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price(s) at which the shares were sold;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commissions paid or discounts or concessions allowed by the selling shareholders to the broker-dealers or underwriters, if any;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other information material to the transaction.</w:t>
      </w:r>
    </w:p>
    <w:p>
      <w:pPr>
        <w:spacing w:after="0" w:line="279"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The selling shareholders shall have sole and absolute discretion not to accept any purchase, offer or make any sale if they deem the purchase price to be unsatisfactory at any particular time.</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selling shareholders and any broker-dealers, agents or underwriters that participate with the selling shareholders in the distribution of the shares may be deemed to be “underwriters” within the meaning of Section 2(11) of the Securities Act in connection with sales of shares covered by this prospectus. Any commissions paid or any discounts or concessions allowed to any of those persons, and any profits received on the resale of the shares purchased by them, may be deemed to be underwriting commissions or discounts under the Securities Act. Because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201" w:lineRule="exact"/>
        <w:rPr>
          <w:sz w:val="20"/>
          <w:szCs w:val="20"/>
          <w:color w:val="auto"/>
        </w:rPr>
      </w:pPr>
    </w:p>
    <w:p>
      <w:pPr>
        <w:ind w:right="560" w:firstLine="324"/>
        <w:spacing w:after="0" w:line="268" w:lineRule="auto"/>
        <w:rPr>
          <w:sz w:val="20"/>
          <w:szCs w:val="20"/>
          <w:color w:val="auto"/>
        </w:rPr>
      </w:pPr>
      <w:r>
        <w:rPr>
          <w:rFonts w:ascii="Arial" w:cs="Arial" w:eastAsia="Arial" w:hAnsi="Arial"/>
          <w:sz w:val="18"/>
          <w:szCs w:val="18"/>
          <w:color w:val="auto"/>
        </w:rPr>
        <w:t>Selling shareholders may agree to indemnify any agent, broker or dealer that participates in sales of common stock against liabilities arising under the Securities Act from sales of common stock.</w:t>
      </w:r>
    </w:p>
    <w:p>
      <w:pPr>
        <w:spacing w:after="0" w:line="21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paid by the selling shareholders or other party selling those shares.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LEGAL MATTERS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Appleby Spurling &amp; Kempe, Bermuda, will pass on the validity of the common stock offered by this prospectus.</w:t>
      </w:r>
    </w:p>
    <w:p>
      <w:pPr>
        <w:spacing w:after="0" w:line="21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EXPERTS</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financial statements incorporated in this Prospectus by reference to the Annual Report on Form 10-K for the year ended February 1, 2003 have been so incorporated in reliance on the report of PricewaterhouseCoopers LLP, independent accountants, given on the authority of said firm as experts in auditing and accounting.</w:t>
      </w:r>
    </w:p>
    <w:p>
      <w:pPr>
        <w:spacing w:after="0" w:line="1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WHERE YOU CAN FIND ADDITIONAL INFORMATION</w:t>
      </w:r>
    </w:p>
    <w:p>
      <w:pPr>
        <w:spacing w:after="0" w:line="258"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We file annual, quarterly and special reports, proxy statements, and other information with the SEC. You may read and copy any materials we file with the SEC, at the SEC’s Public Reference Room at 450 Fifth Street, N.W., Washington, D.C. 20549. Please call the SEC at 1-800-SEC-0330 for more information on the Public Reference Room. The SEC also maintains an Internet website at http://www.sec.gov that contains reports, proxy and information statements, and other information regarding issuers that file electronically with the SEC.</w:t>
      </w:r>
    </w:p>
    <w:p>
      <w:pPr>
        <w:spacing w:after="0" w:line="22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We have filed with the SEC a registration statement, which contains this prospectus, on Form S-3 under the Securities Act. The registration statement relates to the common stock offered by the selling shareholders. This prospectus does not contain all of the information set forth in the registration statement and the exhibits and schedules to the registration statement. Please refer to the registration statement and its exhibits and schedules for further information with respect to Marvell and the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SEC, as described in the preceding paragraph.</w:t>
      </w:r>
    </w:p>
    <w:p>
      <w:pPr>
        <w:spacing w:after="0" w:line="16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SEC allows us to “incorporate by reference” the information we file with it, which means that we can disclose important information to you by referring you to those documents. The information incorporated by reference is considered to be a part of this prospectus, and later information that we file with the SEC will automatically update and supersede this information. We incorporate by reference the documents listed below and any future filings we make with the SEC under Section 13(a), 13(c), 14 or 15(d) of the Exchange Act until we file a post-effective amendment which indicates that all securities offered have been sold or which deregisters all securities then remaining unsold or this offering is completed. The documents we incorporate by reference are:</w:t>
      </w:r>
    </w:p>
    <w:p>
      <w:pPr>
        <w:spacing w:after="0" w:line="170" w:lineRule="exact"/>
        <w:rPr>
          <w:sz w:val="20"/>
          <w:szCs w:val="20"/>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February 6,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May 3,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August 2,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June 27,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August 28, 2003.</w:t>
      </w:r>
    </w:p>
    <w:p>
      <w:pPr>
        <w:spacing w:after="0" w:line="25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60" w:hanging="101"/>
        <w:spacing w:after="0" w:line="268" w:lineRule="auto"/>
        <w:tabs>
          <w:tab w:leader="none" w:pos="4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You may request a copy of these filings, at no cost, by writing or telephoning us at the following address and number between the hours of 9:00 a.m.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4:00 p.m., Pacific time:</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Investor Relations</w:t>
      </w:r>
    </w:p>
    <w:p>
      <w:pPr>
        <w:spacing w:after="0" w:line="252" w:lineRule="exact"/>
        <w:rPr>
          <w:sz w:val="20"/>
          <w:szCs w:val="20"/>
          <w:color w:val="auto"/>
        </w:rPr>
      </w:pPr>
    </w:p>
    <w:p>
      <w:pPr>
        <w:ind w:left="320"/>
        <w:spacing w:after="0"/>
        <w:rPr>
          <w:sz w:val="20"/>
          <w:szCs w:val="20"/>
          <w:color w:val="auto"/>
        </w:rPr>
      </w:pPr>
      <w:r>
        <w:rPr>
          <w:rFonts w:ascii="Arial" w:cs="Arial" w:eastAsia="Arial" w:hAnsi="Arial"/>
          <w:sz w:val="18"/>
          <w:szCs w:val="18"/>
          <w:color w:val="auto"/>
        </w:rPr>
        <w:t>c/o Marvell Semiconductor, Inc.</w:t>
      </w:r>
    </w:p>
    <w:p>
      <w:pPr>
        <w:spacing w:after="0" w:line="15" w:lineRule="exact"/>
        <w:rPr>
          <w:sz w:val="20"/>
          <w:szCs w:val="20"/>
          <w:color w:val="auto"/>
        </w:rPr>
      </w:pPr>
    </w:p>
    <w:p>
      <w:pPr>
        <w:ind w:left="320" w:right="9020" w:hanging="5"/>
        <w:spacing w:after="0" w:line="255" w:lineRule="auto"/>
        <w:tabs>
          <w:tab w:leader="none" w:pos="627" w:val="left"/>
        </w:tabs>
        <w:numPr>
          <w:ilvl w:val="0"/>
          <w:numId w:val="18"/>
        </w:numPr>
        <w:rPr>
          <w:rFonts w:ascii="Arial" w:cs="Arial" w:eastAsia="Arial" w:hAnsi="Arial"/>
          <w:sz w:val="18"/>
          <w:szCs w:val="18"/>
          <w:color w:val="auto"/>
        </w:rPr>
      </w:pPr>
      <w:r>
        <w:rPr>
          <w:rFonts w:ascii="Arial" w:cs="Arial" w:eastAsia="Arial" w:hAnsi="Arial"/>
          <w:sz w:val="18"/>
          <w:szCs w:val="18"/>
          <w:color w:val="auto"/>
        </w:rPr>
        <w:t>First Avenue Sunnyvale, California 94089 (408) 222-2500</w:t>
      </w:r>
    </w:p>
    <w:p>
      <w:pPr>
        <w:spacing w:after="0" w:line="225"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We have not authorized anyone to provide you with information or to represent anything that is different from or that is not contained in this prospectus. You must not rely on any unauthorized information or representations. The selling shareholders are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64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Other Expenses of Issuance and Distribution</w:t>
      </w:r>
    </w:p>
    <w:p>
      <w:pPr>
        <w:spacing w:after="0" w:line="258" w:lineRule="exact"/>
        <w:rPr>
          <w:sz w:val="20"/>
          <w:szCs w:val="20"/>
          <w:color w:val="auto"/>
        </w:rPr>
      </w:pPr>
    </w:p>
    <w:p>
      <w:pPr>
        <w:jc w:val="both"/>
        <w:ind w:right="220" w:firstLine="324"/>
        <w:spacing w:after="0" w:line="259"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shareholders or by the purchasers. All amounts are estimated except the SEC’s registration fee.</w:t>
      </w:r>
    </w:p>
    <w:p>
      <w:pPr>
        <w:spacing w:after="0" w:line="200" w:lineRule="exact"/>
        <w:rPr>
          <w:sz w:val="20"/>
          <w:szCs w:val="20"/>
          <w:color w:val="auto"/>
        </w:rPr>
      </w:pPr>
    </w:p>
    <w:p>
      <w:pPr>
        <w:spacing w:after="0" w:line="206" w:lineRule="exact"/>
        <w:rPr>
          <w:sz w:val="20"/>
          <w:szCs w:val="20"/>
          <w:color w:val="auto"/>
        </w:rPr>
      </w:pPr>
    </w:p>
    <w:tbl>
      <w:tblPr>
        <w:tblLayout w:type="fixed"/>
        <w:tblInd w:w="2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5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00" w:type="dxa"/>
            <w:vAlign w:val="bottom"/>
            <w:gridSpan w:val="2"/>
          </w:tcPr>
          <w:p>
            <w:pPr>
              <w:ind w:left="4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8"/>
                <w:szCs w:val="18"/>
                <w:color w:val="auto"/>
              </w:rPr>
              <w:t>Securities and Exchange Commission registration fee</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11,030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30,000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8"/>
                <w:szCs w:val="18"/>
                <w:color w:val="auto"/>
              </w:rPr>
              <w:t>Legal fees and expenses</w:t>
            </w:r>
          </w:p>
        </w:tc>
        <w:tc>
          <w:tcPr>
            <w:tcW w:w="3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tcPr>
          <w:p>
            <w:pPr>
              <w:spacing w:after="0"/>
              <w:rPr>
                <w:sz w:val="20"/>
                <w:szCs w:val="20"/>
                <w:color w:val="auto"/>
              </w:rPr>
            </w:pPr>
            <w:r>
              <w:rPr>
                <w:rFonts w:ascii="Arial" w:cs="Arial" w:eastAsia="Arial" w:hAnsi="Arial"/>
                <w:sz w:val="18"/>
                <w:szCs w:val="18"/>
                <w:color w:val="auto"/>
              </w:rPr>
              <w:t>Printing fees</w:t>
            </w:r>
          </w:p>
        </w:tc>
        <w:tc>
          <w:tcPr>
            <w:tcW w:w="3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15,000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8"/>
                <w:szCs w:val="18"/>
                <w:color w:val="auto"/>
              </w:rPr>
              <w:t>Transfer agent fees</w:t>
            </w:r>
          </w:p>
        </w:tc>
        <w:tc>
          <w:tcPr>
            <w:tcW w:w="34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80" w:type="dxa"/>
            <w:vAlign w:val="bottom"/>
          </w:tcPr>
          <w:p>
            <w:pPr>
              <w:spacing w:after="0"/>
              <w:rPr>
                <w:sz w:val="20"/>
                <w:szCs w:val="20"/>
                <w:color w:val="auto"/>
              </w:rPr>
            </w:pPr>
            <w:r>
              <w:rPr>
                <w:rFonts w:ascii="Arial" w:cs="Arial" w:eastAsia="Arial" w:hAnsi="Arial"/>
                <w:sz w:val="18"/>
                <w:szCs w:val="18"/>
                <w:color w:val="auto"/>
              </w:rPr>
              <w:t>Miscellaneous fees and expenses</w:t>
            </w:r>
          </w:p>
        </w:tc>
        <w:tc>
          <w:tcPr>
            <w:tcW w:w="34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80" w:type="dxa"/>
            <w:vAlign w:val="bottom"/>
          </w:tcPr>
          <w:p>
            <w:pPr>
              <w:spacing w:after="0"/>
              <w:rPr>
                <w:sz w:val="8"/>
                <w:szCs w:val="8"/>
                <w:color w:val="auto"/>
              </w:rPr>
            </w:pPr>
          </w:p>
        </w:tc>
        <w:tc>
          <w:tcPr>
            <w:tcW w:w="34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80" w:type="dxa"/>
            <w:vAlign w:val="bottom"/>
            <w:shd w:val="clear" w:color="auto" w:fill="EEEEEE"/>
          </w:tcPr>
          <w:p>
            <w:pPr>
              <w:spacing w:after="0"/>
              <w:rPr>
                <w:sz w:val="20"/>
                <w:szCs w:val="20"/>
                <w:color w:val="auto"/>
              </w:rPr>
            </w:pPr>
            <w:r>
              <w:rPr>
                <w:rFonts w:ascii="Arial" w:cs="Arial" w:eastAsia="Arial" w:hAnsi="Arial"/>
                <w:sz w:val="18"/>
                <w:szCs w:val="18"/>
                <w:color w:val="auto"/>
              </w:rPr>
              <w:t>Total</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146,030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Indemnification of Directors and Officers</w:t>
      </w:r>
    </w:p>
    <w:p>
      <w:pPr>
        <w:spacing w:after="0" w:line="258" w:lineRule="exact"/>
        <w:rPr>
          <w:sz w:val="20"/>
          <w:szCs w:val="20"/>
          <w:color w:val="auto"/>
        </w:rPr>
      </w:pPr>
    </w:p>
    <w:p>
      <w:pPr>
        <w:ind w:right="240" w:firstLine="324"/>
        <w:spacing w:after="0" w:line="255"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 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224" w:lineRule="exact"/>
        <w:rPr>
          <w:sz w:val="20"/>
          <w:szCs w:val="20"/>
          <w:color w:val="auto"/>
        </w:rPr>
      </w:pPr>
    </w:p>
    <w:p>
      <w:pPr>
        <w:jc w:val="both"/>
        <w:ind w:right="60" w:firstLine="324"/>
        <w:spacing w:after="0" w:line="259" w:lineRule="auto"/>
        <w:rPr>
          <w:sz w:val="20"/>
          <w:szCs w:val="20"/>
          <w:color w:val="auto"/>
        </w:rPr>
      </w:pPr>
      <w:r>
        <w:rPr>
          <w:rFonts w:ascii="Arial" w:cs="Arial" w:eastAsia="Arial" w:hAnsi="Arial"/>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221"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94"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94"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5"/>
          <w:szCs w:val="15"/>
          <w:b w:val="1"/>
          <w:bCs w:val="1"/>
          <w:i w:val="1"/>
          <w:iCs w:val="1"/>
          <w:color w:val="auto"/>
        </w:rPr>
        <w:t>Exhibits</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40" w:type="dxa"/>
            <w:vAlign w:val="bottom"/>
          </w:tcPr>
          <w:p>
            <w:pPr>
              <w:jc w:val="right"/>
              <w:ind w:right="519"/>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40" w:type="dxa"/>
            <w:vAlign w:val="bottom"/>
          </w:tcPr>
          <w:p>
            <w:pPr>
              <w:spacing w:after="0"/>
              <w:rPr>
                <w:sz w:val="14"/>
                <w:szCs w:val="14"/>
                <w:color w:val="auto"/>
              </w:rPr>
            </w:pPr>
          </w:p>
        </w:tc>
      </w:tr>
      <w:tr>
        <w:trPr>
          <w:trHeight w:val="174"/>
        </w:trPr>
        <w:tc>
          <w:tcPr>
            <w:tcW w:w="1640" w:type="dxa"/>
            <w:vAlign w:val="bottom"/>
          </w:tcPr>
          <w:p>
            <w:pPr>
              <w:jc w:val="right"/>
              <w:ind w:right="499"/>
              <w:spacing w:after="0"/>
              <w:rPr>
                <w:sz w:val="20"/>
                <w:szCs w:val="20"/>
                <w:color w:val="auto"/>
              </w:rPr>
            </w:pPr>
            <w:r>
              <w:rPr>
                <w:rFonts w:ascii="Arial" w:cs="Arial" w:eastAsia="Arial" w:hAnsi="Arial"/>
                <w:sz w:val="14"/>
                <w:szCs w:val="14"/>
                <w:b w:val="1"/>
                <w:bCs w:val="1"/>
                <w:color w:val="auto"/>
              </w:rPr>
              <w:t>Number</w:t>
            </w:r>
          </w:p>
        </w:tc>
        <w:tc>
          <w:tcPr>
            <w:tcW w:w="340" w:type="dxa"/>
            <w:vAlign w:val="bottom"/>
          </w:tcPr>
          <w:p>
            <w:pPr>
              <w:spacing w:after="0"/>
              <w:rPr>
                <w:sz w:val="15"/>
                <w:szCs w:val="15"/>
                <w:color w:val="auto"/>
              </w:rPr>
            </w:pPr>
          </w:p>
        </w:tc>
        <w:tc>
          <w:tcPr>
            <w:tcW w:w="9440" w:type="dxa"/>
            <w:vAlign w:val="bottom"/>
          </w:tcPr>
          <w:p>
            <w:pPr>
              <w:ind w:left="400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1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40" w:type="dxa"/>
            <w:vAlign w:val="bottom"/>
            <w:tcBorders>
              <w:bottom w:val="single" w:sz="8" w:color="808080"/>
            </w:tcBorders>
          </w:tcPr>
          <w:p>
            <w:pPr>
              <w:spacing w:after="0"/>
              <w:rPr>
                <w:sz w:val="8"/>
                <w:szCs w:val="8"/>
                <w:color w:val="auto"/>
              </w:rPr>
            </w:pPr>
          </w:p>
        </w:tc>
      </w:tr>
      <w:tr>
        <w:trPr>
          <w:trHeight w:val="309"/>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5.1*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1640" w:type="dxa"/>
            <w:vAlign w:val="bottom"/>
          </w:tcPr>
          <w:p>
            <w:pPr>
              <w:jc w:val="right"/>
              <w:ind w:right="579"/>
              <w:spacing w:after="0"/>
              <w:rPr>
                <w:sz w:val="20"/>
                <w:szCs w:val="20"/>
                <w:color w:val="auto"/>
              </w:rPr>
            </w:pPr>
            <w:r>
              <w:rPr>
                <w:rFonts w:ascii="Arial" w:cs="Arial" w:eastAsia="Arial" w:hAnsi="Arial"/>
                <w:sz w:val="18"/>
                <w:szCs w:val="18"/>
                <w:color w:val="auto"/>
              </w:rPr>
              <w:t>23.1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23.2*</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24.1*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pacing w:after="0" w:line="219"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5"/>
          <w:szCs w:val="15"/>
          <w:b w:val="1"/>
          <w:bCs w:val="1"/>
          <w:i w:val="1"/>
          <w:iCs w:val="1"/>
          <w:color w:val="auto"/>
        </w:rPr>
        <w:t>Undertakings</w:t>
      </w:r>
    </w:p>
    <w:p>
      <w:pPr>
        <w:spacing w:after="0" w:line="258" w:lineRule="exact"/>
        <w:rPr>
          <w:sz w:val="20"/>
          <w:szCs w:val="20"/>
          <w:color w:val="auto"/>
        </w:rPr>
      </w:pPr>
    </w:p>
    <w:p>
      <w:pPr>
        <w:ind w:left="560" w:hanging="228"/>
        <w:spacing w:after="0"/>
        <w:tabs>
          <w:tab w:leader="none" w:pos="5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920" w:hanging="237"/>
        <w:spacing w:after="0"/>
        <w:tabs>
          <w:tab w:leader="none" w:pos="920" w:val="left"/>
        </w:tabs>
        <w:numPr>
          <w:ilvl w:val="1"/>
          <w:numId w:val="19"/>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the Registration Statement:</w:t>
      </w:r>
    </w:p>
    <w:p>
      <w:pPr>
        <w:spacing w:after="0" w:line="252" w:lineRule="exact"/>
        <w:rPr>
          <w:rFonts w:ascii="Arial" w:cs="Arial" w:eastAsia="Arial" w:hAnsi="Arial"/>
          <w:sz w:val="18"/>
          <w:szCs w:val="18"/>
          <w:color w:val="auto"/>
        </w:rPr>
      </w:pPr>
    </w:p>
    <w:p>
      <w:pPr>
        <w:ind w:left="1220" w:hanging="199"/>
        <w:spacing w:after="0"/>
        <w:tabs>
          <w:tab w:leader="none" w:pos="1220" w:val="left"/>
        </w:tabs>
        <w:numPr>
          <w:ilvl w:val="2"/>
          <w:numId w:val="19"/>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79" w:lineRule="exact"/>
        <w:rPr>
          <w:rFonts w:ascii="Arial" w:cs="Arial" w:eastAsia="Arial" w:hAnsi="Arial"/>
          <w:sz w:val="18"/>
          <w:szCs w:val="18"/>
          <w:color w:val="auto"/>
        </w:rPr>
      </w:pPr>
    </w:p>
    <w:p>
      <w:pPr>
        <w:ind w:left="700" w:right="140" w:firstLine="321"/>
        <w:spacing w:after="0" w:line="314" w:lineRule="auto"/>
        <w:tabs>
          <w:tab w:leader="none" w:pos="1279" w:val="left"/>
        </w:tabs>
        <w:numPr>
          <w:ilvl w:val="2"/>
          <w:numId w:val="19"/>
        </w:numPr>
        <w:rPr>
          <w:rFonts w:ascii="Arial" w:cs="Arial" w:eastAsia="Arial" w:hAnsi="Arial"/>
          <w:sz w:val="15"/>
          <w:szCs w:val="15"/>
          <w:color w:val="auto"/>
        </w:rPr>
      </w:pPr>
      <w:r>
        <w:rPr>
          <w:rFonts w:ascii="Arial" w:cs="Arial" w:eastAsia="Arial" w:hAnsi="Arial"/>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212" w:lineRule="exact"/>
        <w:rPr>
          <w:rFonts w:ascii="Arial" w:cs="Arial" w:eastAsia="Arial" w:hAnsi="Arial"/>
          <w:sz w:val="15"/>
          <w:szCs w:val="15"/>
          <w:color w:val="auto"/>
        </w:rPr>
      </w:pPr>
    </w:p>
    <w:p>
      <w:pPr>
        <w:ind w:left="700" w:right="520" w:firstLine="321"/>
        <w:spacing w:after="0" w:line="268" w:lineRule="auto"/>
        <w:tabs>
          <w:tab w:leader="none" w:pos="1328" w:val="left"/>
        </w:tabs>
        <w:numPr>
          <w:ilvl w:val="2"/>
          <w:numId w:val="19"/>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left="360" w:right="100"/>
        <w:spacing w:after="0" w:line="259" w:lineRule="auto"/>
        <w:rPr>
          <w:sz w:val="20"/>
          <w:szCs w:val="20"/>
          <w:color w:val="auto"/>
        </w:rPr>
      </w:pPr>
      <w:r>
        <w:rPr>
          <w:rFonts w:ascii="Arial" w:cs="Arial" w:eastAsia="Arial" w:hAnsi="Arial"/>
          <w:sz w:val="18"/>
          <w:szCs w:val="18"/>
          <w:color w:val="auto"/>
        </w:rPr>
        <w:t>provided, however, that paragraphs (i) and (ii) do not apply if the registration statement is on Form S-3 or Form S-8 and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221" w:lineRule="exact"/>
        <w:rPr>
          <w:sz w:val="20"/>
          <w:szCs w:val="20"/>
          <w:color w:val="auto"/>
        </w:rPr>
      </w:pPr>
    </w:p>
    <w:p>
      <w:pPr>
        <w:ind w:left="360" w:right="460" w:firstLine="323"/>
        <w:spacing w:after="0" w:line="259" w:lineRule="auto"/>
        <w:tabs>
          <w:tab w:leader="none" w:pos="930" w:val="left"/>
        </w:tabs>
        <w:numPr>
          <w:ilvl w:val="1"/>
          <w:numId w:val="20"/>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48" w:lineRule="exact"/>
        <w:rPr>
          <w:rFonts w:ascii="Arial" w:cs="Arial" w:eastAsia="Arial" w:hAnsi="Arial"/>
          <w:sz w:val="18"/>
          <w:szCs w:val="18"/>
          <w:color w:val="auto"/>
        </w:rPr>
      </w:pPr>
    </w:p>
    <w:p>
      <w:pPr>
        <w:ind w:left="360" w:firstLine="323"/>
        <w:spacing w:after="0" w:line="268" w:lineRule="auto"/>
        <w:tabs>
          <w:tab w:leader="none" w:pos="930" w:val="left"/>
        </w:tabs>
        <w:numPr>
          <w:ilvl w:val="1"/>
          <w:numId w:val="20"/>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212" w:lineRule="exact"/>
        <w:rPr>
          <w:rFonts w:ascii="Arial" w:cs="Arial" w:eastAsia="Arial" w:hAnsi="Arial"/>
          <w:sz w:val="18"/>
          <w:szCs w:val="18"/>
          <w:color w:val="auto"/>
        </w:rPr>
      </w:pPr>
    </w:p>
    <w:p>
      <w:pPr>
        <w:ind w:right="40" w:firstLine="332"/>
        <w:spacing w:after="0" w:line="256" w:lineRule="auto"/>
        <w:tabs>
          <w:tab w:leader="none" w:pos="57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undersigned Registrant hereby undertakes 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224" w:lineRule="exact"/>
        <w:rPr>
          <w:rFonts w:ascii="Arial" w:cs="Arial" w:eastAsia="Arial" w:hAnsi="Arial"/>
          <w:sz w:val="18"/>
          <w:szCs w:val="18"/>
          <w:color w:val="auto"/>
        </w:rPr>
      </w:pPr>
    </w:p>
    <w:p>
      <w:pPr>
        <w:ind w:right="160" w:firstLine="332"/>
        <w:spacing w:after="0" w:line="259" w:lineRule="auto"/>
        <w:tabs>
          <w:tab w:leader="none" w:pos="563"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and is, therefore, unenforceable. In</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700" w:firstLine="324"/>
        <w:spacing w:after="0" w:line="306" w:lineRule="auto"/>
        <w:rPr>
          <w:sz w:val="20"/>
          <w:szCs w:val="20"/>
          <w:color w:val="auto"/>
        </w:rPr>
      </w:pPr>
      <w:r>
        <w:rPr>
          <w:rFonts w:ascii="Arial" w:cs="Arial" w:eastAsia="Arial" w:hAnsi="Arial"/>
          <w:sz w:val="16"/>
          <w:szCs w:val="16"/>
          <w:color w:val="auto"/>
        </w:rPr>
        <w:t>Pursuant to the requirements of the Securities Act of 1933, the Registrant certifies that it has reasonable grounds to believe that it meets all of the requirements for filing on Form S-3, and has duly caused this Amendment No. 3 to Registration Statement to be signed on its behalf by the undersigned, thereunto duly authorized, in the City of Sunnyvale, State of California, on the 2nd day of October, 2003.</w:t>
      </w:r>
    </w:p>
    <w:p>
      <w:pPr>
        <w:spacing w:after="0" w:line="161"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260" w:firstLine="324"/>
        <w:spacing w:after="0" w:line="370" w:lineRule="auto"/>
        <w:rPr>
          <w:sz w:val="20"/>
          <w:szCs w:val="20"/>
          <w:color w:val="auto"/>
        </w:rPr>
      </w:pPr>
      <w:r>
        <w:rPr>
          <w:rFonts w:ascii="Arial" w:cs="Arial" w:eastAsia="Arial" w:hAnsi="Arial"/>
          <w:sz w:val="15"/>
          <w:szCs w:val="15"/>
          <w:color w:val="auto"/>
        </w:rPr>
        <w:t>Pursuant to the requirements of the Securities Act of 1933, the undersigned, the duly authorized representative in the United States of Marvell Technology Group Ltd., has signed this Amendment No. 3 to Registration Statement in the City of Sunnyvale, State of California, on the 2nd day of October, 2003.</w:t>
      </w:r>
    </w:p>
    <w:p>
      <w:pPr>
        <w:spacing w:after="0" w:line="116"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this Amendment No. 3 to Registration Statement has been signed by the following persons in the capacities and on the dates indicated.</w:t>
      </w:r>
    </w:p>
    <w:p>
      <w:pPr>
        <w:spacing w:after="0" w:line="398" w:lineRule="exact"/>
        <w:rPr>
          <w:sz w:val="20"/>
          <w:szCs w:val="20"/>
          <w:color w:val="auto"/>
        </w:rPr>
      </w:pPr>
    </w:p>
    <w:p>
      <w:pPr>
        <w:ind w:left="2420"/>
        <w:spacing w:after="0"/>
        <w:tabs>
          <w:tab w:leader="none" w:pos="758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4500" w:type="dxa"/>
            <w:vAlign w:val="bottom"/>
          </w:tcPr>
          <w:p>
            <w:pPr>
              <w:jc w:val="center"/>
              <w:ind w:left="72"/>
              <w:spacing w:after="0"/>
              <w:rPr>
                <w:sz w:val="20"/>
                <w:szCs w:val="20"/>
                <w:color w:val="auto"/>
              </w:rPr>
            </w:pPr>
            <w:r>
              <w:rPr>
                <w:rFonts w:ascii="Arial" w:cs="Arial" w:eastAsia="Arial" w:hAnsi="Arial"/>
                <w:sz w:val="18"/>
                <w:szCs w:val="18"/>
                <w:color w:val="auto"/>
                <w:w w:val="88"/>
              </w:rPr>
              <w:t>Co-Chairman of the Board, President,</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500" w:type="dxa"/>
            <w:vAlign w:val="bottom"/>
            <w:vMerge w:val="restart"/>
          </w:tcPr>
          <w:p>
            <w:pPr>
              <w:jc w:val="center"/>
              <w:ind w:left="72"/>
              <w:spacing w:after="0"/>
              <w:rPr>
                <w:sz w:val="20"/>
                <w:szCs w:val="20"/>
                <w:color w:val="auto"/>
              </w:rPr>
            </w:pPr>
            <w:r>
              <w:rPr>
                <w:rFonts w:ascii="Arial" w:cs="Arial" w:eastAsia="Arial" w:hAnsi="Arial"/>
                <w:sz w:val="18"/>
                <w:szCs w:val="18"/>
                <w:color w:val="auto"/>
                <w:w w:val="90"/>
              </w:rPr>
              <w:t>and Chief Executive Officer</w:t>
            </w: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4500" w:type="dxa"/>
            <w:vAlign w:val="bottom"/>
            <w:vMerge w:val="continue"/>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400" w:type="dxa"/>
            <w:vAlign w:val="bottom"/>
            <w:vMerge w:val="continue"/>
          </w:tcPr>
          <w:p>
            <w:pPr>
              <w:spacing w:after="0"/>
              <w:rPr>
                <w:sz w:val="19"/>
                <w:szCs w:val="19"/>
                <w:color w:val="auto"/>
              </w:rPr>
            </w:pPr>
          </w:p>
        </w:tc>
        <w:tc>
          <w:tcPr>
            <w:tcW w:w="4500" w:type="dxa"/>
            <w:vAlign w:val="bottom"/>
          </w:tcPr>
          <w:p>
            <w:pPr>
              <w:jc w:val="center"/>
              <w:ind w:left="52"/>
              <w:spacing w:after="0"/>
              <w:rPr>
                <w:sz w:val="20"/>
                <w:szCs w:val="20"/>
                <w:color w:val="auto"/>
              </w:rPr>
            </w:pPr>
            <w:r>
              <w:rPr>
                <w:rFonts w:ascii="Arial" w:cs="Arial" w:eastAsia="Arial" w:hAnsi="Arial"/>
                <w:sz w:val="18"/>
                <w:szCs w:val="18"/>
                <w:color w:val="auto"/>
                <w:w w:val="91"/>
              </w:rPr>
              <w:t>(Principal Executive Officer)</w:t>
            </w:r>
          </w:p>
        </w:tc>
        <w:tc>
          <w:tcPr>
            <w:tcW w:w="1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4500" w:type="dxa"/>
            <w:vAlign w:val="bottom"/>
          </w:tcPr>
          <w:p>
            <w:pPr>
              <w:jc w:val="center"/>
              <w:ind w:left="72"/>
              <w:spacing w:after="0"/>
              <w:rPr>
                <w:sz w:val="20"/>
                <w:szCs w:val="20"/>
                <w:color w:val="auto"/>
              </w:rPr>
            </w:pPr>
            <w:r>
              <w:rPr>
                <w:rFonts w:ascii="Arial" w:cs="Arial" w:eastAsia="Arial" w:hAnsi="Arial"/>
                <w:sz w:val="18"/>
                <w:szCs w:val="18"/>
                <w:color w:val="auto"/>
                <w:w w:val="89"/>
              </w:rPr>
              <w:t>Vice President of Finance and Chief Financial Officer</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103"/>
        </w:trPr>
        <w:tc>
          <w:tcPr>
            <w:tcW w:w="5400" w:type="dxa"/>
            <w:vAlign w:val="bottom"/>
            <w:tcBorders>
              <w:bottom w:val="single" w:sz="8" w:color="808080"/>
            </w:tcBorders>
          </w:tcPr>
          <w:p>
            <w:pPr>
              <w:spacing w:after="0"/>
              <w:rPr>
                <w:sz w:val="8"/>
                <w:szCs w:val="8"/>
                <w:color w:val="auto"/>
              </w:rPr>
            </w:pPr>
          </w:p>
        </w:tc>
        <w:tc>
          <w:tcPr>
            <w:tcW w:w="4500" w:type="dxa"/>
            <w:vAlign w:val="bottom"/>
            <w:vMerge w:val="restart"/>
          </w:tcPr>
          <w:p>
            <w:pPr>
              <w:jc w:val="center"/>
              <w:ind w:left="52"/>
              <w:spacing w:after="0"/>
              <w:rPr>
                <w:sz w:val="20"/>
                <w:szCs w:val="20"/>
                <w:color w:val="auto"/>
              </w:rPr>
            </w:pPr>
            <w:r>
              <w:rPr>
                <w:rFonts w:ascii="Arial" w:cs="Arial" w:eastAsia="Arial" w:hAnsi="Arial"/>
                <w:sz w:val="18"/>
                <w:szCs w:val="18"/>
                <w:color w:val="auto"/>
                <w:w w:val="91"/>
              </w:rPr>
              <w:t>(Principal Financial and Accounting Officer)</w:t>
            </w: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540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4500" w:type="dxa"/>
            <w:vAlign w:val="bottom"/>
            <w:vMerge w:val="continue"/>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9"/>
        </w:trPr>
        <w:tc>
          <w:tcPr>
            <w:tcW w:w="5400" w:type="dxa"/>
            <w:vAlign w:val="bottom"/>
            <w:vMerge w:val="continue"/>
          </w:tcPr>
          <w:p>
            <w:pPr>
              <w:spacing w:after="0"/>
              <w:rPr>
                <w:sz w:val="16"/>
                <w:szCs w:val="16"/>
                <w:color w:val="auto"/>
              </w:rPr>
            </w:pPr>
          </w:p>
        </w:tc>
        <w:tc>
          <w:tcPr>
            <w:tcW w:w="450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4500" w:type="dxa"/>
            <w:vAlign w:val="bottom"/>
          </w:tcPr>
          <w:p>
            <w:pPr>
              <w:jc w:val="center"/>
              <w:ind w:left="52"/>
              <w:spacing w:after="0"/>
              <w:rPr>
                <w:sz w:val="20"/>
                <w:szCs w:val="20"/>
                <w:color w:val="auto"/>
              </w:rPr>
            </w:pPr>
            <w:r>
              <w:rPr>
                <w:rFonts w:ascii="Arial" w:cs="Arial" w:eastAsia="Arial" w:hAnsi="Arial"/>
                <w:sz w:val="18"/>
                <w:szCs w:val="18"/>
                <w:color w:val="auto"/>
                <w:w w:val="88"/>
              </w:rPr>
              <w:t>Executive Vice President, Secretary and Director</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500" w:type="dxa"/>
            <w:vAlign w:val="bottom"/>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450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PANTAS SUTARDJA</w:t>
            </w:r>
          </w:p>
        </w:tc>
        <w:tc>
          <w:tcPr>
            <w:tcW w:w="4500" w:type="dxa"/>
            <w:vAlign w:val="bottom"/>
          </w:tcPr>
          <w:p>
            <w:pPr>
              <w:jc w:val="center"/>
              <w:ind w:left="72"/>
              <w:spacing w:after="0"/>
              <w:rPr>
                <w:sz w:val="20"/>
                <w:szCs w:val="20"/>
                <w:color w:val="auto"/>
              </w:rPr>
            </w:pPr>
            <w:r>
              <w:rPr>
                <w:rFonts w:ascii="Arial" w:cs="Arial" w:eastAsia="Arial" w:hAnsi="Arial"/>
                <w:sz w:val="18"/>
                <w:szCs w:val="18"/>
                <w:color w:val="auto"/>
                <w:w w:val="88"/>
              </w:rPr>
              <w:t>Vice President and Director</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500" w:type="dxa"/>
            <w:vAlign w:val="bottom"/>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6"/>
              </w:rPr>
              <w:t>Dr. Pantas Sutardja</w:t>
            </w:r>
          </w:p>
        </w:tc>
        <w:tc>
          <w:tcPr>
            <w:tcW w:w="450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4"/>
              </w:rPr>
              <w:t>/s/ DIOSDADO BANATAO</w:t>
            </w:r>
          </w:p>
        </w:tc>
        <w:tc>
          <w:tcPr>
            <w:tcW w:w="4500" w:type="dxa"/>
            <w:vAlign w:val="bottom"/>
          </w:tcPr>
          <w:p>
            <w:pPr>
              <w:jc w:val="center"/>
              <w:ind w:left="52"/>
              <w:spacing w:after="0"/>
              <w:rPr>
                <w:sz w:val="20"/>
                <w:szCs w:val="20"/>
                <w:color w:val="auto"/>
              </w:rPr>
            </w:pPr>
            <w:r>
              <w:rPr>
                <w:rFonts w:ascii="Arial" w:cs="Arial" w:eastAsia="Arial" w:hAnsi="Arial"/>
                <w:sz w:val="18"/>
                <w:szCs w:val="18"/>
                <w:color w:val="auto"/>
                <w:w w:val="89"/>
              </w:rPr>
              <w:t>Co-Chairman of the Board</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500" w:type="dxa"/>
            <w:vAlign w:val="bottom"/>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450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8"/>
              </w:rPr>
              <w:t>/s/ MANUEL ALBA</w:t>
            </w:r>
          </w:p>
        </w:tc>
        <w:tc>
          <w:tcPr>
            <w:tcW w:w="4500" w:type="dxa"/>
            <w:vAlign w:val="bottom"/>
          </w:tcPr>
          <w:p>
            <w:pPr>
              <w:jc w:val="center"/>
              <w:ind w:left="72"/>
              <w:spacing w:after="0"/>
              <w:rPr>
                <w:sz w:val="20"/>
                <w:szCs w:val="20"/>
                <w:color w:val="auto"/>
              </w:rPr>
            </w:pPr>
            <w:r>
              <w:rPr>
                <w:rFonts w:ascii="Arial" w:cs="Arial" w:eastAsia="Arial" w:hAnsi="Arial"/>
                <w:sz w:val="18"/>
                <w:szCs w:val="18"/>
                <w:color w:val="auto"/>
                <w:w w:val="91"/>
              </w:rPr>
              <w:t>Director</w:t>
            </w:r>
          </w:p>
        </w:tc>
        <w:tc>
          <w:tcPr>
            <w:tcW w:w="1520" w:type="dxa"/>
            <w:vAlign w:val="bottom"/>
          </w:tcPr>
          <w:p>
            <w:pPr>
              <w:ind w:left="260"/>
              <w:spacing w:after="0"/>
              <w:rPr>
                <w:sz w:val="20"/>
                <w:szCs w:val="20"/>
                <w:color w:val="auto"/>
              </w:rPr>
            </w:pPr>
            <w:r>
              <w:rPr>
                <w:rFonts w:ascii="Arial" w:cs="Arial" w:eastAsia="Arial" w:hAnsi="Arial"/>
                <w:sz w:val="18"/>
                <w:szCs w:val="18"/>
                <w:color w:val="auto"/>
                <w:w w:val="96"/>
              </w:rPr>
              <w:t>October 2, 2003</w:t>
            </w:r>
          </w:p>
        </w:tc>
        <w:tc>
          <w:tcPr>
            <w:tcW w:w="0" w:type="dxa"/>
            <w:vAlign w:val="bottom"/>
          </w:tcPr>
          <w:p>
            <w:pPr>
              <w:spacing w:after="0"/>
              <w:rPr>
                <w:sz w:val="1"/>
                <w:szCs w:val="1"/>
                <w:color w:val="auto"/>
              </w:rPr>
            </w:pPr>
          </w:p>
        </w:tc>
      </w:tr>
      <w:tr>
        <w:trPr>
          <w:trHeight w:val="97"/>
        </w:trPr>
        <w:tc>
          <w:tcPr>
            <w:tcW w:w="5400" w:type="dxa"/>
            <w:vAlign w:val="bottom"/>
            <w:tcBorders>
              <w:bottom w:val="single" w:sz="8" w:color="808080"/>
            </w:tcBorders>
          </w:tcPr>
          <w:p>
            <w:pPr>
              <w:spacing w:after="0"/>
              <w:rPr>
                <w:sz w:val="8"/>
                <w:szCs w:val="8"/>
                <w:color w:val="auto"/>
              </w:rPr>
            </w:pPr>
          </w:p>
        </w:tc>
        <w:tc>
          <w:tcPr>
            <w:tcW w:w="4500" w:type="dxa"/>
            <w:vAlign w:val="bottom"/>
          </w:tcPr>
          <w:p>
            <w:pPr>
              <w:spacing w:after="0"/>
              <w:rPr>
                <w:sz w:val="8"/>
                <w:szCs w:val="8"/>
                <w:color w:val="auto"/>
              </w:rPr>
            </w:pPr>
          </w:p>
        </w:tc>
        <w:tc>
          <w:tcPr>
            <w:tcW w:w="15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50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400" w:type="dxa"/>
            <w:vAlign w:val="bottom"/>
          </w:tcPr>
          <w:p>
            <w:pPr>
              <w:spacing w:after="0"/>
              <w:rPr>
                <w:sz w:val="24"/>
                <w:szCs w:val="24"/>
                <w:color w:val="auto"/>
              </w:rPr>
            </w:pPr>
          </w:p>
        </w:tc>
        <w:tc>
          <w:tcPr>
            <w:tcW w:w="4500" w:type="dxa"/>
            <w:vAlign w:val="bottom"/>
          </w:tcPr>
          <w:p>
            <w:pPr>
              <w:ind w:left="180"/>
              <w:spacing w:after="0"/>
              <w:rPr>
                <w:sz w:val="20"/>
                <w:szCs w:val="20"/>
                <w:color w:val="auto"/>
              </w:rPr>
            </w:pPr>
            <w:r>
              <w:rPr>
                <w:rFonts w:ascii="Arial" w:cs="Arial" w:eastAsia="Arial" w:hAnsi="Arial"/>
                <w:sz w:val="18"/>
                <w:szCs w:val="18"/>
                <w:color w:val="auto"/>
              </w:rPr>
              <w:t>II-4</w:t>
            </w: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4500" w:type="dxa"/>
            <w:vAlign w:val="bottom"/>
            <w:tcBorders>
              <w:bottom w:val="single" w:sz="8" w:color="808080"/>
            </w:tcBorders>
          </w:tcPr>
          <w:p>
            <w:pPr>
              <w:spacing w:after="0"/>
              <w:rPr>
                <w:sz w:val="19"/>
                <w:szCs w:val="19"/>
                <w:color w:val="auto"/>
              </w:rPr>
            </w:pPr>
          </w:p>
        </w:tc>
        <w:tc>
          <w:tcPr>
            <w:tcW w:w="15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p>
      <w:pPr>
        <w:ind w:left="2420"/>
        <w:spacing w:after="0"/>
        <w:tabs>
          <w:tab w:leader="none" w:pos="7580" w:val="left"/>
          <w:tab w:leader="none" w:pos="1058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400" w:type="dxa"/>
            <w:vAlign w:val="bottom"/>
          </w:tcPr>
          <w:p>
            <w:pPr>
              <w:jc w:val="center"/>
              <w:spacing w:after="0"/>
              <w:rPr>
                <w:sz w:val="20"/>
                <w:szCs w:val="20"/>
                <w:color w:val="auto"/>
              </w:rPr>
            </w:pPr>
            <w:r>
              <w:rPr>
                <w:rFonts w:ascii="Arial" w:cs="Arial" w:eastAsia="Arial" w:hAnsi="Arial"/>
                <w:sz w:val="18"/>
                <w:szCs w:val="18"/>
                <w:color w:val="auto"/>
                <w:w w:val="93"/>
              </w:rPr>
              <w:t>/s/ HERBERT CHANG</w:t>
            </w:r>
          </w:p>
        </w:tc>
        <w:tc>
          <w:tcPr>
            <w:tcW w:w="370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20" w:type="dxa"/>
            <w:vAlign w:val="bottom"/>
          </w:tcPr>
          <w:p>
            <w:pPr>
              <w:ind w:left="1060"/>
              <w:spacing w:after="0"/>
              <w:rPr>
                <w:sz w:val="20"/>
                <w:szCs w:val="20"/>
                <w:color w:val="auto"/>
              </w:rPr>
            </w:pPr>
            <w:r>
              <w:rPr>
                <w:rFonts w:ascii="Arial" w:cs="Arial" w:eastAsia="Arial" w:hAnsi="Arial"/>
                <w:sz w:val="18"/>
                <w:szCs w:val="18"/>
                <w:color w:val="auto"/>
                <w:w w:val="96"/>
              </w:rPr>
              <w:t>October 2, 2003</w:t>
            </w:r>
          </w:p>
        </w:tc>
      </w:tr>
      <w:tr>
        <w:trPr>
          <w:trHeight w:val="97"/>
        </w:trPr>
        <w:tc>
          <w:tcPr>
            <w:tcW w:w="5400" w:type="dxa"/>
            <w:vAlign w:val="bottom"/>
            <w:tcBorders>
              <w:bottom w:val="single" w:sz="8" w:color="808080"/>
            </w:tcBorders>
          </w:tcPr>
          <w:p>
            <w:pPr>
              <w:spacing w:after="0"/>
              <w:rPr>
                <w:sz w:val="8"/>
                <w:szCs w:val="8"/>
                <w:color w:val="auto"/>
              </w:rPr>
            </w:pPr>
          </w:p>
        </w:tc>
        <w:tc>
          <w:tcPr>
            <w:tcW w:w="3700" w:type="dxa"/>
            <w:vAlign w:val="bottom"/>
          </w:tcPr>
          <w:p>
            <w:pPr>
              <w:spacing w:after="0"/>
              <w:rPr>
                <w:sz w:val="8"/>
                <w:szCs w:val="8"/>
                <w:color w:val="auto"/>
              </w:rPr>
            </w:pPr>
          </w:p>
        </w:tc>
        <w:tc>
          <w:tcPr>
            <w:tcW w:w="232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370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370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20" w:type="dxa"/>
            <w:vAlign w:val="bottom"/>
          </w:tcPr>
          <w:p>
            <w:pPr>
              <w:ind w:left="1060"/>
              <w:spacing w:after="0"/>
              <w:rPr>
                <w:sz w:val="20"/>
                <w:szCs w:val="20"/>
                <w:color w:val="auto"/>
              </w:rPr>
            </w:pPr>
            <w:r>
              <w:rPr>
                <w:rFonts w:ascii="Arial" w:cs="Arial" w:eastAsia="Arial" w:hAnsi="Arial"/>
                <w:sz w:val="18"/>
                <w:szCs w:val="18"/>
                <w:color w:val="auto"/>
                <w:w w:val="96"/>
              </w:rPr>
              <w:t>October 2, 2003</w:t>
            </w:r>
          </w:p>
        </w:tc>
      </w:tr>
      <w:tr>
        <w:trPr>
          <w:trHeight w:val="97"/>
        </w:trPr>
        <w:tc>
          <w:tcPr>
            <w:tcW w:w="5400" w:type="dxa"/>
            <w:vAlign w:val="bottom"/>
            <w:tcBorders>
              <w:bottom w:val="single" w:sz="8" w:color="808080"/>
            </w:tcBorders>
          </w:tcPr>
          <w:p>
            <w:pPr>
              <w:spacing w:after="0"/>
              <w:rPr>
                <w:sz w:val="8"/>
                <w:szCs w:val="8"/>
                <w:color w:val="auto"/>
              </w:rPr>
            </w:pPr>
          </w:p>
        </w:tc>
        <w:tc>
          <w:tcPr>
            <w:tcW w:w="3700" w:type="dxa"/>
            <w:vAlign w:val="bottom"/>
          </w:tcPr>
          <w:p>
            <w:pPr>
              <w:spacing w:after="0"/>
              <w:rPr>
                <w:sz w:val="8"/>
                <w:szCs w:val="8"/>
                <w:color w:val="auto"/>
              </w:rPr>
            </w:pPr>
          </w:p>
        </w:tc>
        <w:tc>
          <w:tcPr>
            <w:tcW w:w="232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370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1"/>
              </w:rPr>
              <w:t>/s/ PAUL R. GRAY</w:t>
            </w:r>
          </w:p>
        </w:tc>
        <w:tc>
          <w:tcPr>
            <w:tcW w:w="370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20" w:type="dxa"/>
            <w:vAlign w:val="bottom"/>
          </w:tcPr>
          <w:p>
            <w:pPr>
              <w:ind w:left="1060"/>
              <w:spacing w:after="0"/>
              <w:rPr>
                <w:sz w:val="20"/>
                <w:szCs w:val="20"/>
                <w:color w:val="auto"/>
              </w:rPr>
            </w:pPr>
            <w:r>
              <w:rPr>
                <w:rFonts w:ascii="Arial" w:cs="Arial" w:eastAsia="Arial" w:hAnsi="Arial"/>
                <w:sz w:val="18"/>
                <w:szCs w:val="18"/>
                <w:color w:val="auto"/>
                <w:w w:val="96"/>
              </w:rPr>
              <w:t>October 2, 2003</w:t>
            </w:r>
          </w:p>
        </w:tc>
      </w:tr>
      <w:tr>
        <w:trPr>
          <w:trHeight w:val="97"/>
        </w:trPr>
        <w:tc>
          <w:tcPr>
            <w:tcW w:w="5400" w:type="dxa"/>
            <w:vAlign w:val="bottom"/>
            <w:tcBorders>
              <w:bottom w:val="single" w:sz="8" w:color="808080"/>
            </w:tcBorders>
          </w:tcPr>
          <w:p>
            <w:pPr>
              <w:spacing w:after="0"/>
              <w:rPr>
                <w:sz w:val="8"/>
                <w:szCs w:val="8"/>
                <w:color w:val="auto"/>
              </w:rPr>
            </w:pPr>
          </w:p>
        </w:tc>
        <w:tc>
          <w:tcPr>
            <w:tcW w:w="3700" w:type="dxa"/>
            <w:vAlign w:val="bottom"/>
          </w:tcPr>
          <w:p>
            <w:pPr>
              <w:spacing w:after="0"/>
              <w:rPr>
                <w:sz w:val="8"/>
                <w:szCs w:val="8"/>
                <w:color w:val="auto"/>
              </w:rPr>
            </w:pPr>
          </w:p>
        </w:tc>
        <w:tc>
          <w:tcPr>
            <w:tcW w:w="232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7"/>
              </w:rPr>
              <w:t>Dr. Paul R. Gray</w:t>
            </w:r>
          </w:p>
        </w:tc>
        <w:tc>
          <w:tcPr>
            <w:tcW w:w="370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32"/>
        </w:trPr>
        <w:tc>
          <w:tcPr>
            <w:tcW w:w="5400" w:type="dxa"/>
            <w:vAlign w:val="bottom"/>
          </w:tcPr>
          <w:p>
            <w:pPr>
              <w:jc w:val="center"/>
              <w:spacing w:after="0"/>
              <w:rPr>
                <w:sz w:val="20"/>
                <w:szCs w:val="20"/>
                <w:color w:val="auto"/>
              </w:rPr>
            </w:pPr>
            <w:r>
              <w:rPr>
                <w:rFonts w:ascii="Arial" w:cs="Arial" w:eastAsia="Arial" w:hAnsi="Arial"/>
                <w:sz w:val="18"/>
                <w:szCs w:val="18"/>
                <w:color w:val="auto"/>
                <w:w w:val="92"/>
              </w:rPr>
              <w:t>/s/ RON VERDOORN</w:t>
            </w:r>
          </w:p>
        </w:tc>
        <w:tc>
          <w:tcPr>
            <w:tcW w:w="3700" w:type="dxa"/>
            <w:vAlign w:val="bottom"/>
          </w:tcPr>
          <w:p>
            <w:pPr>
              <w:ind w:left="2040"/>
              <w:spacing w:after="0"/>
              <w:rPr>
                <w:sz w:val="20"/>
                <w:szCs w:val="20"/>
                <w:color w:val="auto"/>
              </w:rPr>
            </w:pPr>
            <w:r>
              <w:rPr>
                <w:rFonts w:ascii="Arial" w:cs="Arial" w:eastAsia="Arial" w:hAnsi="Arial"/>
                <w:sz w:val="18"/>
                <w:szCs w:val="18"/>
                <w:color w:val="auto"/>
              </w:rPr>
              <w:t>Director</w:t>
            </w:r>
          </w:p>
        </w:tc>
        <w:tc>
          <w:tcPr>
            <w:tcW w:w="2320" w:type="dxa"/>
            <w:vAlign w:val="bottom"/>
          </w:tcPr>
          <w:p>
            <w:pPr>
              <w:ind w:left="1060"/>
              <w:spacing w:after="0"/>
              <w:rPr>
                <w:sz w:val="20"/>
                <w:szCs w:val="20"/>
                <w:color w:val="auto"/>
              </w:rPr>
            </w:pPr>
            <w:r>
              <w:rPr>
                <w:rFonts w:ascii="Arial" w:cs="Arial" w:eastAsia="Arial" w:hAnsi="Arial"/>
                <w:sz w:val="18"/>
                <w:szCs w:val="18"/>
                <w:color w:val="auto"/>
                <w:w w:val="96"/>
              </w:rPr>
              <w:t>October 2, 2003</w:t>
            </w:r>
          </w:p>
        </w:tc>
      </w:tr>
      <w:tr>
        <w:trPr>
          <w:trHeight w:val="97"/>
        </w:trPr>
        <w:tc>
          <w:tcPr>
            <w:tcW w:w="5400" w:type="dxa"/>
            <w:vAlign w:val="bottom"/>
            <w:tcBorders>
              <w:bottom w:val="single" w:sz="8" w:color="808080"/>
            </w:tcBorders>
          </w:tcPr>
          <w:p>
            <w:pPr>
              <w:spacing w:after="0"/>
              <w:rPr>
                <w:sz w:val="8"/>
                <w:szCs w:val="8"/>
                <w:color w:val="auto"/>
              </w:rPr>
            </w:pPr>
          </w:p>
        </w:tc>
        <w:tc>
          <w:tcPr>
            <w:tcW w:w="3700" w:type="dxa"/>
            <w:vAlign w:val="bottom"/>
          </w:tcPr>
          <w:p>
            <w:pPr>
              <w:spacing w:after="0"/>
              <w:rPr>
                <w:sz w:val="8"/>
                <w:szCs w:val="8"/>
                <w:color w:val="auto"/>
              </w:rPr>
            </w:pPr>
          </w:p>
        </w:tc>
        <w:tc>
          <w:tcPr>
            <w:tcW w:w="2320" w:type="dxa"/>
            <w:vAlign w:val="bottom"/>
          </w:tcPr>
          <w:p>
            <w:pPr>
              <w:spacing w:after="0"/>
              <w:rPr>
                <w:sz w:val="8"/>
                <w:szCs w:val="8"/>
                <w:color w:val="auto"/>
              </w:rPr>
            </w:pPr>
          </w:p>
        </w:tc>
      </w:tr>
      <w:tr>
        <w:trPr>
          <w:trHeight w:val="289"/>
        </w:trPr>
        <w:tc>
          <w:tcPr>
            <w:tcW w:w="5400" w:type="dxa"/>
            <w:vAlign w:val="bottom"/>
          </w:tcPr>
          <w:p>
            <w:pPr>
              <w:jc w:val="center"/>
              <w:spacing w:after="0"/>
              <w:rPr>
                <w:sz w:val="20"/>
                <w:szCs w:val="20"/>
                <w:color w:val="auto"/>
              </w:rPr>
            </w:pPr>
            <w:r>
              <w:rPr>
                <w:rFonts w:ascii="Arial" w:cs="Arial" w:eastAsia="Arial" w:hAnsi="Arial"/>
                <w:sz w:val="18"/>
                <w:szCs w:val="18"/>
                <w:color w:val="auto"/>
                <w:w w:val="89"/>
              </w:rPr>
              <w:t>Ron Verdoorn</w:t>
            </w:r>
          </w:p>
        </w:tc>
        <w:tc>
          <w:tcPr>
            <w:tcW w:w="3700" w:type="dxa"/>
            <w:vAlign w:val="bottom"/>
          </w:tcPr>
          <w:p>
            <w:pPr>
              <w:spacing w:after="0"/>
              <w:rPr>
                <w:sz w:val="24"/>
                <w:szCs w:val="24"/>
                <w:color w:val="auto"/>
              </w:rPr>
            </w:pPr>
          </w:p>
        </w:tc>
        <w:tc>
          <w:tcPr>
            <w:tcW w:w="2320" w:type="dxa"/>
            <w:vAlign w:val="bottom"/>
          </w:tcPr>
          <w:p>
            <w:pPr>
              <w:spacing w:after="0"/>
              <w:rPr>
                <w:sz w:val="24"/>
                <w:szCs w:val="24"/>
                <w:color w:val="auto"/>
              </w:rPr>
            </w:pPr>
          </w:p>
        </w:tc>
      </w:tr>
      <w:tr>
        <w:trPr>
          <w:trHeight w:val="432"/>
        </w:trPr>
        <w:tc>
          <w:tcPr>
            <w:tcW w:w="5400" w:type="dxa"/>
            <w:vAlign w:val="bottom"/>
          </w:tcPr>
          <w:p>
            <w:pPr>
              <w:spacing w:after="0"/>
              <w:rPr>
                <w:sz w:val="24"/>
                <w:szCs w:val="24"/>
                <w:color w:val="auto"/>
              </w:rPr>
            </w:pPr>
          </w:p>
        </w:tc>
        <w:tc>
          <w:tcPr>
            <w:tcW w:w="3700" w:type="dxa"/>
            <w:vAlign w:val="bottom"/>
          </w:tcPr>
          <w:p>
            <w:pPr>
              <w:ind w:left="180"/>
              <w:spacing w:after="0"/>
              <w:rPr>
                <w:sz w:val="20"/>
                <w:szCs w:val="20"/>
                <w:color w:val="auto"/>
              </w:rPr>
            </w:pPr>
            <w:r>
              <w:rPr>
                <w:rFonts w:ascii="Arial" w:cs="Arial" w:eastAsia="Arial" w:hAnsi="Arial"/>
                <w:sz w:val="18"/>
                <w:szCs w:val="18"/>
                <w:color w:val="auto"/>
              </w:rPr>
              <w:t>II-5</w:t>
            </w:r>
          </w:p>
        </w:tc>
        <w:tc>
          <w:tcPr>
            <w:tcW w:w="2320" w:type="dxa"/>
            <w:vAlign w:val="bottom"/>
          </w:tcPr>
          <w:p>
            <w:pPr>
              <w:spacing w:after="0"/>
              <w:rPr>
                <w:sz w:val="24"/>
                <w:szCs w:val="24"/>
                <w:color w:val="auto"/>
              </w:rPr>
            </w:pPr>
          </w:p>
        </w:tc>
      </w:tr>
      <w:tr>
        <w:trPr>
          <w:trHeight w:val="228"/>
        </w:trPr>
        <w:tc>
          <w:tcPr>
            <w:tcW w:w="5400" w:type="dxa"/>
            <w:vAlign w:val="bottom"/>
            <w:tcBorders>
              <w:bottom w:val="single" w:sz="8" w:color="808080"/>
            </w:tcBorders>
          </w:tcPr>
          <w:p>
            <w:pPr>
              <w:spacing w:after="0"/>
              <w:rPr>
                <w:sz w:val="19"/>
                <w:szCs w:val="19"/>
                <w:color w:val="auto"/>
              </w:rPr>
            </w:pPr>
          </w:p>
        </w:tc>
        <w:tc>
          <w:tcPr>
            <w:tcW w:w="3700" w:type="dxa"/>
            <w:vAlign w:val="bottom"/>
            <w:tcBorders>
              <w:bottom w:val="single" w:sz="8" w:color="808080"/>
            </w:tcBorders>
          </w:tcPr>
          <w:p>
            <w:pPr>
              <w:spacing w:after="0"/>
              <w:rPr>
                <w:sz w:val="19"/>
                <w:szCs w:val="19"/>
                <w:color w:val="auto"/>
              </w:rPr>
            </w:pPr>
          </w:p>
        </w:tc>
        <w:tc>
          <w:tcPr>
            <w:tcW w:w="232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500" w:type="dxa"/>
            <w:vAlign w:val="bottom"/>
          </w:tcPr>
          <w:p>
            <w:pPr>
              <w:ind w:left="2120"/>
              <w:spacing w:after="0"/>
              <w:rPr>
                <w:sz w:val="20"/>
                <w:szCs w:val="20"/>
                <w:color w:val="auto"/>
              </w:rPr>
            </w:pPr>
            <w:r>
              <w:rPr>
                <w:rFonts w:ascii="Arial" w:cs="Arial" w:eastAsia="Arial" w:hAnsi="Arial"/>
                <w:sz w:val="18"/>
                <w:szCs w:val="18"/>
                <w:b w:val="1"/>
                <w:bCs w:val="1"/>
                <w:color w:val="auto"/>
              </w:rPr>
              <w:t>EXHIBIT INDEX</w:t>
            </w:r>
          </w:p>
        </w:tc>
      </w:tr>
      <w:tr>
        <w:trPr>
          <w:trHeight w:val="596"/>
        </w:trPr>
        <w:tc>
          <w:tcPr>
            <w:tcW w:w="2580" w:type="dxa"/>
            <w:vAlign w:val="bottom"/>
          </w:tcPr>
          <w:p>
            <w:pPr>
              <w:jc w:val="right"/>
              <w:ind w:right="736"/>
              <w:spacing w:after="0"/>
              <w:rPr>
                <w:sz w:val="20"/>
                <w:szCs w:val="20"/>
                <w:color w:val="auto"/>
              </w:rPr>
            </w:pPr>
            <w:r>
              <w:rPr>
                <w:rFonts w:ascii="Arial" w:cs="Arial" w:eastAsia="Arial" w:hAnsi="Arial"/>
                <w:sz w:val="14"/>
                <w:szCs w:val="14"/>
                <w:b w:val="1"/>
                <w:bCs w:val="1"/>
                <w:color w:val="auto"/>
              </w:rPr>
              <w:t>Exhibit Number</w:t>
            </w:r>
          </w:p>
        </w:tc>
        <w:tc>
          <w:tcPr>
            <w:tcW w:w="340" w:type="dxa"/>
            <w:vAlign w:val="bottom"/>
          </w:tcPr>
          <w:p>
            <w:pPr>
              <w:spacing w:after="0"/>
              <w:rPr>
                <w:sz w:val="24"/>
                <w:szCs w:val="24"/>
                <w:color w:val="auto"/>
              </w:rPr>
            </w:pPr>
          </w:p>
        </w:tc>
        <w:tc>
          <w:tcPr>
            <w:tcW w:w="8500" w:type="dxa"/>
            <w:vAlign w:val="bottom"/>
          </w:tcPr>
          <w:p>
            <w:pPr>
              <w:ind w:left="354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2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500" w:type="dxa"/>
            <w:vAlign w:val="bottom"/>
            <w:tcBorders>
              <w:bottom w:val="single" w:sz="8" w:color="808080"/>
            </w:tcBorders>
          </w:tcPr>
          <w:p>
            <w:pPr>
              <w:spacing w:after="0"/>
              <w:rPr>
                <w:sz w:val="8"/>
                <w:szCs w:val="8"/>
                <w:color w:val="auto"/>
              </w:rPr>
            </w:pPr>
          </w:p>
        </w:tc>
      </w:tr>
      <w:tr>
        <w:trPr>
          <w:trHeight w:val="309"/>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5.1*</w:t>
            </w:r>
          </w:p>
        </w:tc>
        <w:tc>
          <w:tcPr>
            <w:tcW w:w="340" w:type="dxa"/>
            <w:vAlign w:val="bottom"/>
          </w:tcPr>
          <w:p>
            <w:pPr>
              <w:spacing w:after="0"/>
              <w:rPr>
                <w:sz w:val="24"/>
                <w:szCs w:val="24"/>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2580" w:type="dxa"/>
            <w:vAlign w:val="bottom"/>
          </w:tcPr>
          <w:p>
            <w:pPr>
              <w:jc w:val="right"/>
              <w:ind w:right="956"/>
              <w:spacing w:after="0"/>
              <w:rPr>
                <w:sz w:val="20"/>
                <w:szCs w:val="20"/>
                <w:color w:val="auto"/>
              </w:rPr>
            </w:pPr>
            <w:r>
              <w:rPr>
                <w:rFonts w:ascii="Arial" w:cs="Arial" w:eastAsia="Arial" w:hAnsi="Arial"/>
                <w:sz w:val="18"/>
                <w:szCs w:val="18"/>
                <w:color w:val="auto"/>
              </w:rPr>
              <w:t>23.1</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23.2*</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24.1*</w:t>
            </w:r>
          </w:p>
        </w:tc>
        <w:tc>
          <w:tcPr>
            <w:tcW w:w="340" w:type="dxa"/>
            <w:vAlign w:val="bottom"/>
          </w:tcPr>
          <w:p>
            <w:pPr>
              <w:spacing w:after="0"/>
              <w:rPr>
                <w:sz w:val="19"/>
                <w:szCs w:val="19"/>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ectPr>
          <w:pgSz w:w="11900" w:h="16838" w:orient="portrait"/>
          <w:cols w:equalWidth="0" w:num="1">
            <w:col w:w="11420"/>
          </w:cols>
          <w:pgMar w:left="240" w:top="419" w:right="239" w:bottom="1440" w:gutter="0" w:footer="0" w:header="0"/>
        </w:sectPr>
      </w:pPr>
    </w:p>
    <w:bookmarkStart w:id="39" w:name="page40"/>
    <w:bookmarkEnd w:id="39"/>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We hereby consent to the incorporation by reference in this Registration Statement on Form S-3 of our report dated February 26, 2003 relating to the financial statements, which appears in Marvell Technology Group Ltd.'s Annual Report on Form 10-K for the year ended February 1, 2003. We also consent to the reference to us under the heading "Experts" in such Registration Statement.</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October 1, 2003</w:t>
      </w:r>
    </w:p>
    <w:sectPr>
      <w:pgSz w:w="11900" w:h="16838" w:orient="portrait"/>
      <w:cols w:equalWidth="0" w:num="1">
        <w:col w:w="10219"/>
      </w:cols>
      <w:pgMar w:left="240" w:top="7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1)"/>
      <w:numFmt w:val="decimal"/>
      <w:start w:val="1"/>
    </w:lvl>
  </w:abstractNum>
  <w:abstractNum w:abstractNumId="11">
    <w:nsid w:val="4E6AFB66"/>
    <w:multiLevelType w:val="hybridMultilevel"/>
    <w:lvl w:ilvl="0">
      <w:lvlJc w:val="left"/>
      <w:lvlText w:val="(%1)"/>
      <w:numFmt w:val="decimal"/>
      <w:start w:val="10"/>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700"/>
    </w:lvl>
  </w:abstractNum>
  <w:abstractNum w:abstractNumId="18">
    <w:nsid w:val="62BBD95A"/>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19">
    <w:nsid w:val="436C6125"/>
    <w:multiLevelType w:val="hybridMultilevel"/>
    <w:lvl w:ilvl="0">
      <w:lvlJc w:val="left"/>
      <w:lvlText w:val="%1"/>
      <w:numFmt w:val="lowerLetter"/>
      <w:start w:val="1"/>
    </w:lvl>
    <w:lvl w:ilvl="1">
      <w:lvlJc w:val="left"/>
      <w:lvlText w:val="(%2)"/>
      <w:numFmt w:val="decimal"/>
      <w:start w:val="2"/>
    </w:lvl>
  </w:abstractNum>
  <w:abstractNum w:abstractNumId="20">
    <w:nsid w:val="628C895D"/>
    <w:multiLevelType w:val="hybridMultilevel"/>
    <w:lvl w:ilvl="0">
      <w:lvlJc w:val="left"/>
      <w:lvlText w:val="(%1)"/>
      <w:numFmt w:val="lowerLetter"/>
      <w:start w:val="2"/>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2019-12-14T20:12:23Z</dcterms:created>
  <dcterms:modified xsi:type="dcterms:W3CDTF">2019-12-14T20:12:23Z</dcterms:modified>
</cp:coreProperties>
</file>