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25400</wp:posOffset>
            </wp:positionH>
            <wp:positionV relativeFrom="paragraph">
              <wp:posOffset>-6985</wp:posOffset>
            </wp:positionV>
            <wp:extent cx="143510" cy="1943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94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4"/>
        <w:spacing w:after="0" w:line="190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5"/>
          <w:szCs w:val="25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93541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354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00" w:space="38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BANATAO DIOSDADO P</w:t>
              </w:r>
            </w:hyperlink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gridSpan w:val="6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26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top w:val="single" w:sz="8" w:color="2C2C2C"/>
            </w:tcBorders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4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020" w:type="dxa"/>
            <w:vAlign w:val="bottom"/>
          </w:tcPr>
          <w:p>
            <w:pPr>
              <w:ind w:left="60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300" w:type="dxa"/>
            <w:vAlign w:val="bottom"/>
            <w:gridSpan w:val="5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12/29/2003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0" w:type="dxa"/>
            <w:vAlign w:val="bottom"/>
            <w:gridSpan w:val="6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40" w:type="dxa"/>
            <w:vAlign w:val="bottom"/>
            <w:gridSpan w:val="5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80" w:type="dxa"/>
            <w:vAlign w:val="bottom"/>
            <w:gridSpan w:val="4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34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10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40" w:type="dxa"/>
            <w:vAlign w:val="bottom"/>
            <w:gridSpan w:val="4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4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gridSpan w:val="4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12/29/2003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15,000</w:t>
            </w:r>
          </w:p>
        </w:tc>
        <w:tc>
          <w:tcPr>
            <w:tcW w:w="6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ind w:right="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0.05</w:t>
            </w:r>
          </w:p>
        </w:tc>
        <w:tc>
          <w:tcPr>
            <w:tcW w:w="11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1,390,000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gridSpan w:val="4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12/29/2003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15,000</w:t>
            </w:r>
          </w:p>
        </w:tc>
        <w:tc>
          <w:tcPr>
            <w:tcW w:w="6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ind w:righ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36.75</w:t>
            </w:r>
          </w:p>
        </w:tc>
        <w:tc>
          <w:tcPr>
            <w:tcW w:w="11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1,375,000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1,676,747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680,680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LLC</w:t>
      </w:r>
    </w:p>
    <w:p>
      <w:pPr>
        <w:spacing w:after="0" w:line="159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0.05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12/29/2003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15,000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01/28/2007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156,100</w:t>
            </w: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156,100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720" w:type="dxa"/>
            <w:vAlign w:val="bottom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06/26/2010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20,500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20,500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72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143510</wp:posOffset>
            </wp:positionH>
            <wp:positionV relativeFrom="page">
              <wp:posOffset>88900</wp:posOffset>
            </wp:positionV>
            <wp:extent cx="7324090" cy="43719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437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fully vested and immediately exerciseable.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previously reported an option to purchase 30,000 shares, of which 20,500 are vested and exerciseable until 01/09/04.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40" w:firstLine="6"/>
        <w:spacing w:after="0" w:line="250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a pre-paid forward contract (Right to Sell) held by Tallwood Partners LLC (the "Partnership"). The contract provides that the Partnership deliver a certain number of shares at the end of the contract depending on the Issuer's common stock price on such date. The contract for 500,000 shares was entered into on 11/30/01 with a settlement date on 03/05/04. Exact pricing terms are determined in accordance with the contract.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20" w:firstLine="6"/>
        <w:spacing w:after="0" w:line="267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Reporting Person also has indirect ownership of seven prepaid forward contracts (Right to Sell) held by the Diosdado &amp; Maria C. Banatao Trust (the "Trust"). The contracts provide that the Trust will deliver a certain number of shares at the end of the contract depending on the Issuer's common stock price on such date. 1) a contract for 250,000 shares was entered into on 03/07/02 with a settlement date on 03/05/04; 2) a contract for 150,000 shares was entered into on 03/12/02 with a settlement date on 03/12/04; 3) a contract for 100,000 shares was entered into on 04/01/02 with a settlement date on 03/12/04; 4) a contract for 300,000 shares was entered into on 06/28/02 with a settelement date on 06/28/05; 5) a contract for 100,000 shares was entered into on 09/10/02 with a settlement date on 09/09/05; 6) a contract for 100,000 shares was entered into on 09/23/02 with a settlement date on 09/23/05; 7) a contract for 280,000 shares was entered into on 07/02/03 with a settlement date</w:t>
      </w:r>
    </w:p>
    <w:p>
      <w:pPr>
        <w:spacing w:after="0" w:line="17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20" w:right="520" w:firstLine="6"/>
        <w:spacing w:after="0" w:line="265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7: on 06/30/06; 8) a contract for 150,000 shares was entered into on 10/14/03 with a settlement date on 10/13/06. Exact pricing terms for each contract are determined on the respective settlement dates in accordance with the applicable contract.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Diosdado Banatao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12/31/2003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20" w:right="3800" w:firstLine="6"/>
        <w:spacing w:after="0" w:line="318" w:lineRule="auto"/>
        <w:tabs>
          <w:tab w:leader="none" w:pos="16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7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2019-12-17T03:29:10Z</dcterms:created>
  <dcterms:modified xsi:type="dcterms:W3CDTF">2019-12-17T03:29:10Z</dcterms:modified>
</cp:coreProperties>
</file>