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26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CURRENT REPORT</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PURSUANT TO SECTION 13 OR 15(d) OF</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 EXCHANGE ACT OF 1934</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December 12, 2003</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Date of report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(Date of earliest event reported)</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060" w:type="dxa"/>
            <w:vAlign w:val="bottom"/>
          </w:tcPr>
          <w:p>
            <w:pPr>
              <w:spacing w:after="0"/>
              <w:rPr>
                <w:sz w:val="19"/>
                <w:szCs w:val="19"/>
                <w:color w:val="auto"/>
              </w:rPr>
            </w:pPr>
          </w:p>
        </w:tc>
        <w:tc>
          <w:tcPr>
            <w:tcW w:w="5520" w:type="dxa"/>
            <w:vAlign w:val="bottom"/>
          </w:tcPr>
          <w:p>
            <w:pPr>
              <w:jc w:val="center"/>
              <w:ind w:right="112"/>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840" w:type="dxa"/>
            <w:vAlign w:val="bottom"/>
          </w:tcPr>
          <w:p>
            <w:pPr>
              <w:spacing w:after="0"/>
              <w:rPr>
                <w:sz w:val="19"/>
                <w:szCs w:val="19"/>
                <w:color w:val="auto"/>
              </w:rPr>
            </w:pPr>
          </w:p>
        </w:tc>
      </w:tr>
      <w:tr>
        <w:trPr>
          <w:trHeight w:val="447"/>
        </w:trPr>
        <w:tc>
          <w:tcPr>
            <w:tcW w:w="3060" w:type="dxa"/>
            <w:vAlign w:val="bottom"/>
          </w:tcPr>
          <w:p>
            <w:pPr>
              <w:jc w:val="center"/>
              <w:ind w:left="432"/>
              <w:spacing w:after="0"/>
              <w:rPr>
                <w:sz w:val="20"/>
                <w:szCs w:val="20"/>
                <w:color w:val="auto"/>
              </w:rPr>
            </w:pPr>
            <w:r>
              <w:rPr>
                <w:rFonts w:ascii="Arial" w:cs="Arial" w:eastAsia="Arial" w:hAnsi="Arial"/>
                <w:sz w:val="18"/>
                <w:szCs w:val="18"/>
                <w:b w:val="1"/>
                <w:bCs w:val="1"/>
                <w:color w:val="auto"/>
                <w:w w:val="89"/>
              </w:rPr>
              <w:t>Bermuda</w:t>
            </w: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0"/>
              </w:rPr>
              <w:t>0-30877</w:t>
            </w:r>
          </w:p>
        </w:tc>
        <w:tc>
          <w:tcPr>
            <w:tcW w:w="2840" w:type="dxa"/>
            <w:vAlign w:val="bottom"/>
          </w:tcPr>
          <w:p>
            <w:pPr>
              <w:jc w:val="center"/>
              <w:ind w:right="672"/>
              <w:spacing w:after="0"/>
              <w:rPr>
                <w:sz w:val="20"/>
                <w:szCs w:val="20"/>
                <w:color w:val="auto"/>
              </w:rPr>
            </w:pPr>
            <w:r>
              <w:rPr>
                <w:rFonts w:ascii="Arial" w:cs="Arial" w:eastAsia="Arial" w:hAnsi="Arial"/>
                <w:sz w:val="18"/>
                <w:szCs w:val="18"/>
                <w:b w:val="1"/>
                <w:bCs w:val="1"/>
                <w:color w:val="auto"/>
                <w:w w:val="87"/>
              </w:rPr>
              <w:t>77-0481679</w:t>
            </w:r>
          </w:p>
        </w:tc>
      </w:tr>
      <w:tr>
        <w:trPr>
          <w:trHeight w:val="216"/>
        </w:trPr>
        <w:tc>
          <w:tcPr>
            <w:tcW w:w="3060" w:type="dxa"/>
            <w:vAlign w:val="bottom"/>
          </w:tcPr>
          <w:p>
            <w:pPr>
              <w:jc w:val="center"/>
              <w:ind w:left="432"/>
              <w:spacing w:after="0"/>
              <w:rPr>
                <w:sz w:val="20"/>
                <w:szCs w:val="20"/>
                <w:color w:val="auto"/>
              </w:rPr>
            </w:pPr>
            <w:r>
              <w:rPr>
                <w:rFonts w:ascii="Arial" w:cs="Arial" w:eastAsia="Arial" w:hAnsi="Arial"/>
                <w:sz w:val="18"/>
                <w:szCs w:val="18"/>
                <w:b w:val="1"/>
                <w:bCs w:val="1"/>
                <w:color w:val="auto"/>
                <w:w w:val="88"/>
              </w:rPr>
              <w:t>(State or other jurisdiction of</w:t>
            </w: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7"/>
              </w:rPr>
              <w:t>(Commission File</w:t>
            </w:r>
          </w:p>
        </w:tc>
        <w:tc>
          <w:tcPr>
            <w:tcW w:w="2840" w:type="dxa"/>
            <w:vAlign w:val="bottom"/>
          </w:tcPr>
          <w:p>
            <w:pPr>
              <w:jc w:val="center"/>
              <w:ind w:right="672"/>
              <w:spacing w:after="0"/>
              <w:rPr>
                <w:sz w:val="20"/>
                <w:szCs w:val="20"/>
                <w:color w:val="auto"/>
              </w:rPr>
            </w:pPr>
            <w:r>
              <w:rPr>
                <w:rFonts w:ascii="Arial" w:cs="Arial" w:eastAsia="Arial" w:hAnsi="Arial"/>
                <w:sz w:val="18"/>
                <w:szCs w:val="18"/>
                <w:b w:val="1"/>
                <w:bCs w:val="1"/>
                <w:color w:val="auto"/>
                <w:w w:val="92"/>
              </w:rPr>
              <w:t>(I.R.S. Employer</w:t>
            </w:r>
          </w:p>
        </w:tc>
      </w:tr>
      <w:tr>
        <w:trPr>
          <w:trHeight w:val="228"/>
        </w:trPr>
        <w:tc>
          <w:tcPr>
            <w:tcW w:w="3060" w:type="dxa"/>
            <w:vAlign w:val="bottom"/>
          </w:tcPr>
          <w:p>
            <w:pPr>
              <w:jc w:val="center"/>
              <w:ind w:left="432"/>
              <w:spacing w:after="0"/>
              <w:rPr>
                <w:sz w:val="20"/>
                <w:szCs w:val="20"/>
                <w:color w:val="auto"/>
              </w:rPr>
            </w:pPr>
            <w:r>
              <w:rPr>
                <w:rFonts w:ascii="Arial" w:cs="Arial" w:eastAsia="Arial" w:hAnsi="Arial"/>
                <w:sz w:val="18"/>
                <w:szCs w:val="18"/>
                <w:b w:val="1"/>
                <w:bCs w:val="1"/>
                <w:color w:val="auto"/>
                <w:w w:val="89"/>
              </w:rPr>
              <w:t>incorporation or organization)</w:t>
            </w: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1"/>
              </w:rPr>
              <w:t>Number)</w:t>
            </w:r>
          </w:p>
        </w:tc>
        <w:tc>
          <w:tcPr>
            <w:tcW w:w="2840" w:type="dxa"/>
            <w:vAlign w:val="bottom"/>
          </w:tcPr>
          <w:p>
            <w:pPr>
              <w:jc w:val="center"/>
              <w:ind w:right="652"/>
              <w:spacing w:after="0"/>
              <w:rPr>
                <w:sz w:val="20"/>
                <w:szCs w:val="20"/>
                <w:color w:val="auto"/>
              </w:rPr>
            </w:pPr>
            <w:r>
              <w:rPr>
                <w:rFonts w:ascii="Arial" w:cs="Arial" w:eastAsia="Arial" w:hAnsi="Arial"/>
                <w:sz w:val="18"/>
                <w:szCs w:val="18"/>
                <w:b w:val="1"/>
                <w:bCs w:val="1"/>
                <w:color w:val="auto"/>
                <w:w w:val="90"/>
              </w:rPr>
              <w:t>Identification No.)</w:t>
            </w:r>
          </w:p>
        </w:tc>
      </w:tr>
      <w:tr>
        <w:trPr>
          <w:trHeight w:val="420"/>
        </w:trPr>
        <w:tc>
          <w:tcPr>
            <w:tcW w:w="3060" w:type="dxa"/>
            <w:vAlign w:val="bottom"/>
          </w:tcPr>
          <w:p>
            <w:pPr>
              <w:spacing w:after="0"/>
              <w:rPr>
                <w:sz w:val="24"/>
                <w:szCs w:val="24"/>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0"/>
              </w:rPr>
              <w:t>Canon’s Court</w:t>
            </w:r>
          </w:p>
        </w:tc>
        <w:tc>
          <w:tcPr>
            <w:tcW w:w="2840" w:type="dxa"/>
            <w:vAlign w:val="bottom"/>
          </w:tcPr>
          <w:p>
            <w:pPr>
              <w:spacing w:after="0"/>
              <w:rPr>
                <w:sz w:val="24"/>
                <w:szCs w:val="24"/>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9"/>
              </w:rPr>
              <w:t>22 Victoria Street</w:t>
            </w:r>
          </w:p>
        </w:tc>
        <w:tc>
          <w:tcPr>
            <w:tcW w:w="284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4"/>
              </w:rPr>
              <w:t>Hamilton HM 12</w:t>
            </w:r>
          </w:p>
        </w:tc>
        <w:tc>
          <w:tcPr>
            <w:tcW w:w="284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92"/>
              </w:rPr>
              <w:t>Bermuda</w:t>
            </w:r>
          </w:p>
        </w:tc>
        <w:tc>
          <w:tcPr>
            <w:tcW w:w="2840" w:type="dxa"/>
            <w:vAlign w:val="bottom"/>
          </w:tcPr>
          <w:p>
            <w:pPr>
              <w:spacing w:after="0"/>
              <w:rPr>
                <w:sz w:val="18"/>
                <w:szCs w:val="18"/>
                <w:color w:val="auto"/>
              </w:rPr>
            </w:pPr>
          </w:p>
        </w:tc>
      </w:tr>
      <w:tr>
        <w:trPr>
          <w:trHeight w:val="228"/>
        </w:trPr>
        <w:tc>
          <w:tcPr>
            <w:tcW w:w="3060" w:type="dxa"/>
            <w:vAlign w:val="bottom"/>
          </w:tcPr>
          <w:p>
            <w:pPr>
              <w:spacing w:after="0"/>
              <w:rPr>
                <w:sz w:val="19"/>
                <w:szCs w:val="19"/>
                <w:color w:val="auto"/>
              </w:rPr>
            </w:pPr>
          </w:p>
        </w:tc>
        <w:tc>
          <w:tcPr>
            <w:tcW w:w="5520" w:type="dxa"/>
            <w:vAlign w:val="bottom"/>
          </w:tcPr>
          <w:p>
            <w:pPr>
              <w:jc w:val="center"/>
              <w:ind w:right="152"/>
              <w:spacing w:after="0"/>
              <w:rPr>
                <w:sz w:val="20"/>
                <w:szCs w:val="20"/>
                <w:color w:val="auto"/>
              </w:rPr>
            </w:pPr>
            <w:r>
              <w:rPr>
                <w:rFonts w:ascii="Arial" w:cs="Arial" w:eastAsia="Arial" w:hAnsi="Arial"/>
                <w:sz w:val="18"/>
                <w:szCs w:val="18"/>
                <w:b w:val="1"/>
                <w:bCs w:val="1"/>
                <w:color w:val="auto"/>
                <w:w w:val="86"/>
              </w:rPr>
              <w:t>(Address of principal executive offices)</w:t>
            </w:r>
          </w:p>
        </w:tc>
        <w:tc>
          <w:tcPr>
            <w:tcW w:w="2840" w:type="dxa"/>
            <w:vAlign w:val="bottom"/>
          </w:tcPr>
          <w:p>
            <w:pPr>
              <w:jc w:val="center"/>
              <w:ind w:right="652"/>
              <w:spacing w:after="0"/>
              <w:rPr>
                <w:sz w:val="20"/>
                <w:szCs w:val="20"/>
                <w:color w:val="auto"/>
              </w:rPr>
            </w:pPr>
            <w:r>
              <w:rPr>
                <w:rFonts w:ascii="Arial" w:cs="Arial" w:eastAsia="Arial" w:hAnsi="Arial"/>
                <w:sz w:val="18"/>
                <w:szCs w:val="18"/>
                <w:b w:val="1"/>
                <w:bCs w:val="1"/>
                <w:color w:val="auto"/>
                <w:w w:val="92"/>
              </w:rPr>
              <w:t>(Zip Code)</w:t>
            </w:r>
          </w:p>
        </w:tc>
      </w:tr>
      <w:tr>
        <w:trPr>
          <w:trHeight w:val="432"/>
        </w:trPr>
        <w:tc>
          <w:tcPr>
            <w:tcW w:w="3060" w:type="dxa"/>
            <w:vAlign w:val="bottom"/>
          </w:tcPr>
          <w:p>
            <w:pPr>
              <w:spacing w:after="0"/>
              <w:rPr>
                <w:sz w:val="24"/>
                <w:szCs w:val="24"/>
                <w:color w:val="auto"/>
              </w:rPr>
            </w:pPr>
          </w:p>
        </w:tc>
        <w:tc>
          <w:tcPr>
            <w:tcW w:w="5520" w:type="dxa"/>
            <w:vAlign w:val="bottom"/>
          </w:tcPr>
          <w:p>
            <w:pPr>
              <w:jc w:val="center"/>
              <w:ind w:right="112"/>
              <w:spacing w:after="0"/>
              <w:rPr>
                <w:sz w:val="20"/>
                <w:szCs w:val="20"/>
                <w:color w:val="auto"/>
              </w:rPr>
            </w:pPr>
            <w:r>
              <w:rPr>
                <w:rFonts w:ascii="Arial" w:cs="Arial" w:eastAsia="Arial" w:hAnsi="Arial"/>
                <w:sz w:val="18"/>
                <w:szCs w:val="18"/>
                <w:b w:val="1"/>
                <w:bCs w:val="1"/>
                <w:color w:val="auto"/>
                <w:w w:val="87"/>
              </w:rPr>
              <w:t>Registrant’s telephone number, including area code: (441) 296-6395</w:t>
            </w:r>
          </w:p>
        </w:tc>
        <w:tc>
          <w:tcPr>
            <w:tcW w:w="2840" w:type="dxa"/>
            <w:vAlign w:val="bottom"/>
          </w:tcPr>
          <w:p>
            <w:pPr>
              <w:spacing w:after="0"/>
              <w:rPr>
                <w:sz w:val="24"/>
                <w:szCs w:val="24"/>
                <w:color w:val="auto"/>
              </w:rPr>
            </w:pPr>
          </w:p>
        </w:tc>
      </w:tr>
      <w:tr>
        <w:trPr>
          <w:trHeight w:val="420"/>
        </w:trPr>
        <w:tc>
          <w:tcPr>
            <w:tcW w:w="3060" w:type="dxa"/>
            <w:vAlign w:val="bottom"/>
          </w:tcPr>
          <w:p>
            <w:pPr>
              <w:spacing w:after="0"/>
              <w:rPr>
                <w:sz w:val="24"/>
                <w:szCs w:val="24"/>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90"/>
              </w:rPr>
              <w:t>4th Floor</w:t>
            </w:r>
          </w:p>
        </w:tc>
        <w:tc>
          <w:tcPr>
            <w:tcW w:w="2840" w:type="dxa"/>
            <w:vAlign w:val="bottom"/>
          </w:tcPr>
          <w:p>
            <w:pPr>
              <w:spacing w:after="0"/>
              <w:rPr>
                <w:sz w:val="24"/>
                <w:szCs w:val="24"/>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88"/>
              </w:rPr>
              <w:t>Windsor Place</w:t>
            </w:r>
          </w:p>
        </w:tc>
        <w:tc>
          <w:tcPr>
            <w:tcW w:w="284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12"/>
              <w:spacing w:after="0"/>
              <w:rPr>
                <w:sz w:val="20"/>
                <w:szCs w:val="20"/>
                <w:color w:val="auto"/>
              </w:rPr>
            </w:pPr>
            <w:r>
              <w:rPr>
                <w:rFonts w:ascii="Arial" w:cs="Arial" w:eastAsia="Arial" w:hAnsi="Arial"/>
                <w:sz w:val="18"/>
                <w:szCs w:val="18"/>
                <w:b w:val="1"/>
                <w:bCs w:val="1"/>
                <w:color w:val="auto"/>
                <w:w w:val="87"/>
              </w:rPr>
              <w:t>22 Queen Street</w:t>
            </w:r>
          </w:p>
        </w:tc>
        <w:tc>
          <w:tcPr>
            <w:tcW w:w="284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90"/>
              </w:rPr>
              <w:t>P.O. Box HM 1179</w:t>
            </w:r>
          </w:p>
        </w:tc>
        <w:tc>
          <w:tcPr>
            <w:tcW w:w="284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96"/>
              </w:rPr>
              <w:t>Hamilton HM EX</w:t>
            </w:r>
          </w:p>
        </w:tc>
        <w:tc>
          <w:tcPr>
            <w:tcW w:w="2840" w:type="dxa"/>
            <w:vAlign w:val="bottom"/>
          </w:tcPr>
          <w:p>
            <w:pPr>
              <w:spacing w:after="0"/>
              <w:rPr>
                <w:sz w:val="18"/>
                <w:szCs w:val="18"/>
                <w:color w:val="auto"/>
              </w:rPr>
            </w:pPr>
          </w:p>
        </w:tc>
      </w:tr>
      <w:tr>
        <w:trPr>
          <w:trHeight w:val="216"/>
        </w:trPr>
        <w:tc>
          <w:tcPr>
            <w:tcW w:w="3060" w:type="dxa"/>
            <w:vAlign w:val="bottom"/>
          </w:tcPr>
          <w:p>
            <w:pPr>
              <w:spacing w:after="0"/>
              <w:rPr>
                <w:sz w:val="18"/>
                <w:szCs w:val="18"/>
                <w:color w:val="auto"/>
              </w:rPr>
            </w:pPr>
          </w:p>
        </w:tc>
        <w:tc>
          <w:tcPr>
            <w:tcW w:w="5520" w:type="dxa"/>
            <w:vAlign w:val="bottom"/>
          </w:tcPr>
          <w:p>
            <w:pPr>
              <w:jc w:val="center"/>
              <w:ind w:right="132"/>
              <w:spacing w:after="0"/>
              <w:rPr>
                <w:sz w:val="20"/>
                <w:szCs w:val="20"/>
                <w:color w:val="auto"/>
              </w:rPr>
            </w:pPr>
            <w:r>
              <w:rPr>
                <w:rFonts w:ascii="Arial" w:cs="Arial" w:eastAsia="Arial" w:hAnsi="Arial"/>
                <w:sz w:val="18"/>
                <w:szCs w:val="18"/>
                <w:b w:val="1"/>
                <w:bCs w:val="1"/>
                <w:color w:val="auto"/>
                <w:w w:val="89"/>
              </w:rPr>
              <w:t>Bermuda</w:t>
            </w:r>
          </w:p>
        </w:tc>
        <w:tc>
          <w:tcPr>
            <w:tcW w:w="2840" w:type="dxa"/>
            <w:vAlign w:val="bottom"/>
          </w:tcPr>
          <w:p>
            <w:pPr>
              <w:spacing w:after="0"/>
              <w:rPr>
                <w:sz w:val="18"/>
                <w:szCs w:val="18"/>
                <w:color w:val="auto"/>
              </w:rPr>
            </w:pPr>
          </w:p>
        </w:tc>
      </w:tr>
      <w:tr>
        <w:trPr>
          <w:trHeight w:val="228"/>
        </w:trPr>
        <w:tc>
          <w:tcPr>
            <w:tcW w:w="3060" w:type="dxa"/>
            <w:vAlign w:val="bottom"/>
          </w:tcPr>
          <w:p>
            <w:pPr>
              <w:spacing w:after="0"/>
              <w:rPr>
                <w:sz w:val="19"/>
                <w:szCs w:val="19"/>
                <w:color w:val="auto"/>
              </w:rPr>
            </w:pPr>
          </w:p>
        </w:tc>
        <w:tc>
          <w:tcPr>
            <w:tcW w:w="5520" w:type="dxa"/>
            <w:vAlign w:val="bottom"/>
          </w:tcPr>
          <w:p>
            <w:pPr>
              <w:jc w:val="center"/>
              <w:ind w:right="112"/>
              <w:spacing w:after="0"/>
              <w:rPr>
                <w:sz w:val="20"/>
                <w:szCs w:val="20"/>
                <w:color w:val="auto"/>
              </w:rPr>
            </w:pPr>
            <w:r>
              <w:rPr>
                <w:rFonts w:ascii="Arial" w:cs="Arial" w:eastAsia="Arial" w:hAnsi="Arial"/>
                <w:sz w:val="18"/>
                <w:szCs w:val="18"/>
                <w:b w:val="1"/>
                <w:bCs w:val="1"/>
                <w:color w:val="auto"/>
                <w:w w:val="87"/>
              </w:rPr>
              <w:t>(Former name and former address, if changed since last report)</w:t>
            </w:r>
          </w:p>
        </w:tc>
        <w:tc>
          <w:tcPr>
            <w:tcW w:w="2840" w:type="dxa"/>
            <w:vAlign w:val="bottom"/>
          </w:tcPr>
          <w:p>
            <w:pPr>
              <w:spacing w:after="0"/>
              <w:rPr>
                <w:sz w:val="19"/>
                <w:szCs w:val="19"/>
                <w:color w:val="auto"/>
              </w:rPr>
            </w:pPr>
          </w:p>
        </w:tc>
      </w:tr>
      <w:tr>
        <w:trPr>
          <w:trHeight w:val="174"/>
        </w:trPr>
        <w:tc>
          <w:tcPr>
            <w:tcW w:w="3060" w:type="dxa"/>
            <w:vAlign w:val="bottom"/>
          </w:tcPr>
          <w:p>
            <w:pPr>
              <w:spacing w:after="0"/>
              <w:rPr>
                <w:sz w:val="15"/>
                <w:szCs w:val="15"/>
                <w:color w:val="auto"/>
              </w:rPr>
            </w:pPr>
          </w:p>
        </w:tc>
        <w:tc>
          <w:tcPr>
            <w:tcW w:w="5520" w:type="dxa"/>
            <w:vAlign w:val="bottom"/>
          </w:tcPr>
          <w:p>
            <w:pPr>
              <w:spacing w:after="0"/>
              <w:rPr>
                <w:sz w:val="15"/>
                <w:szCs w:val="15"/>
                <w:color w:val="auto"/>
              </w:rPr>
            </w:pPr>
          </w:p>
        </w:tc>
        <w:tc>
          <w:tcPr>
            <w:tcW w:w="2840" w:type="dxa"/>
            <w:vAlign w:val="bottom"/>
          </w:tcPr>
          <w:p>
            <w:pPr>
              <w:spacing w:after="0"/>
              <w:rPr>
                <w:sz w:val="15"/>
                <w:szCs w:val="15"/>
                <w:color w:val="auto"/>
              </w:rPr>
            </w:pPr>
          </w:p>
        </w:tc>
      </w:tr>
      <w:tr>
        <w:trPr>
          <w:trHeight w:val="61"/>
        </w:trPr>
        <w:tc>
          <w:tcPr>
            <w:tcW w:w="3060" w:type="dxa"/>
            <w:vAlign w:val="bottom"/>
            <w:shd w:val="clear" w:color="auto" w:fill="000000"/>
          </w:tcPr>
          <w:p>
            <w:pPr>
              <w:spacing w:after="0"/>
              <w:rPr>
                <w:sz w:val="5"/>
                <w:szCs w:val="5"/>
                <w:color w:val="auto"/>
              </w:rPr>
            </w:pPr>
          </w:p>
        </w:tc>
        <w:tc>
          <w:tcPr>
            <w:tcW w:w="5520" w:type="dxa"/>
            <w:vAlign w:val="bottom"/>
            <w:shd w:val="clear" w:color="auto" w:fill="000000"/>
          </w:tcPr>
          <w:p>
            <w:pPr>
              <w:spacing w:after="0"/>
              <w:rPr>
                <w:sz w:val="5"/>
                <w:szCs w:val="5"/>
                <w:color w:val="auto"/>
              </w:rPr>
            </w:pPr>
          </w:p>
        </w:tc>
        <w:tc>
          <w:tcPr>
            <w:tcW w:w="2840" w:type="dxa"/>
            <w:vAlign w:val="bottom"/>
            <w:shd w:val="clear" w:color="auto" w:fill="000000"/>
          </w:tcPr>
          <w:p>
            <w:pPr>
              <w:spacing w:after="0"/>
              <w:rPr>
                <w:sz w:val="5"/>
                <w:szCs w:val="5"/>
                <w:color w:val="auto"/>
              </w:rPr>
            </w:pPr>
          </w:p>
        </w:tc>
      </w:tr>
      <w:tr>
        <w:trPr>
          <w:trHeight w:val="655"/>
        </w:trPr>
        <w:tc>
          <w:tcPr>
            <w:tcW w:w="3060" w:type="dxa"/>
            <w:vAlign w:val="bottom"/>
            <w:tcBorders>
              <w:bottom w:val="single" w:sz="8" w:color="808080"/>
            </w:tcBorders>
          </w:tcPr>
          <w:p>
            <w:pPr>
              <w:spacing w:after="0"/>
              <w:rPr>
                <w:sz w:val="24"/>
                <w:szCs w:val="24"/>
                <w:color w:val="auto"/>
              </w:rPr>
            </w:pPr>
          </w:p>
        </w:tc>
        <w:tc>
          <w:tcPr>
            <w:tcW w:w="5520" w:type="dxa"/>
            <w:vAlign w:val="bottom"/>
            <w:tcBorders>
              <w:bottom w:val="single" w:sz="8" w:color="808080"/>
            </w:tcBorders>
          </w:tcPr>
          <w:p>
            <w:pPr>
              <w:spacing w:after="0"/>
              <w:rPr>
                <w:sz w:val="24"/>
                <w:szCs w:val="24"/>
                <w:color w:val="auto"/>
              </w:rPr>
            </w:pPr>
          </w:p>
        </w:tc>
        <w:tc>
          <w:tcPr>
            <w:tcW w:w="284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ind w:left="320"/>
        <w:spacing w:after="0"/>
        <w:rPr>
          <w:rFonts w:ascii="Arial" w:cs="Arial" w:eastAsia="Arial" w:hAnsi="Arial"/>
          <w:sz w:val="22"/>
          <w:szCs w:val="22"/>
          <w:u w:val="single" w:color="auto"/>
          <w:color w:val="0000EE"/>
        </w:rPr>
      </w:pPr>
      <w:hyperlink w:anchor="page4">
        <w:r>
          <w:rPr>
            <w:rFonts w:ascii="Arial" w:cs="Arial" w:eastAsia="Arial" w:hAnsi="Arial"/>
            <w:sz w:val="22"/>
            <w:szCs w:val="22"/>
            <w:u w:val="single" w:color="auto"/>
            <w:color w:val="0000EE"/>
          </w:rPr>
          <w:t>Item 9. Regulation FD Disclosure.</w:t>
        </w:r>
      </w:hyperlink>
    </w:p>
    <w:p>
      <w:pPr>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SIGNATURE</w:t>
        </w:r>
      </w:hyperlink>
    </w:p>
    <w:p>
      <w:pPr>
        <w:spacing w:after="0" w:line="230"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EXHIBIT INDEX</w:t>
        </w:r>
      </w:hyperlink>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Regulation FD Disclosure.</w:t>
      </w:r>
    </w:p>
    <w:p>
      <w:pPr>
        <w:spacing w:after="0" w:line="231"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The information in this Current Report is being furnish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6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On December 12, 2003, Marvell Technology Group Ltd. (“Marvell”) issued a press release announcing the retirement of Diosdado P. Banatao from Marvell’s Board of Directors. The full text of Marvell’s press release is furnished herewith as Exhibit 99.1.</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Exhibits</w:t>
      </w:r>
    </w:p>
    <w:p>
      <w:pPr>
        <w:spacing w:after="0" w:line="200" w:lineRule="exact"/>
        <w:rPr>
          <w:sz w:val="20"/>
          <w:szCs w:val="20"/>
          <w:color w:val="auto"/>
        </w:rPr>
      </w:pPr>
    </w:p>
    <w:p>
      <w:pPr>
        <w:spacing w:after="0" w:line="274" w:lineRule="exact"/>
        <w:rPr>
          <w:sz w:val="20"/>
          <w:szCs w:val="20"/>
          <w:color w:val="auto"/>
        </w:rPr>
      </w:pPr>
    </w:p>
    <w:p>
      <w:pPr>
        <w:spacing w:after="0"/>
        <w:tabs>
          <w:tab w:leader="none" w:pos="2620" w:val="left"/>
        </w:tabs>
        <w:rPr>
          <w:sz w:val="20"/>
          <w:szCs w:val="20"/>
          <w:color w:val="auto"/>
        </w:rPr>
      </w:pPr>
      <w:r>
        <w:rPr>
          <w:rFonts w:ascii="Arial" w:cs="Arial" w:eastAsia="Arial" w:hAnsi="Arial"/>
          <w:sz w:val="18"/>
          <w:szCs w:val="18"/>
          <w:color w:val="auto"/>
        </w:rPr>
        <w:t>Exhibit 99.1</w:t>
      </w:r>
      <w:r>
        <w:rPr>
          <w:sz w:val="20"/>
          <w:szCs w:val="20"/>
          <w:color w:val="auto"/>
        </w:rPr>
        <w:tab/>
      </w:r>
      <w:r>
        <w:rPr>
          <w:rFonts w:ascii="Arial" w:cs="Arial" w:eastAsia="Arial" w:hAnsi="Arial"/>
          <w:sz w:val="15"/>
          <w:szCs w:val="15"/>
          <w:color w:val="auto"/>
        </w:rPr>
        <w:t>Press release issued by Marvell Technology Group Ltd. dated December 12,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420370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w:t>
      </w:r>
    </w:p>
    <w:p>
      <w:pPr>
        <w:spacing w:after="0" w:line="231" w:lineRule="exact"/>
        <w:rPr>
          <w:sz w:val="20"/>
          <w:szCs w:val="20"/>
          <w:color w:val="auto"/>
        </w:rPr>
      </w:pPr>
    </w:p>
    <w:p>
      <w:pPr>
        <w:ind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Date: December 12, 2003</w:t>
      </w:r>
    </w:p>
    <w:p>
      <w:pPr>
        <w:spacing w:after="0" w:line="200" w:lineRule="exact"/>
        <w:rPr>
          <w:sz w:val="20"/>
          <w:szCs w:val="20"/>
          <w:color w:val="auto"/>
        </w:rPr>
      </w:pPr>
    </w:p>
    <w:p>
      <w:pPr>
        <w:spacing w:after="0" w:line="262" w:lineRule="exact"/>
        <w:rPr>
          <w:sz w:val="20"/>
          <w:szCs w:val="20"/>
          <w:color w:val="auto"/>
        </w:rPr>
      </w:pPr>
    </w:p>
    <w:p>
      <w:pPr>
        <w:ind w:left="5940"/>
        <w:spacing w:after="0"/>
        <w:rPr>
          <w:sz w:val="20"/>
          <w:szCs w:val="20"/>
          <w:color w:val="auto"/>
        </w:rPr>
      </w:pPr>
      <w:r>
        <w:rPr>
          <w:rFonts w:ascii="Arial" w:cs="Arial" w:eastAsia="Arial" w:hAnsi="Arial"/>
          <w:sz w:val="18"/>
          <w:szCs w:val="18"/>
          <w:b w:val="1"/>
          <w:bCs w:val="1"/>
          <w:color w:val="auto"/>
        </w:rPr>
        <w:t>MARVELL TECHNOLOGY GROUP LTD.</w:t>
      </w:r>
    </w:p>
    <w:p>
      <w:pPr>
        <w:spacing w:after="0" w:line="231" w:lineRule="exact"/>
        <w:rPr>
          <w:sz w:val="20"/>
          <w:szCs w:val="20"/>
          <w:color w:val="auto"/>
        </w:rPr>
      </w:pPr>
    </w:p>
    <w:p>
      <w:pPr>
        <w:ind w:left="5940"/>
        <w:spacing w:after="0"/>
        <w:tabs>
          <w:tab w:leader="none" w:pos="6380" w:val="left"/>
        </w:tabs>
        <w:rPr>
          <w:sz w:val="20"/>
          <w:szCs w:val="20"/>
          <w:color w:val="auto"/>
        </w:rPr>
      </w:pPr>
      <w:r>
        <w:rPr>
          <w:rFonts w:ascii="Arial" w:cs="Arial" w:eastAsia="Arial" w:hAnsi="Arial"/>
          <w:sz w:val="18"/>
          <w:szCs w:val="18"/>
          <w:color w:val="auto"/>
        </w:rPr>
        <w:t>By:</w:t>
        <w:tab/>
        <w:t>/s/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4070350</wp:posOffset>
            </wp:positionH>
            <wp:positionV relativeFrom="paragraph">
              <wp:posOffset>80010</wp:posOffset>
            </wp:positionV>
            <wp:extent cx="31813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181350" cy="8890"/>
                    </a:xfrm>
                    <a:prstGeom prst="rect">
                      <a:avLst/>
                    </a:prstGeom>
                    <a:noFill/>
                  </pic:spPr>
                </pic:pic>
              </a:graphicData>
            </a:graphic>
          </wp:anchor>
        </w:drawing>
      </w:r>
    </w:p>
    <w:p>
      <w:pPr>
        <w:spacing w:after="0" w:line="219" w:lineRule="exact"/>
        <w:rPr>
          <w:sz w:val="20"/>
          <w:szCs w:val="20"/>
          <w:color w:val="auto"/>
        </w:rPr>
      </w:pPr>
    </w:p>
    <w:p>
      <w:pPr>
        <w:jc w:val="center"/>
        <w:ind w:left="6400"/>
        <w:spacing w:after="0"/>
        <w:rPr>
          <w:sz w:val="20"/>
          <w:szCs w:val="20"/>
          <w:color w:val="auto"/>
        </w:rPr>
      </w:pPr>
      <w:r>
        <w:rPr>
          <w:rFonts w:ascii="Arial" w:cs="Arial" w:eastAsia="Arial" w:hAnsi="Arial"/>
          <w:sz w:val="18"/>
          <w:szCs w:val="18"/>
          <w:color w:val="auto"/>
        </w:rPr>
        <w:t>George A. Hervey</w:t>
      </w:r>
    </w:p>
    <w:p>
      <w:pPr>
        <w:spacing w:after="0" w:line="15" w:lineRule="exact"/>
        <w:rPr>
          <w:sz w:val="20"/>
          <w:szCs w:val="20"/>
          <w:color w:val="auto"/>
        </w:rPr>
      </w:pPr>
    </w:p>
    <w:p>
      <w:pPr>
        <w:jc w:val="center"/>
        <w:ind w:left="640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40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416560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419" w:right="4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2000" w:type="dxa"/>
        <w:tblCellMar>
          <w:top w:w="0" w:type="dxa"/>
          <w:left w:w="0" w:type="dxa"/>
          <w:bottom w:w="0" w:type="dxa"/>
          <w:right w:w="0" w:type="dxa"/>
        </w:tblCellMar>
      </w:tblPr>
      <w:tr>
        <w:trPr>
          <w:trHeight w:val="222"/>
        </w:trPr>
        <w:tc>
          <w:tcPr>
            <w:tcW w:w="17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760" w:type="dxa"/>
            <w:vAlign w:val="bottom"/>
          </w:tcPr>
          <w:p>
            <w:pPr>
              <w:ind w:left="960"/>
              <w:spacing w:after="0"/>
              <w:rPr>
                <w:sz w:val="20"/>
                <w:szCs w:val="20"/>
                <w:color w:val="auto"/>
              </w:rPr>
            </w:pPr>
            <w:r>
              <w:rPr>
                <w:rFonts w:ascii="Arial" w:cs="Arial" w:eastAsia="Arial" w:hAnsi="Arial"/>
                <w:sz w:val="18"/>
                <w:szCs w:val="18"/>
                <w:color w:val="auto"/>
              </w:rPr>
              <w:t>EXHIBIT INDEX</w:t>
            </w:r>
          </w:p>
        </w:tc>
      </w:tr>
      <w:tr>
        <w:trPr>
          <w:trHeight w:val="623"/>
        </w:trPr>
        <w:tc>
          <w:tcPr>
            <w:tcW w:w="1720" w:type="dxa"/>
            <w:vAlign w:val="bottom"/>
          </w:tcPr>
          <w:p>
            <w:pPr>
              <w:spacing w:after="0"/>
              <w:rPr>
                <w:sz w:val="20"/>
                <w:szCs w:val="20"/>
                <w:color w:val="auto"/>
              </w:rPr>
            </w:pPr>
            <w:r>
              <w:rPr>
                <w:rFonts w:ascii="Arial" w:cs="Arial" w:eastAsia="Arial" w:hAnsi="Arial"/>
                <w:sz w:val="14"/>
                <w:szCs w:val="14"/>
                <w:b w:val="1"/>
                <w:bCs w:val="1"/>
                <w:color w:val="auto"/>
              </w:rPr>
              <w:t>Exhibit Number</w:t>
            </w:r>
          </w:p>
        </w:tc>
        <w:tc>
          <w:tcPr>
            <w:tcW w:w="380" w:type="dxa"/>
            <w:vAlign w:val="bottom"/>
          </w:tcPr>
          <w:p>
            <w:pPr>
              <w:spacing w:after="0"/>
              <w:rPr>
                <w:sz w:val="24"/>
                <w:szCs w:val="24"/>
                <w:color w:val="auto"/>
              </w:rPr>
            </w:pPr>
          </w:p>
        </w:tc>
        <w:tc>
          <w:tcPr>
            <w:tcW w:w="4760" w:type="dxa"/>
            <w:vAlign w:val="bottom"/>
          </w:tcPr>
          <w:p>
            <w:pPr>
              <w:ind w:left="204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172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4760" w:type="dxa"/>
            <w:vAlign w:val="bottom"/>
            <w:tcBorders>
              <w:bottom w:val="single" w:sz="8" w:color="808080"/>
            </w:tcBorders>
          </w:tcPr>
          <w:p>
            <w:pPr>
              <w:spacing w:after="0"/>
              <w:rPr>
                <w:sz w:val="8"/>
                <w:szCs w:val="8"/>
                <w:color w:val="auto"/>
              </w:rPr>
            </w:pPr>
          </w:p>
        </w:tc>
      </w:tr>
      <w:tr>
        <w:trPr>
          <w:trHeight w:val="316"/>
        </w:trPr>
        <w:tc>
          <w:tcPr>
            <w:tcW w:w="1720" w:type="dxa"/>
            <w:vAlign w:val="bottom"/>
          </w:tcPr>
          <w:p>
            <w:pPr>
              <w:spacing w:after="0"/>
              <w:rPr>
                <w:sz w:val="20"/>
                <w:szCs w:val="20"/>
                <w:color w:val="auto"/>
              </w:rPr>
            </w:pPr>
            <w:r>
              <w:rPr>
                <w:rFonts w:ascii="Arial" w:cs="Arial" w:eastAsia="Arial" w:hAnsi="Arial"/>
                <w:sz w:val="18"/>
                <w:szCs w:val="18"/>
                <w:color w:val="auto"/>
              </w:rPr>
              <w:t>Exhibit 99.1</w:t>
            </w:r>
          </w:p>
        </w:tc>
        <w:tc>
          <w:tcPr>
            <w:tcW w:w="380" w:type="dxa"/>
            <w:vAlign w:val="bottom"/>
          </w:tcPr>
          <w:p>
            <w:pPr>
              <w:spacing w:after="0"/>
              <w:rPr>
                <w:sz w:val="24"/>
                <w:szCs w:val="24"/>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Press Release issued December 12, 2003.</w:t>
            </w:r>
          </w:p>
        </w:tc>
      </w:tr>
    </w:tbl>
    <w:p>
      <w:pPr>
        <w:sectPr>
          <w:pgSz w:w="11900" w:h="16838" w:orient="portrait"/>
          <w:cols w:equalWidth="0" w:num="1">
            <w:col w:w="10219"/>
          </w:cols>
          <w:pgMar w:left="240" w:top="419" w:right="1440" w:bottom="1440" w:gutter="0" w:footer="0" w:header="0"/>
        </w:sectPr>
      </w:pPr>
    </w:p>
    <w:bookmarkStart w:id="6" w:name="page7"/>
    <w:bookmarkEnd w:id="6"/>
    <w:p>
      <w:pPr>
        <w:ind w:left="7180"/>
        <w:spacing w:after="0"/>
        <w:rPr>
          <w:sz w:val="20"/>
          <w:szCs w:val="20"/>
          <w:color w:val="auto"/>
        </w:rPr>
      </w:pPr>
      <w:r>
        <w:rPr>
          <w:rFonts w:ascii="Courier New" w:cs="Courier New" w:eastAsia="Courier New" w:hAnsi="Courier New"/>
          <w:sz w:val="16"/>
          <w:szCs w:val="16"/>
          <w:color w:val="auto"/>
        </w:rPr>
        <w:t>Exhibit 99.1</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MARVELL(R) ANNOUNCES RETIREMENT OF DIRECTOR FROM BOARD OF DIRECTORS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SUNNYVALE, CALIFORNIA, (DECEMBER 12, 2003) -- Marvell(R) Technology Group Ltd. (NASDAQ: MRVL), today announced today that Diosdado P. Banatao has retired from Marvell's Board of Directors. Mr. Banatao was appointed Marvell's Co-Chairman in 1995 after he completed an early-stage venture investment in Marvell, and departs from Marvell's Board to spend additional time on his venture capital investments. Mr. Banatao is the founder and managing partner of Tallwood Venture Capital, a private venture capital fund with investments in semiconductors and semiconductor related technologies.</w:t>
      </w:r>
    </w:p>
    <w:p>
      <w:pPr>
        <w:spacing w:after="0" w:line="212"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Dr. Sehat Sutardja, Marvell's Co-Chairman, President and CEO, thanked Dado for supporting Marvell, and said, "Our entire Marvell family wishes Dado continued success with his venture investments." Mr. Banatao added that, "The past eight years have been a wonderful time to be part of the Marvell team, and I look forward to the Company's continued success."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SAFE HARBOR STATEMENT UNDER THE PRIVATE SECURITIES LITIGATION REFORM ACT OF 1995: 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1, 2003 and Marvell's subsequent reports on Form 10-Q. We undertake no obligation to revise or update publicly any forward-looking statements.</w:t>
      </w:r>
    </w:p>
    <w:p>
      <w:pPr>
        <w:spacing w:after="0" w:line="3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Marvell(R) and the Marvell logo are trademarks of Marvell.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MEDIA CONTACT</w:t>
      </w:r>
    </w:p>
    <w:p>
      <w:pPr>
        <w:spacing w:after="0" w:line="238" w:lineRule="auto"/>
        <w:rPr>
          <w:sz w:val="20"/>
          <w:szCs w:val="20"/>
          <w:color w:val="auto"/>
        </w:rPr>
      </w:pPr>
      <w:r>
        <w:rPr>
          <w:rFonts w:ascii="Courier New" w:cs="Courier New" w:eastAsia="Courier New" w:hAnsi="Courier New"/>
          <w:sz w:val="18"/>
          <w:szCs w:val="18"/>
          <w:color w:val="auto"/>
        </w:rPr>
        <w:t>Name: Mike Tate</w:t>
      </w:r>
    </w:p>
    <w:p>
      <w:pPr>
        <w:spacing w:after="0"/>
        <w:rPr>
          <w:sz w:val="20"/>
          <w:szCs w:val="20"/>
          <w:color w:val="auto"/>
        </w:rPr>
      </w:pPr>
      <w:r>
        <w:rPr>
          <w:rFonts w:ascii="Courier New" w:cs="Courier New" w:eastAsia="Courier New" w:hAnsi="Courier New"/>
          <w:sz w:val="18"/>
          <w:szCs w:val="18"/>
          <w:color w:val="auto"/>
        </w:rPr>
        <w:t>Title: Treasurer</w:t>
      </w:r>
    </w:p>
    <w:p>
      <w:pPr>
        <w:spacing w:after="0" w:line="237" w:lineRule="auto"/>
        <w:rPr>
          <w:sz w:val="20"/>
          <w:szCs w:val="20"/>
          <w:color w:val="auto"/>
        </w:rPr>
      </w:pPr>
      <w:r>
        <w:rPr>
          <w:rFonts w:ascii="Courier New" w:cs="Courier New" w:eastAsia="Courier New" w:hAnsi="Courier New"/>
          <w:sz w:val="18"/>
          <w:szCs w:val="18"/>
          <w:color w:val="auto"/>
        </w:rPr>
        <w:t>Tel: 408.222.2500</w:t>
      </w:r>
    </w:p>
    <w:p>
      <w:pPr>
        <w:spacing w:after="0" w:line="238" w:lineRule="auto"/>
        <w:rPr>
          <w:sz w:val="20"/>
          <w:szCs w:val="20"/>
          <w:color w:val="auto"/>
        </w:rPr>
      </w:pPr>
      <w:r>
        <w:rPr>
          <w:rFonts w:ascii="Courier New" w:cs="Courier New" w:eastAsia="Courier New" w:hAnsi="Courier New"/>
          <w:sz w:val="18"/>
          <w:szCs w:val="18"/>
          <w:color w:val="auto"/>
        </w:rPr>
        <w:t>E-mail: mtate@marvell.com</w:t>
      </w:r>
    </w:p>
    <w:sectPr>
      <w:pgSz w:w="11900" w:h="16838" w:orient="portrait"/>
      <w:cols w:equalWidth="0" w:num="1">
        <w:col w:w="10219"/>
      </w:cols>
      <w:pgMar w:left="240"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2019-12-14T20:12:36Z</dcterms:created>
  <dcterms:modified xsi:type="dcterms:W3CDTF">2019-12-14T20:12:36Z</dcterms:modified>
</cp:coreProperties>
</file>