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38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-243205</wp:posOffset>
            </wp:positionV>
            <wp:extent cx="136525" cy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272655" cy="55098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655" cy="550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60" w:space="300"/>
            <w:col w:w="8860"/>
          </w:cols>
          <w:pgMar w:left="240" w:top="225" w:right="13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2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Vice President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38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10/15/2003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3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6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2060" w:type="dxa"/>
            <w:vAlign w:val="bottom"/>
            <w:gridSpan w:val="5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6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5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10/15/2003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43.6859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10,972,000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gridSpan w:val="3"/>
          </w:tcPr>
          <w:p>
            <w:pPr>
              <w:jc w:val="right"/>
              <w:ind w:right="3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Mother-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In-Law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gridSpan w:val="14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80" w:type="dxa"/>
            <w:vAlign w:val="bottom"/>
            <w:gridSpan w:val="11"/>
          </w:tcPr>
          <w:p>
            <w:pPr>
              <w:jc w:val="center"/>
              <w:ind w:left="55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24.01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jc w:val="center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(2)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6"/>
              </w:rPr>
              <w:t>1. The Reporting Person disclaims beneficial ownership of the shares held by his Mother-In-Law.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500" w:type="dxa"/>
            <w:vAlign w:val="bottom"/>
            <w:gridSpan w:val="1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2. Of such 100,000 shares, vests 25% on 06/06/03 and 2,083.33 shares per month from 07/06/03 through 06/06/06. Options become exerciseable as they vest.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</w:tcPr>
          <w:p>
            <w:pPr>
              <w:jc w:val="center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Pantas Sutardja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10/17/2003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3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20" w:type="dxa"/>
            <w:vAlign w:val="bottom"/>
            <w:gridSpan w:val="9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70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-3342005</wp:posOffset>
            </wp:positionV>
            <wp:extent cx="24765" cy="22053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20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40" w:right="3740" w:firstLine="8"/>
        <w:spacing w:after="0" w:line="321" w:lineRule="auto"/>
        <w:tabs>
          <w:tab w:leader="none" w:pos="182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2019-12-17T02:49:37Z</dcterms:created>
  <dcterms:modified xsi:type="dcterms:W3CDTF">2019-12-17T02:49:37Z</dcterms:modified>
</cp:coreProperties>
</file>