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jc w:val="center"/>
        <w:ind w:left="360"/>
        <w:spacing w:after="0"/>
        <w:rPr>
          <w:sz w:val="20"/>
          <w:szCs w:val="20"/>
          <w:color w:val="auto"/>
        </w:rPr>
      </w:pPr>
      <w:r>
        <w:rPr>
          <w:rFonts w:ascii="Arial" w:cs="Arial" w:eastAsia="Arial" w:hAnsi="Arial"/>
          <w:sz w:val="11"/>
          <w:szCs w:val="11"/>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26035</wp:posOffset>
            </wp:positionH>
            <wp:positionV relativeFrom="paragraph">
              <wp:posOffset>-5715</wp:posOffset>
            </wp:positionV>
            <wp:extent cx="144780" cy="195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4780" cy="195580"/>
                    </a:xfrm>
                    <a:prstGeom prst="rect">
                      <a:avLst/>
                    </a:prstGeom>
                    <a:noFill/>
                  </pic:spPr>
                </pic:pic>
              </a:graphicData>
            </a:graphic>
          </wp:anchor>
        </w:drawing>
      </w:r>
    </w:p>
    <w:p>
      <w:pPr>
        <w:jc w:val="both"/>
        <w:ind w:left="360" w:right="360" w:hanging="272"/>
        <w:spacing w:after="0" w:line="187" w:lineRule="auto"/>
        <w:tabs>
          <w:tab w:leader="none" w:pos="36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9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9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20" w:space="34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01/20/2004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600" w:type="dxa"/>
            <w:vAlign w:val="bottom"/>
          </w:tcPr>
          <w:p>
            <w:pPr>
              <w:spacing w:after="0"/>
              <w:rPr>
                <w:sz w:val="11"/>
                <w:szCs w:val="11"/>
                <w:color w:val="auto"/>
              </w:rPr>
            </w:pPr>
          </w:p>
        </w:tc>
        <w:tc>
          <w:tcPr>
            <w:tcW w:w="190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600" w:type="dxa"/>
            <w:vAlign w:val="bottom"/>
          </w:tcPr>
          <w:p>
            <w:pPr>
              <w:spacing w:after="0"/>
              <w:rPr>
                <w:sz w:val="11"/>
                <w:szCs w:val="11"/>
                <w:color w:val="auto"/>
              </w:rPr>
            </w:pPr>
          </w:p>
        </w:tc>
        <w:tc>
          <w:tcPr>
            <w:tcW w:w="1900" w:type="dxa"/>
            <w:vAlign w:val="bottom"/>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1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11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118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60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18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980" w:type="dxa"/>
            <w:vAlign w:val="bottom"/>
          </w:tcPr>
          <w:p>
            <w:pPr>
              <w:ind w:left="460"/>
              <w:spacing w:after="0"/>
              <w:rPr>
                <w:sz w:val="20"/>
                <w:szCs w:val="20"/>
                <w:color w:val="auto"/>
              </w:rPr>
            </w:pPr>
            <w:r>
              <w:rPr>
                <w:rFonts w:ascii="Arial" w:cs="Arial" w:eastAsia="Arial" w:hAnsi="Arial"/>
                <w:sz w:val="17"/>
                <w:szCs w:val="17"/>
                <w:color w:val="0000FF"/>
              </w:rPr>
              <w:t>D</w:t>
            </w:r>
          </w:p>
        </w:tc>
        <w:tc>
          <w:tcPr>
            <w:tcW w:w="8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600" w:type="dxa"/>
            <w:vAlign w:val="bottom"/>
          </w:tcPr>
          <w:p>
            <w:pPr>
              <w:spacing w:after="0"/>
              <w:rPr>
                <w:sz w:val="22"/>
                <w:szCs w:val="22"/>
                <w:color w:val="auto"/>
              </w:rPr>
            </w:pPr>
          </w:p>
        </w:tc>
        <w:tc>
          <w:tcPr>
            <w:tcW w:w="19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60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92"/>
              </w:rPr>
              <w:t>1,676,747</w:t>
            </w:r>
          </w:p>
        </w:tc>
        <w:tc>
          <w:tcPr>
            <w:tcW w:w="980" w:type="dxa"/>
            <w:vAlign w:val="bottom"/>
            <w:vMerge w:val="restart"/>
          </w:tcPr>
          <w:p>
            <w:pPr>
              <w:ind w:left="480"/>
              <w:spacing w:after="0"/>
              <w:rPr>
                <w:sz w:val="20"/>
                <w:szCs w:val="20"/>
                <w:color w:val="auto"/>
              </w:rPr>
            </w:pPr>
            <w:r>
              <w:rPr>
                <w:rFonts w:ascii="Arial" w:cs="Arial" w:eastAsia="Arial" w:hAnsi="Arial"/>
                <w:sz w:val="17"/>
                <w:szCs w:val="17"/>
                <w:color w:val="0000FF"/>
              </w:rPr>
              <w:t>I</w:t>
            </w:r>
          </w:p>
        </w:tc>
        <w:tc>
          <w:tcPr>
            <w:tcW w:w="820" w:type="dxa"/>
            <w:vAlign w:val="bottom"/>
          </w:tcPr>
          <w:p>
            <w:pPr>
              <w:ind w:left="8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600" w:type="dxa"/>
            <w:vAlign w:val="bottom"/>
            <w:vMerge w:val="continue"/>
          </w:tcPr>
          <w:p>
            <w:pPr>
              <w:spacing w:after="0"/>
              <w:rPr>
                <w:sz w:val="9"/>
                <w:szCs w:val="9"/>
                <w:color w:val="auto"/>
              </w:rPr>
            </w:pPr>
          </w:p>
        </w:tc>
        <w:tc>
          <w:tcPr>
            <w:tcW w:w="19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18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8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101"/>
        </w:trPr>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40" w:type="dxa"/>
            <w:vAlign w:val="bottom"/>
          </w:tcPr>
          <w:p>
            <w:pPr>
              <w:spacing w:after="0"/>
              <w:rPr>
                <w:sz w:val="8"/>
                <w:szCs w:val="8"/>
                <w:color w:val="auto"/>
              </w:rPr>
            </w:pPr>
          </w:p>
        </w:tc>
        <w:tc>
          <w:tcPr>
            <w:tcW w:w="1180" w:type="dxa"/>
            <w:vAlign w:val="bottom"/>
          </w:tcPr>
          <w:p>
            <w:pPr>
              <w:spacing w:after="0"/>
              <w:rPr>
                <w:sz w:val="8"/>
                <w:szCs w:val="8"/>
                <w:color w:val="auto"/>
              </w:rPr>
            </w:pPr>
          </w:p>
        </w:tc>
        <w:tc>
          <w:tcPr>
            <w:tcW w:w="98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60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600" w:type="dxa"/>
            <w:vAlign w:val="bottom"/>
          </w:tcPr>
          <w:p>
            <w:pPr>
              <w:spacing w:after="0"/>
              <w:rPr>
                <w:sz w:val="22"/>
                <w:szCs w:val="22"/>
                <w:color w:val="auto"/>
              </w:rPr>
            </w:pPr>
          </w:p>
        </w:tc>
        <w:tc>
          <w:tcPr>
            <w:tcW w:w="19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60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94"/>
              </w:rPr>
              <w:t>680,680</w:t>
            </w:r>
          </w:p>
        </w:tc>
        <w:tc>
          <w:tcPr>
            <w:tcW w:w="980" w:type="dxa"/>
            <w:vAlign w:val="bottom"/>
            <w:vMerge w:val="restart"/>
          </w:tcPr>
          <w:p>
            <w:pPr>
              <w:ind w:left="480"/>
              <w:spacing w:after="0"/>
              <w:rPr>
                <w:sz w:val="20"/>
                <w:szCs w:val="20"/>
                <w:color w:val="auto"/>
              </w:rPr>
            </w:pPr>
            <w:r>
              <w:rPr>
                <w:rFonts w:ascii="Arial" w:cs="Arial" w:eastAsia="Arial" w:hAnsi="Arial"/>
                <w:sz w:val="17"/>
                <w:szCs w:val="17"/>
                <w:color w:val="0000FF"/>
              </w:rPr>
              <w:t>I</w:t>
            </w:r>
          </w:p>
        </w:tc>
        <w:tc>
          <w:tcPr>
            <w:tcW w:w="820" w:type="dxa"/>
            <w:vAlign w:val="bottom"/>
          </w:tcPr>
          <w:p>
            <w:pPr>
              <w:ind w:left="8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600" w:type="dxa"/>
            <w:vAlign w:val="bottom"/>
            <w:vMerge w:val="continue"/>
          </w:tcPr>
          <w:p>
            <w:pPr>
              <w:spacing w:after="0"/>
              <w:rPr>
                <w:sz w:val="9"/>
                <w:szCs w:val="9"/>
                <w:color w:val="auto"/>
              </w:rPr>
            </w:pPr>
          </w:p>
        </w:tc>
        <w:tc>
          <w:tcPr>
            <w:tcW w:w="19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18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8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7"/>
        </w:trPr>
        <w:tc>
          <w:tcPr>
            <w:tcW w:w="26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8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60"/>
        <w:spacing w:after="0"/>
        <w:rPr>
          <w:sz w:val="20"/>
          <w:szCs w:val="20"/>
          <w:color w:val="auto"/>
        </w:rPr>
      </w:pPr>
      <w:r>
        <w:rPr>
          <w:rFonts w:ascii="Arial" w:cs="Arial" w:eastAsia="Arial" w:hAnsi="Arial"/>
          <w:sz w:val="17"/>
          <w:szCs w:val="17"/>
          <w:color w:val="0000FF"/>
        </w:rPr>
        <w:t>LLC</w:t>
      </w:r>
    </w:p>
    <w:p>
      <w:pPr>
        <w:spacing w:after="0" w:line="163"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vMerge w:val="restart"/>
          </w:tcPr>
          <w:p>
            <w:pPr>
              <w:ind w:left="140"/>
              <w:spacing w:after="0" w:line="278" w:lineRule="exact"/>
              <w:rPr>
                <w:sz w:val="20"/>
                <w:szCs w:val="20"/>
                <w:color w:val="auto"/>
              </w:rPr>
            </w:pPr>
            <w:r>
              <w:rPr>
                <w:rFonts w:ascii="Arial" w:cs="Arial" w:eastAsia="Arial" w:hAnsi="Arial"/>
                <w:sz w:val="26"/>
                <w:szCs w:val="26"/>
                <w:color w:val="0000FF"/>
                <w:vertAlign w:val="subscript"/>
              </w:rPr>
              <w:t>J</w:t>
            </w:r>
            <w:r>
              <w:rPr>
                <w:rFonts w:ascii="Arial" w:cs="Arial" w:eastAsia="Arial" w:hAnsi="Arial"/>
                <w:sz w:val="11"/>
                <w:szCs w:val="11"/>
                <w:color w:val="008000"/>
              </w:rPr>
              <w:t>(1)</w:t>
            </w: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(1)</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134,900</w:t>
            </w:r>
          </w:p>
        </w:tc>
        <w:tc>
          <w:tcPr>
            <w:tcW w:w="720" w:type="dxa"/>
            <w:vAlign w:val="bottom"/>
            <w:vMerge w:val="restart"/>
          </w:tcPr>
          <w:p>
            <w:pPr>
              <w:ind w:left="220"/>
              <w:spacing w:after="0" w:line="278" w:lineRule="exact"/>
              <w:rPr>
                <w:sz w:val="20"/>
                <w:szCs w:val="20"/>
                <w:color w:val="auto"/>
              </w:rPr>
            </w:pPr>
            <w:r>
              <w:rPr>
                <w:rFonts w:ascii="Arial" w:cs="Arial" w:eastAsia="Arial" w:hAnsi="Arial"/>
                <w:sz w:val="24"/>
                <w:szCs w:val="24"/>
                <w:color w:val="000000"/>
                <w:vertAlign w:val="subscript"/>
              </w:rPr>
              <w:t>$</w:t>
            </w:r>
            <w:r>
              <w:rPr>
                <w:rFonts w:ascii="Arial" w:cs="Arial" w:eastAsia="Arial" w:hAnsi="Arial"/>
                <w:sz w:val="26"/>
                <w:szCs w:val="26"/>
                <w:color w:val="0000FF"/>
                <w:vertAlign w:val="subscript"/>
              </w:rPr>
              <w:t>0</w:t>
            </w:r>
            <w:r>
              <w:rPr>
                <w:rFonts w:ascii="Arial" w:cs="Arial" w:eastAsia="Arial" w:hAnsi="Arial"/>
                <w:sz w:val="11"/>
                <w:szCs w:val="11"/>
                <w:color w:val="008000"/>
              </w:rPr>
              <w:t>(1)</w:t>
            </w: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1140" w:type="dxa"/>
            <w:vAlign w:val="bottom"/>
          </w:tcPr>
          <w:p>
            <w:pPr>
              <w:jc w:val="right"/>
              <w:ind w:right="198"/>
              <w:spacing w:after="0" w:line="132" w:lineRule="exact"/>
              <w:rPr>
                <w:sz w:val="20"/>
                <w:szCs w:val="20"/>
                <w:color w:val="auto"/>
              </w:rPr>
            </w:pPr>
            <w:r>
              <w:rPr>
                <w:rFonts w:ascii="Arial" w:cs="Arial" w:eastAsia="Arial" w:hAnsi="Arial"/>
                <w:sz w:val="13"/>
                <w:szCs w:val="13"/>
                <w:color w:val="0000FF"/>
              </w:rPr>
              <w:t>01/20/2004</w:t>
            </w:r>
          </w:p>
        </w:tc>
        <w:tc>
          <w:tcPr>
            <w:tcW w:w="112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740" w:type="dxa"/>
            <w:vAlign w:val="bottom"/>
          </w:tcPr>
          <w:p>
            <w:pPr>
              <w:ind w:left="160"/>
              <w:spacing w:after="0" w:line="132" w:lineRule="exact"/>
              <w:rPr>
                <w:sz w:val="20"/>
                <w:szCs w:val="20"/>
                <w:color w:val="auto"/>
              </w:rPr>
            </w:pPr>
            <w:r>
              <w:rPr>
                <w:rFonts w:ascii="Arial" w:cs="Arial" w:eastAsia="Arial" w:hAnsi="Arial"/>
                <w:sz w:val="13"/>
                <w:szCs w:val="13"/>
                <w:color w:val="0000FF"/>
              </w:rPr>
              <w:t>1</w:t>
            </w: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01/19/2007</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40" w:type="dxa"/>
            <w:vAlign w:val="bottom"/>
          </w:tcPr>
          <w:p>
            <w:pPr>
              <w:spacing w:after="0"/>
              <w:rPr>
                <w:sz w:val="5"/>
                <w:szCs w:val="5"/>
                <w:color w:val="auto"/>
              </w:rPr>
            </w:pPr>
          </w:p>
        </w:tc>
        <w:tc>
          <w:tcPr>
            <w:tcW w:w="74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760" w:type="dxa"/>
            <w:vAlign w:val="bottom"/>
          </w:tcPr>
          <w:p>
            <w:pPr>
              <w:spacing w:after="0"/>
              <w:rPr>
                <w:sz w:val="5"/>
                <w:szCs w:val="5"/>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5"/>
        </w:trPr>
        <w:tc>
          <w:tcPr>
            <w:tcW w:w="720" w:type="dxa"/>
            <w:vAlign w:val="bottom"/>
          </w:tcPr>
          <w:p>
            <w:pPr>
              <w:ind w:left="60"/>
              <w:spacing w:after="0" w:line="145"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6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ind w:left="440"/>
              <w:spacing w:after="0" w:line="145"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45" w:lineRule="exact"/>
              <w:rPr>
                <w:sz w:val="20"/>
                <w:szCs w:val="20"/>
                <w:color w:val="auto"/>
              </w:rPr>
            </w:pPr>
            <w:r>
              <w:rPr>
                <w:rFonts w:ascii="Arial" w:cs="Arial" w:eastAsia="Arial" w:hAnsi="Arial"/>
                <w:sz w:val="13"/>
                <w:szCs w:val="13"/>
                <w:color w:val="0000FF"/>
              </w:rPr>
              <w:t>I</w:t>
            </w:r>
          </w:p>
        </w:tc>
        <w:tc>
          <w:tcPr>
            <w:tcW w:w="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80"/>
              <w:spacing w:after="0" w:line="83" w:lineRule="exact"/>
              <w:rPr>
                <w:sz w:val="20"/>
                <w:szCs w:val="20"/>
                <w:color w:val="auto"/>
              </w:rPr>
            </w:pPr>
            <w:r>
              <w:rPr>
                <w:rFonts w:ascii="Arial" w:cs="Arial" w:eastAsia="Arial" w:hAnsi="Arial"/>
                <w:sz w:val="9"/>
                <w:szCs w:val="9"/>
                <w:color w:val="0000FF"/>
              </w:rPr>
              <w:t>Stock</w:t>
            </w:r>
          </w:p>
        </w:tc>
        <w:tc>
          <w:tcPr>
            <w:tcW w:w="6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ind w:left="80"/>
              <w:spacing w:after="0" w:line="83"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91"/>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ectPr>
          <w:pgSz w:w="11900" w:h="16838"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3938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3938905"/>
                    </a:xfrm>
                    <a:prstGeom prst="rect">
                      <a:avLst/>
                    </a:prstGeom>
                    <a:noFill/>
                  </pic:spPr>
                </pic:pic>
              </a:graphicData>
            </a:graphic>
          </wp:anchor>
        </w:drawing>
        <w:t>Table II - Derivative Securities Acquired, Disposed of, or Beneficially Owned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10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jc w:val="both"/>
        <w:ind w:left="20" w:right="22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reports indirect ownership of a pre-paid forward contract (Right to Sell) held by the Diosdado &amp; Maria C. Banatao Trust (the "Trust") entered into on 01/20/04 with a settlement date on 01/19/07. The contract provides that the Trust deliver a certain number of shares at the end of the contract depending on the Issuer's common stock price on each such date. Exact pricing terms are determined in accordance with the contract.</w:t>
      </w:r>
    </w:p>
    <w:p>
      <w:pPr>
        <w:spacing w:after="0" w:line="21" w:lineRule="exact"/>
        <w:rPr>
          <w:rFonts w:ascii="Arial" w:cs="Arial" w:eastAsia="Arial" w:hAnsi="Arial"/>
          <w:sz w:val="13"/>
          <w:szCs w:val="13"/>
          <w:color w:val="008000"/>
        </w:rPr>
      </w:pPr>
    </w:p>
    <w:p>
      <w:pPr>
        <w:ind w:left="20" w:right="240" w:firstLine="8"/>
        <w:spacing w:after="0" w:line="254"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1" w:lineRule="exact"/>
        <w:rPr>
          <w:rFonts w:ascii="Arial" w:cs="Arial" w:eastAsia="Arial" w:hAnsi="Arial"/>
          <w:sz w:val="13"/>
          <w:szCs w:val="13"/>
          <w:color w:val="008000"/>
        </w:rPr>
      </w:pPr>
    </w:p>
    <w:p>
      <w:pPr>
        <w:ind w:left="20" w:right="180" w:firstLine="8"/>
        <w:spacing w:after="0" w:line="245"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eight prepaid forward contracts (Right to Sell) held by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8" w:lineRule="exact"/>
        <w:rPr>
          <w:rFonts w:ascii="Arial" w:cs="Arial" w:eastAsia="Arial" w:hAnsi="Arial"/>
          <w:sz w:val="13"/>
          <w:szCs w:val="13"/>
          <w:color w:val="008000"/>
        </w:rPr>
      </w:pPr>
    </w:p>
    <w:p>
      <w:pPr>
        <w:ind w:left="20" w:right="440" w:firstLine="8"/>
        <w:spacing w:after="0" w:line="272" w:lineRule="auto"/>
        <w:tabs>
          <w:tab w:leader="none" w:pos="154"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Continuation of Footnote No. 2: on 06/30/06; 8) a contract for 150,000 shares was entered into on 10/14/03 with a settlement date on 10/13/06. Exact pricing terms for each contract are determined on the respective settlement dates in accordance with the applicable contract.</w:t>
      </w:r>
    </w:p>
    <w:p>
      <w:pPr>
        <w:spacing w:after="0" w:line="2"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Diosdado Banatao</w:t>
            </w:r>
          </w:p>
        </w:tc>
        <w:tc>
          <w:tcPr>
            <w:tcW w:w="780" w:type="dxa"/>
            <w:vAlign w:val="bottom"/>
          </w:tcPr>
          <w:p>
            <w:pPr>
              <w:spacing w:after="0"/>
              <w:rPr>
                <w:sz w:val="20"/>
                <w:szCs w:val="20"/>
                <w:color w:val="auto"/>
              </w:rPr>
            </w:pPr>
            <w:r>
              <w:rPr>
                <w:rFonts w:ascii="Arial" w:cs="Arial" w:eastAsia="Arial" w:hAnsi="Arial"/>
                <w:sz w:val="17"/>
                <w:szCs w:val="17"/>
                <w:color w:val="0000FF"/>
                <w:w w:val="89"/>
              </w:rPr>
              <w:t>01/22/2004</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40" w:firstLine="8"/>
        <w:spacing w:after="0" w:line="321" w:lineRule="auto"/>
        <w:tabs>
          <w:tab w:leader="none" w:pos="16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2019-12-17T03:19:04Z</dcterms:created>
  <dcterms:modified xsi:type="dcterms:W3CDTF">2019-12-17T03:19:04Z</dcterms:modified>
</cp:coreProperties>
</file>