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154305</wp:posOffset>
            </wp:positionV>
            <wp:extent cx="7254240" cy="381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4240" cy="38100"/>
                    </a:xfrm>
                    <a:prstGeom prst="rect">
                      <a:avLst/>
                    </a:prstGeom>
                    <a:noFill/>
                  </pic:spPr>
                </pic:pic>
              </a:graphicData>
            </a:graphic>
          </wp:anchor>
        </w:drawing>
      </w: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1"/>
          <w:szCs w:val="21"/>
          <w:b w:val="1"/>
          <w:bCs w:val="1"/>
          <w:color w:val="auto"/>
        </w:rPr>
        <w:t>Washington, D.C. 20549</w:t>
      </w:r>
    </w:p>
    <w:p>
      <w:pPr>
        <w:spacing w:after="0" w:line="299"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CURRENT REPORT</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PURSUANT TO SECTION 13 OR 15(d) OF</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 EXCHANGE ACT OF 1934</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February 26, 2004</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Date of report</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 of earliest event reported)</w:t>
      </w:r>
    </w:p>
    <w:p>
      <w:pPr>
        <w:spacing w:after="0" w:line="386" w:lineRule="exact"/>
        <w:rPr>
          <w:sz w:val="20"/>
          <w:szCs w:val="20"/>
          <w:color w:val="auto"/>
        </w:rPr>
      </w:pPr>
    </w:p>
    <w:p>
      <w:pPr>
        <w:jc w:val="center"/>
        <w:spacing w:after="0"/>
        <w:rPr>
          <w:sz w:val="20"/>
          <w:szCs w:val="20"/>
          <w:color w:val="auto"/>
        </w:rPr>
      </w:pPr>
      <w:r>
        <w:rPr>
          <w:rFonts w:ascii="Arial" w:cs="Arial" w:eastAsia="Arial" w:hAnsi="Arial"/>
          <w:sz w:val="42"/>
          <w:szCs w:val="42"/>
          <w:b w:val="1"/>
          <w:bCs w:val="1"/>
          <w:color w:val="auto"/>
        </w:rPr>
        <w:t>MARVELL TECHNOLOGY GROUP LTD.</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229"/>
        </w:trPr>
        <w:tc>
          <w:tcPr>
            <w:tcW w:w="3060" w:type="dxa"/>
            <w:vAlign w:val="bottom"/>
          </w:tcPr>
          <w:p>
            <w:pPr>
              <w:spacing w:after="0"/>
              <w:rPr>
                <w:sz w:val="19"/>
                <w:szCs w:val="19"/>
                <w:color w:val="auto"/>
              </w:rPr>
            </w:pPr>
          </w:p>
        </w:tc>
        <w:tc>
          <w:tcPr>
            <w:tcW w:w="5520" w:type="dxa"/>
            <w:vAlign w:val="bottom"/>
          </w:tcPr>
          <w:p>
            <w:pPr>
              <w:jc w:val="center"/>
              <w:ind w:right="112"/>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840" w:type="dxa"/>
            <w:vAlign w:val="bottom"/>
          </w:tcPr>
          <w:p>
            <w:pPr>
              <w:spacing w:after="0"/>
              <w:rPr>
                <w:sz w:val="19"/>
                <w:szCs w:val="19"/>
                <w:color w:val="auto"/>
              </w:rPr>
            </w:pPr>
          </w:p>
        </w:tc>
      </w:tr>
      <w:tr>
        <w:trPr>
          <w:trHeight w:val="405"/>
        </w:trPr>
        <w:tc>
          <w:tcPr>
            <w:tcW w:w="3060" w:type="dxa"/>
            <w:vAlign w:val="bottom"/>
          </w:tcPr>
          <w:p>
            <w:pPr>
              <w:jc w:val="center"/>
              <w:ind w:left="432"/>
              <w:spacing w:after="0"/>
              <w:rPr>
                <w:sz w:val="20"/>
                <w:szCs w:val="20"/>
                <w:color w:val="auto"/>
              </w:rPr>
            </w:pPr>
            <w:r>
              <w:rPr>
                <w:rFonts w:ascii="Arial" w:cs="Arial" w:eastAsia="Arial" w:hAnsi="Arial"/>
                <w:sz w:val="18"/>
                <w:szCs w:val="18"/>
                <w:b w:val="1"/>
                <w:bCs w:val="1"/>
                <w:color w:val="auto"/>
                <w:w w:val="89"/>
              </w:rPr>
              <w:t>Bermuda</w:t>
            </w: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0"/>
              </w:rPr>
              <w:t>0-30877</w:t>
            </w:r>
          </w:p>
        </w:tc>
        <w:tc>
          <w:tcPr>
            <w:tcW w:w="2840" w:type="dxa"/>
            <w:vAlign w:val="bottom"/>
          </w:tcPr>
          <w:p>
            <w:pPr>
              <w:jc w:val="center"/>
              <w:ind w:right="672"/>
              <w:spacing w:after="0"/>
              <w:rPr>
                <w:sz w:val="20"/>
                <w:szCs w:val="20"/>
                <w:color w:val="auto"/>
              </w:rPr>
            </w:pPr>
            <w:r>
              <w:rPr>
                <w:rFonts w:ascii="Arial" w:cs="Arial" w:eastAsia="Arial" w:hAnsi="Arial"/>
                <w:sz w:val="18"/>
                <w:szCs w:val="18"/>
                <w:b w:val="1"/>
                <w:bCs w:val="1"/>
                <w:color w:val="auto"/>
                <w:w w:val="87"/>
              </w:rPr>
              <w:t>77-0481679</w:t>
            </w:r>
          </w:p>
        </w:tc>
      </w:tr>
      <w:tr>
        <w:trPr>
          <w:trHeight w:val="211"/>
        </w:trPr>
        <w:tc>
          <w:tcPr>
            <w:tcW w:w="3060" w:type="dxa"/>
            <w:vAlign w:val="bottom"/>
          </w:tcPr>
          <w:p>
            <w:pPr>
              <w:jc w:val="center"/>
              <w:ind w:left="452"/>
              <w:spacing w:after="0"/>
              <w:rPr>
                <w:sz w:val="20"/>
                <w:szCs w:val="20"/>
                <w:color w:val="auto"/>
              </w:rPr>
            </w:pPr>
            <w:r>
              <w:rPr>
                <w:rFonts w:ascii="Arial" w:cs="Arial" w:eastAsia="Arial" w:hAnsi="Arial"/>
                <w:sz w:val="18"/>
                <w:szCs w:val="18"/>
                <w:b w:val="1"/>
                <w:bCs w:val="1"/>
                <w:color w:val="auto"/>
                <w:w w:val="89"/>
              </w:rPr>
              <w:t>(State or other jurisdiction of</w:t>
            </w: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7"/>
              </w:rPr>
              <w:t>(Commission File</w:t>
            </w:r>
          </w:p>
        </w:tc>
        <w:tc>
          <w:tcPr>
            <w:tcW w:w="2840" w:type="dxa"/>
            <w:vAlign w:val="bottom"/>
          </w:tcPr>
          <w:p>
            <w:pPr>
              <w:jc w:val="center"/>
              <w:ind w:right="672"/>
              <w:spacing w:after="0"/>
              <w:rPr>
                <w:sz w:val="20"/>
                <w:szCs w:val="20"/>
                <w:color w:val="auto"/>
              </w:rPr>
            </w:pPr>
            <w:r>
              <w:rPr>
                <w:rFonts w:ascii="Arial" w:cs="Arial" w:eastAsia="Arial" w:hAnsi="Arial"/>
                <w:sz w:val="18"/>
                <w:szCs w:val="18"/>
                <w:b w:val="1"/>
                <w:bCs w:val="1"/>
                <w:color w:val="auto"/>
                <w:w w:val="92"/>
              </w:rPr>
              <w:t>(I.R.S. Employer</w:t>
            </w:r>
          </w:p>
        </w:tc>
      </w:tr>
      <w:tr>
        <w:trPr>
          <w:trHeight w:val="229"/>
        </w:trPr>
        <w:tc>
          <w:tcPr>
            <w:tcW w:w="3060" w:type="dxa"/>
            <w:vAlign w:val="bottom"/>
          </w:tcPr>
          <w:p>
            <w:pPr>
              <w:jc w:val="center"/>
              <w:ind w:left="432"/>
              <w:spacing w:after="0"/>
              <w:rPr>
                <w:sz w:val="20"/>
                <w:szCs w:val="20"/>
                <w:color w:val="auto"/>
              </w:rPr>
            </w:pPr>
            <w:r>
              <w:rPr>
                <w:rFonts w:ascii="Arial" w:cs="Arial" w:eastAsia="Arial" w:hAnsi="Arial"/>
                <w:sz w:val="18"/>
                <w:szCs w:val="18"/>
                <w:b w:val="1"/>
                <w:bCs w:val="1"/>
                <w:color w:val="auto"/>
                <w:w w:val="89"/>
              </w:rPr>
              <w:t>incorporation or organization)</w:t>
            </w: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1"/>
              </w:rPr>
              <w:t>Number)</w:t>
            </w:r>
          </w:p>
        </w:tc>
        <w:tc>
          <w:tcPr>
            <w:tcW w:w="2840" w:type="dxa"/>
            <w:vAlign w:val="bottom"/>
          </w:tcPr>
          <w:p>
            <w:pPr>
              <w:jc w:val="center"/>
              <w:ind w:right="672"/>
              <w:spacing w:after="0"/>
              <w:rPr>
                <w:sz w:val="20"/>
                <w:szCs w:val="20"/>
                <w:color w:val="auto"/>
              </w:rPr>
            </w:pPr>
            <w:r>
              <w:rPr>
                <w:rFonts w:ascii="Arial" w:cs="Arial" w:eastAsia="Arial" w:hAnsi="Arial"/>
                <w:sz w:val="18"/>
                <w:szCs w:val="18"/>
                <w:b w:val="1"/>
                <w:bCs w:val="1"/>
                <w:color w:val="auto"/>
                <w:w w:val="89"/>
              </w:rPr>
              <w:t>Identification No.)</w:t>
            </w:r>
          </w:p>
        </w:tc>
      </w:tr>
      <w:tr>
        <w:trPr>
          <w:trHeight w:val="405"/>
        </w:trPr>
        <w:tc>
          <w:tcPr>
            <w:tcW w:w="3060" w:type="dxa"/>
            <w:vAlign w:val="bottom"/>
          </w:tcPr>
          <w:p>
            <w:pPr>
              <w:spacing w:after="0"/>
              <w:rPr>
                <w:sz w:val="24"/>
                <w:szCs w:val="24"/>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0"/>
              </w:rPr>
              <w:t>Canon’s Court</w:t>
            </w:r>
          </w:p>
        </w:tc>
        <w:tc>
          <w:tcPr>
            <w:tcW w:w="2840" w:type="dxa"/>
            <w:vAlign w:val="bottom"/>
          </w:tcPr>
          <w:p>
            <w:pPr>
              <w:spacing w:after="0"/>
              <w:rPr>
                <w:sz w:val="24"/>
                <w:szCs w:val="24"/>
                <w:color w:val="auto"/>
              </w:rPr>
            </w:pPr>
          </w:p>
        </w:tc>
      </w:tr>
      <w:tr>
        <w:trPr>
          <w:trHeight w:val="211"/>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9"/>
              </w:rPr>
              <w:t>22 Victoria Street</w:t>
            </w:r>
          </w:p>
        </w:tc>
        <w:tc>
          <w:tcPr>
            <w:tcW w:w="2840" w:type="dxa"/>
            <w:vAlign w:val="bottom"/>
          </w:tcPr>
          <w:p>
            <w:pPr>
              <w:spacing w:after="0"/>
              <w:rPr>
                <w:sz w:val="18"/>
                <w:szCs w:val="18"/>
                <w:color w:val="auto"/>
              </w:rPr>
            </w:pPr>
          </w:p>
        </w:tc>
      </w:tr>
      <w:tr>
        <w:trPr>
          <w:trHeight w:val="211"/>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4"/>
              </w:rPr>
              <w:t>Hamilton HM 12</w:t>
            </w:r>
          </w:p>
        </w:tc>
        <w:tc>
          <w:tcPr>
            <w:tcW w:w="2840" w:type="dxa"/>
            <w:vAlign w:val="bottom"/>
          </w:tcPr>
          <w:p>
            <w:pPr>
              <w:spacing w:after="0"/>
              <w:rPr>
                <w:sz w:val="18"/>
                <w:szCs w:val="18"/>
                <w:color w:val="auto"/>
              </w:rPr>
            </w:pPr>
          </w:p>
        </w:tc>
      </w:tr>
      <w:tr>
        <w:trPr>
          <w:trHeight w:val="211"/>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2"/>
              </w:rPr>
              <w:t>Bermuda</w:t>
            </w:r>
          </w:p>
        </w:tc>
        <w:tc>
          <w:tcPr>
            <w:tcW w:w="2840" w:type="dxa"/>
            <w:vAlign w:val="bottom"/>
          </w:tcPr>
          <w:p>
            <w:pPr>
              <w:spacing w:after="0"/>
              <w:rPr>
                <w:sz w:val="18"/>
                <w:szCs w:val="18"/>
                <w:color w:val="auto"/>
              </w:rPr>
            </w:pPr>
          </w:p>
        </w:tc>
      </w:tr>
      <w:tr>
        <w:trPr>
          <w:trHeight w:val="211"/>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6"/>
              </w:rPr>
              <w:t>(Address of principal executive</w:t>
            </w:r>
          </w:p>
        </w:tc>
        <w:tc>
          <w:tcPr>
            <w:tcW w:w="2840" w:type="dxa"/>
            <w:vAlign w:val="bottom"/>
          </w:tcPr>
          <w:p>
            <w:pPr>
              <w:jc w:val="center"/>
              <w:ind w:right="672"/>
              <w:spacing w:after="0"/>
              <w:rPr>
                <w:sz w:val="20"/>
                <w:szCs w:val="20"/>
                <w:color w:val="auto"/>
              </w:rPr>
            </w:pPr>
            <w:r>
              <w:rPr>
                <w:rFonts w:ascii="Arial" w:cs="Arial" w:eastAsia="Arial" w:hAnsi="Arial"/>
                <w:sz w:val="18"/>
                <w:szCs w:val="18"/>
                <w:b w:val="1"/>
                <w:bCs w:val="1"/>
                <w:color w:val="auto"/>
                <w:w w:val="89"/>
              </w:rPr>
              <w:t>(Zip Code)</w:t>
            </w:r>
          </w:p>
        </w:tc>
      </w:tr>
      <w:tr>
        <w:trPr>
          <w:trHeight w:val="229"/>
        </w:trPr>
        <w:tc>
          <w:tcPr>
            <w:tcW w:w="3060" w:type="dxa"/>
            <w:vAlign w:val="bottom"/>
          </w:tcPr>
          <w:p>
            <w:pPr>
              <w:spacing w:after="0"/>
              <w:rPr>
                <w:sz w:val="19"/>
                <w:szCs w:val="19"/>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1"/>
              </w:rPr>
              <w:t>offices)</w:t>
            </w:r>
          </w:p>
        </w:tc>
        <w:tc>
          <w:tcPr>
            <w:tcW w:w="2840" w:type="dxa"/>
            <w:vAlign w:val="bottom"/>
          </w:tcPr>
          <w:p>
            <w:pPr>
              <w:spacing w:after="0"/>
              <w:rPr>
                <w:sz w:val="19"/>
                <w:szCs w:val="19"/>
                <w:color w:val="auto"/>
              </w:rPr>
            </w:pPr>
          </w:p>
        </w:tc>
      </w:tr>
      <w:tr>
        <w:trPr>
          <w:trHeight w:val="383"/>
        </w:trPr>
        <w:tc>
          <w:tcPr>
            <w:tcW w:w="3060" w:type="dxa"/>
            <w:vAlign w:val="bottom"/>
          </w:tcPr>
          <w:p>
            <w:pPr>
              <w:spacing w:after="0"/>
              <w:rPr>
                <w:sz w:val="24"/>
                <w:szCs w:val="24"/>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87"/>
              </w:rPr>
              <w:t>Registrant’s telephone number, including area code: (441) 296-6395</w:t>
            </w:r>
          </w:p>
        </w:tc>
        <w:tc>
          <w:tcPr>
            <w:tcW w:w="2840" w:type="dxa"/>
            <w:vAlign w:val="bottom"/>
          </w:tcPr>
          <w:p>
            <w:pPr>
              <w:spacing w:after="0"/>
              <w:rPr>
                <w:sz w:val="24"/>
                <w:szCs w:val="24"/>
                <w:color w:val="auto"/>
              </w:rPr>
            </w:pPr>
          </w:p>
        </w:tc>
      </w:tr>
      <w:tr>
        <w:trPr>
          <w:trHeight w:val="378"/>
        </w:trPr>
        <w:tc>
          <w:tcPr>
            <w:tcW w:w="3060" w:type="dxa"/>
            <w:vAlign w:val="bottom"/>
          </w:tcPr>
          <w:p>
            <w:pPr>
              <w:spacing w:after="0"/>
              <w:rPr>
                <w:sz w:val="24"/>
                <w:szCs w:val="24"/>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96"/>
              </w:rPr>
              <w:t>N/A</w:t>
            </w:r>
          </w:p>
        </w:tc>
        <w:tc>
          <w:tcPr>
            <w:tcW w:w="2840" w:type="dxa"/>
            <w:vAlign w:val="bottom"/>
          </w:tcPr>
          <w:p>
            <w:pPr>
              <w:spacing w:after="0"/>
              <w:rPr>
                <w:sz w:val="24"/>
                <w:szCs w:val="24"/>
                <w:color w:val="auto"/>
              </w:rPr>
            </w:pPr>
          </w:p>
        </w:tc>
      </w:tr>
      <w:tr>
        <w:trPr>
          <w:trHeight w:val="229"/>
        </w:trPr>
        <w:tc>
          <w:tcPr>
            <w:tcW w:w="3060" w:type="dxa"/>
            <w:vAlign w:val="bottom"/>
          </w:tcPr>
          <w:p>
            <w:pPr>
              <w:spacing w:after="0"/>
              <w:rPr>
                <w:sz w:val="19"/>
                <w:szCs w:val="19"/>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87"/>
              </w:rPr>
              <w:t>(Former name and former address, if changed since last report)</w:t>
            </w:r>
          </w:p>
        </w:tc>
        <w:tc>
          <w:tcPr>
            <w:tcW w:w="2840" w:type="dxa"/>
            <w:vAlign w:val="bottom"/>
          </w:tcPr>
          <w:p>
            <w:pPr>
              <w:spacing w:after="0"/>
              <w:rPr>
                <w:sz w:val="19"/>
                <w:szCs w:val="19"/>
                <w:color w:val="auto"/>
              </w:rPr>
            </w:pPr>
          </w:p>
        </w:tc>
      </w:tr>
      <w:tr>
        <w:trPr>
          <w:trHeight w:val="209"/>
        </w:trPr>
        <w:tc>
          <w:tcPr>
            <w:tcW w:w="3060" w:type="dxa"/>
            <w:vAlign w:val="bottom"/>
            <w:tcBorders>
              <w:bottom w:val="single" w:sz="8" w:color="auto"/>
            </w:tcBorders>
          </w:tcPr>
          <w:p>
            <w:pPr>
              <w:spacing w:after="0"/>
              <w:rPr>
                <w:sz w:val="18"/>
                <w:szCs w:val="18"/>
                <w:color w:val="auto"/>
              </w:rPr>
            </w:pPr>
          </w:p>
        </w:tc>
        <w:tc>
          <w:tcPr>
            <w:tcW w:w="5520" w:type="dxa"/>
            <w:vAlign w:val="bottom"/>
            <w:tcBorders>
              <w:bottom w:val="single" w:sz="8" w:color="auto"/>
            </w:tcBorders>
          </w:tcPr>
          <w:p>
            <w:pPr>
              <w:spacing w:after="0"/>
              <w:rPr>
                <w:sz w:val="18"/>
                <w:szCs w:val="18"/>
                <w:color w:val="auto"/>
              </w:rPr>
            </w:pPr>
          </w:p>
        </w:tc>
        <w:tc>
          <w:tcPr>
            <w:tcW w:w="2840" w:type="dxa"/>
            <w:vAlign w:val="bottom"/>
            <w:tcBorders>
              <w:bottom w:val="single" w:sz="8" w:color="auto"/>
            </w:tcBorders>
          </w:tcPr>
          <w:p>
            <w:pPr>
              <w:spacing w:after="0"/>
              <w:rPr>
                <w:sz w:val="18"/>
                <w:szCs w:val="18"/>
                <w:color w:val="auto"/>
              </w:rPr>
            </w:pPr>
          </w:p>
        </w:tc>
      </w:tr>
      <w:tr>
        <w:trPr>
          <w:trHeight w:val="600"/>
        </w:trPr>
        <w:tc>
          <w:tcPr>
            <w:tcW w:w="3060" w:type="dxa"/>
            <w:vAlign w:val="bottom"/>
            <w:tcBorders>
              <w:bottom w:val="single" w:sz="8" w:color="808080"/>
            </w:tcBorders>
          </w:tcPr>
          <w:p>
            <w:pPr>
              <w:spacing w:after="0"/>
              <w:rPr>
                <w:sz w:val="24"/>
                <w:szCs w:val="24"/>
                <w:color w:val="auto"/>
              </w:rPr>
            </w:pPr>
          </w:p>
        </w:tc>
        <w:tc>
          <w:tcPr>
            <w:tcW w:w="5520" w:type="dxa"/>
            <w:vAlign w:val="bottom"/>
            <w:tcBorders>
              <w:bottom w:val="single" w:sz="8" w:color="808080"/>
            </w:tcBorders>
          </w:tcPr>
          <w:p>
            <w:pPr>
              <w:spacing w:after="0"/>
              <w:rPr>
                <w:sz w:val="24"/>
                <w:szCs w:val="24"/>
                <w:color w:val="auto"/>
              </w:rPr>
            </w:pPr>
          </w:p>
        </w:tc>
        <w:tc>
          <w:tcPr>
            <w:tcW w:w="284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7242810</wp:posOffset>
            </wp:positionH>
            <wp:positionV relativeFrom="paragraph">
              <wp:posOffset>-431165</wp:posOffset>
            </wp:positionV>
            <wp:extent cx="12700" cy="381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38100"/>
                    </a:xfrm>
                    <a:prstGeom prst="rect">
                      <a:avLst/>
                    </a:prstGeom>
                    <a:noFill/>
                  </pic:spPr>
                </pic:pic>
              </a:graphicData>
            </a:graphic>
          </wp:anchor>
        </w:drawing>
        <w:drawing>
          <wp:anchor simplePos="0" relativeHeight="251657728" behindDoc="1" locked="0" layoutInCell="0" allowOverlap="1">
            <wp:simplePos x="0" y="0"/>
            <wp:positionH relativeFrom="column">
              <wp:posOffset>1270</wp:posOffset>
            </wp:positionH>
            <wp:positionV relativeFrom="paragraph">
              <wp:posOffset>-431165</wp:posOffset>
            </wp:positionV>
            <wp:extent cx="12700" cy="381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38100"/>
                    </a:xfrm>
                    <a:prstGeom prst="rect">
                      <a:avLst/>
                    </a:prstGeom>
                    <a:noFill/>
                  </pic:spPr>
                </pic:pic>
              </a:graphicData>
            </a:graphic>
          </wp:anchor>
        </w:drawing>
        <w:drawing>
          <wp:anchor simplePos="0" relativeHeight="251657728" behindDoc="1" locked="0" layoutInCell="0" allowOverlap="1">
            <wp:simplePos x="0" y="0"/>
            <wp:positionH relativeFrom="column">
              <wp:posOffset>7242810</wp:posOffset>
            </wp:positionH>
            <wp:positionV relativeFrom="paragraph">
              <wp:posOffset>-13970</wp:posOffset>
            </wp:positionV>
            <wp:extent cx="1270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1270</wp:posOffset>
            </wp:positionH>
            <wp:positionV relativeFrom="paragraph">
              <wp:posOffset>-13970</wp:posOffset>
            </wp:positionV>
            <wp:extent cx="1270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jc w:val="right"/>
        <w:ind w:right="3379"/>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14" w:lineRule="exact"/>
        <w:rPr>
          <w:sz w:val="20"/>
          <w:szCs w:val="20"/>
          <w:color w:val="auto"/>
        </w:rPr>
      </w:pPr>
    </w:p>
    <w:p>
      <w:pPr>
        <w:ind w:left="320"/>
        <w:spacing w:after="0"/>
        <w:rPr>
          <w:rFonts w:ascii="Arial" w:cs="Arial" w:eastAsia="Arial" w:hAnsi="Arial"/>
          <w:sz w:val="21"/>
          <w:szCs w:val="21"/>
          <w:u w:val="single" w:color="auto"/>
          <w:color w:val="0000EE"/>
        </w:rPr>
      </w:pPr>
      <w:hyperlink w:anchor="page4">
        <w:r>
          <w:rPr>
            <w:rFonts w:ascii="Arial" w:cs="Arial" w:eastAsia="Arial" w:hAnsi="Arial"/>
            <w:sz w:val="21"/>
            <w:szCs w:val="21"/>
            <w:u w:val="single" w:color="auto"/>
            <w:color w:val="0000EE"/>
          </w:rPr>
          <w:t>Item 7. Financial Statements and Exhibits.</w:t>
        </w:r>
      </w:hyperlink>
    </w:p>
    <w:p>
      <w:pPr>
        <w:spacing w:after="0" w:line="10" w:lineRule="exact"/>
        <w:rPr>
          <w:sz w:val="20"/>
          <w:szCs w:val="20"/>
          <w:color w:val="auto"/>
        </w:rPr>
      </w:pPr>
    </w:p>
    <w:p>
      <w:pPr>
        <w:ind w:left="320"/>
        <w:spacing w:after="0"/>
        <w:rPr>
          <w:rFonts w:ascii="Arial" w:cs="Arial" w:eastAsia="Arial" w:hAnsi="Arial"/>
          <w:sz w:val="21"/>
          <w:szCs w:val="21"/>
          <w:u w:val="single" w:color="auto"/>
          <w:color w:val="0000EE"/>
        </w:rPr>
      </w:pPr>
      <w:hyperlink w:anchor="page4">
        <w:r>
          <w:rPr>
            <w:rFonts w:ascii="Arial" w:cs="Arial" w:eastAsia="Arial" w:hAnsi="Arial"/>
            <w:sz w:val="21"/>
            <w:szCs w:val="21"/>
            <w:u w:val="single" w:color="auto"/>
            <w:color w:val="0000EE"/>
          </w:rPr>
          <w:t>Item 12. Results of Operations and Financial Condition.</w:t>
        </w:r>
      </w:hyperlink>
    </w:p>
    <w:p>
      <w:pPr>
        <w:spacing w:after="0" w:line="236" w:lineRule="auto"/>
        <w:rPr>
          <w:rFonts w:ascii="Arial" w:cs="Arial" w:eastAsia="Arial" w:hAnsi="Arial"/>
          <w:sz w:val="21"/>
          <w:szCs w:val="21"/>
          <w:u w:val="single" w:color="auto"/>
          <w:color w:val="0000EE"/>
        </w:rPr>
      </w:pPr>
      <w:hyperlink w:anchor="page5">
        <w:r>
          <w:rPr>
            <w:rFonts w:ascii="Arial" w:cs="Arial" w:eastAsia="Arial" w:hAnsi="Arial"/>
            <w:sz w:val="21"/>
            <w:szCs w:val="21"/>
            <w:u w:val="single" w:color="auto"/>
            <w:color w:val="0000EE"/>
          </w:rPr>
          <w:t>SIGNATURE</w:t>
        </w:r>
      </w:hyperlink>
    </w:p>
    <w:p>
      <w:pPr>
        <w:spacing w:after="0" w:line="236" w:lineRule="auto"/>
        <w:rPr>
          <w:rFonts w:ascii="Arial" w:cs="Arial" w:eastAsia="Arial" w:hAnsi="Arial"/>
          <w:sz w:val="21"/>
          <w:szCs w:val="21"/>
          <w:u w:val="single" w:color="auto"/>
          <w:color w:val="0000EE"/>
        </w:rPr>
      </w:pPr>
      <w:hyperlink w:anchor="page6">
        <w:r>
          <w:rPr>
            <w:rFonts w:ascii="Arial" w:cs="Arial" w:eastAsia="Arial" w:hAnsi="Arial"/>
            <w:sz w:val="21"/>
            <w:szCs w:val="21"/>
            <w:u w:val="single" w:color="auto"/>
            <w:color w:val="0000EE"/>
          </w:rPr>
          <w:t>EXHIBIT INDEX</w:t>
        </w:r>
      </w:hyperlink>
    </w:p>
    <w:p>
      <w:pPr>
        <w:spacing w:after="0"/>
        <w:rPr>
          <w:sz w:val="20"/>
          <w:szCs w:val="20"/>
          <w:color w:val="auto"/>
        </w:rPr>
      </w:pPr>
      <w:r>
        <w:rPr>
          <w:rFonts w:ascii="Arial" w:cs="Arial" w:eastAsia="Arial" w:hAnsi="Arial"/>
          <w:sz w:val="21"/>
          <w:szCs w:val="21"/>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-366395</wp:posOffset>
            </wp:positionH>
            <wp:positionV relativeFrom="paragraph">
              <wp:posOffset>131445</wp:posOffset>
            </wp:positionV>
            <wp:extent cx="7254240" cy="209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4240" cy="20955"/>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Financial Statements and Exhibits.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(c) Exhibits.</w:t>
      </w:r>
    </w:p>
    <w:p>
      <w:pPr>
        <w:spacing w:after="0" w:line="377" w:lineRule="exact"/>
        <w:rPr>
          <w:sz w:val="20"/>
          <w:szCs w:val="20"/>
          <w:color w:val="auto"/>
        </w:rPr>
      </w:pPr>
    </w:p>
    <w:p>
      <w:pPr>
        <w:ind w:left="2580"/>
        <w:spacing w:after="0"/>
        <w:tabs>
          <w:tab w:leader="none" w:pos="5660" w:val="left"/>
        </w:tabs>
        <w:rPr>
          <w:sz w:val="20"/>
          <w:szCs w:val="20"/>
          <w:color w:val="auto"/>
        </w:rPr>
      </w:pPr>
      <w:r>
        <w:rPr>
          <w:rFonts w:ascii="Arial" w:cs="Arial" w:eastAsia="Arial" w:hAnsi="Arial"/>
          <w:sz w:val="14"/>
          <w:szCs w:val="14"/>
          <w:b w:val="1"/>
          <w:bCs w:val="1"/>
          <w:color w:val="auto"/>
        </w:rPr>
        <w:t>Exhibit</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1637665</wp:posOffset>
            </wp:positionH>
            <wp:positionV relativeFrom="paragraph">
              <wp:posOffset>46355</wp:posOffset>
            </wp:positionV>
            <wp:extent cx="398081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980815" cy="8255"/>
                    </a:xfrm>
                    <a:prstGeom prst="rect">
                      <a:avLst/>
                    </a:prstGeom>
                    <a:noFill/>
                  </pic:spPr>
                </pic:pic>
              </a:graphicData>
            </a:graphic>
          </wp:anchor>
        </w:drawing>
      </w:r>
    </w:p>
    <w:p>
      <w:pPr>
        <w:spacing w:after="0" w:line="133" w:lineRule="exact"/>
        <w:rPr>
          <w:sz w:val="20"/>
          <w:szCs w:val="20"/>
          <w:color w:val="auto"/>
        </w:rPr>
      </w:pPr>
    </w:p>
    <w:p>
      <w:pPr>
        <w:ind w:left="2580"/>
        <w:spacing w:after="0"/>
        <w:tabs>
          <w:tab w:leader="none" w:pos="32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26, 2004.</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12. Results of Operations and Financial Condition.</w:t>
      </w:r>
    </w:p>
    <w:p>
      <w:pPr>
        <w:spacing w:after="0" w:line="195" w:lineRule="exact"/>
        <w:rPr>
          <w:sz w:val="20"/>
          <w:szCs w:val="20"/>
          <w:color w:val="auto"/>
        </w:rPr>
      </w:pPr>
    </w:p>
    <w:p>
      <w:pPr>
        <w:jc w:val="both"/>
        <w:ind w:right="40" w:firstLine="217"/>
        <w:spacing w:after="0" w:line="300" w:lineRule="auto"/>
        <w:rPr>
          <w:sz w:val="20"/>
          <w:szCs w:val="20"/>
          <w:color w:val="auto"/>
        </w:rPr>
      </w:pPr>
      <w:r>
        <w:rPr>
          <w:rFonts w:ascii="Arial" w:cs="Arial" w:eastAsia="Arial" w:hAnsi="Arial"/>
          <w:sz w:val="16"/>
          <w:szCs w:val="16"/>
          <w:color w:val="auto"/>
        </w:rPr>
        <w:t>The information in this Current Report is being furnish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15" w:lineRule="exact"/>
        <w:rPr>
          <w:sz w:val="20"/>
          <w:szCs w:val="20"/>
          <w:color w:val="auto"/>
        </w:rPr>
      </w:pPr>
    </w:p>
    <w:p>
      <w:pPr>
        <w:ind w:right="200" w:firstLine="220"/>
        <w:spacing w:after="0" w:line="263" w:lineRule="auto"/>
        <w:rPr>
          <w:sz w:val="20"/>
          <w:szCs w:val="20"/>
          <w:color w:val="auto"/>
        </w:rPr>
      </w:pPr>
      <w:r>
        <w:rPr>
          <w:rFonts w:ascii="Arial" w:cs="Arial" w:eastAsia="Arial" w:hAnsi="Arial"/>
          <w:sz w:val="18"/>
          <w:szCs w:val="18"/>
          <w:color w:val="auto"/>
        </w:rPr>
        <w:t>On February 26, 2004, Marvell Technology Group, Ltd. (“Marvell”) issued a press release regarding its financial results for its fourth fiscal quarter and year ended January 31, 2004. The full text of Marvell’s press release is furnished herewith as Exhibit 99.1.</w:t>
      </w:r>
    </w:p>
    <w:p>
      <w:pPr>
        <w:spacing w:after="0" w:line="140" w:lineRule="exact"/>
        <w:rPr>
          <w:sz w:val="20"/>
          <w:szCs w:val="20"/>
          <w:color w:val="auto"/>
        </w:rPr>
      </w:pPr>
    </w:p>
    <w:p>
      <w:pPr>
        <w:ind w:firstLine="217"/>
        <w:spacing w:after="0" w:line="300"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(loss)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28" w:lineRule="exact"/>
        <w:rPr>
          <w:sz w:val="20"/>
          <w:szCs w:val="20"/>
          <w:color w:val="auto"/>
        </w:rPr>
      </w:pPr>
    </w:p>
    <w:p>
      <w:pPr>
        <w:ind w:right="400" w:firstLine="220"/>
        <w:spacing w:after="0" w:line="328" w:lineRule="auto"/>
        <w:rPr>
          <w:sz w:val="20"/>
          <w:szCs w:val="20"/>
          <w:color w:val="auto"/>
        </w:rPr>
      </w:pPr>
      <w:r>
        <w:rPr>
          <w:rFonts w:ascii="Arial" w:cs="Arial" w:eastAsia="Arial" w:hAnsi="Arial"/>
          <w:sz w:val="15"/>
          <w:szCs w:val="15"/>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142240</wp:posOffset>
            </wp:positionV>
            <wp:extent cx="7254240" cy="209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4240" cy="20955"/>
                    </a:xfrm>
                    <a:prstGeom prst="rect">
                      <a:avLst/>
                    </a:prstGeom>
                    <a:noFill/>
                  </pic:spPr>
                </pic:pic>
              </a:graphicData>
            </a:graphic>
          </wp:anchor>
        </w:drawing>
      </w:r>
    </w:p>
    <w:p>
      <w:pPr>
        <w:sectPr>
          <w:pgSz w:w="11900" w:h="16838" w:orient="portrait"/>
          <w:cols w:equalWidth="0" w:num="1">
            <w:col w:w="11420"/>
          </w:cols>
          <w:pgMar w:left="240" w:top="412"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4"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195" w:lineRule="exact"/>
        <w:rPr>
          <w:sz w:val="20"/>
          <w:szCs w:val="20"/>
          <w:color w:val="auto"/>
        </w:rPr>
      </w:pPr>
    </w:p>
    <w:p>
      <w:pPr>
        <w:ind w:firstLine="220"/>
        <w:spacing w:after="0" w:line="263"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40" w:lineRule="exact"/>
        <w:rPr>
          <w:sz w:val="20"/>
          <w:szCs w:val="20"/>
          <w:color w:val="auto"/>
        </w:rPr>
      </w:pPr>
    </w:p>
    <w:p>
      <w:pPr>
        <w:ind w:left="140"/>
        <w:spacing w:after="0"/>
        <w:rPr>
          <w:sz w:val="20"/>
          <w:szCs w:val="20"/>
          <w:color w:val="auto"/>
        </w:rPr>
      </w:pPr>
      <w:r>
        <w:rPr>
          <w:rFonts w:ascii="Arial" w:cs="Arial" w:eastAsia="Arial" w:hAnsi="Arial"/>
          <w:sz w:val="18"/>
          <w:szCs w:val="18"/>
          <w:color w:val="auto"/>
        </w:rPr>
        <w:t>Date: February 26, 2004</w:t>
      </w:r>
    </w:p>
    <w:p>
      <w:pPr>
        <w:spacing w:after="0" w:line="381" w:lineRule="exact"/>
        <w:rPr>
          <w:sz w:val="20"/>
          <w:szCs w:val="20"/>
          <w:color w:val="auto"/>
        </w:rPr>
      </w:pPr>
    </w:p>
    <w:p>
      <w:pPr>
        <w:ind w:left="6360"/>
        <w:spacing w:after="0"/>
        <w:rPr>
          <w:sz w:val="20"/>
          <w:szCs w:val="20"/>
          <w:color w:val="auto"/>
        </w:rPr>
      </w:pPr>
      <w:r>
        <w:rPr>
          <w:rFonts w:ascii="Arial" w:cs="Arial" w:eastAsia="Arial" w:hAnsi="Arial"/>
          <w:sz w:val="18"/>
          <w:szCs w:val="18"/>
          <w:b w:val="1"/>
          <w:bCs w:val="1"/>
          <w:color w:val="auto"/>
        </w:rPr>
        <w:t>MARVELL TECHNOLOGY GROUP LTD.</w:t>
      </w:r>
    </w:p>
    <w:p>
      <w:pPr>
        <w:spacing w:after="0" w:line="221" w:lineRule="exact"/>
        <w:rPr>
          <w:sz w:val="20"/>
          <w:szCs w:val="20"/>
          <w:color w:val="auto"/>
        </w:rPr>
      </w:pPr>
    </w:p>
    <w:p>
      <w:pPr>
        <w:ind w:left="6360"/>
        <w:spacing w:after="0"/>
        <w:tabs>
          <w:tab w:leader="none" w:pos="70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4353560</wp:posOffset>
            </wp:positionH>
            <wp:positionV relativeFrom="paragraph">
              <wp:posOffset>19050</wp:posOffset>
            </wp:positionV>
            <wp:extent cx="2900045"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900045" cy="8255"/>
                    </a:xfrm>
                    <a:prstGeom prst="rect">
                      <a:avLst/>
                    </a:prstGeom>
                    <a:noFill/>
                  </pic:spPr>
                </pic:pic>
              </a:graphicData>
            </a:graphic>
          </wp:anchor>
        </w:drawing>
      </w:r>
    </w:p>
    <w:p>
      <w:pPr>
        <w:spacing w:after="0" w:line="24"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George A. Hervey</w:t>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Vice President of Finance and</w:t>
      </w:r>
    </w:p>
    <w:p>
      <w:pPr>
        <w:spacing w:after="0" w:line="4"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Chief Financial Officer</w:t>
      </w:r>
    </w:p>
    <w:p>
      <w:pPr>
        <w:spacing w:after="0" w:line="17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142240</wp:posOffset>
            </wp:positionV>
            <wp:extent cx="7254240" cy="209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4240" cy="20955"/>
                    </a:xfrm>
                    <a:prstGeom prst="rect">
                      <a:avLst/>
                    </a:prstGeom>
                    <a:noFill/>
                  </pic:spPr>
                </pic:pic>
              </a:graphicData>
            </a:graphic>
          </wp:anchor>
        </w:drawing>
      </w:r>
    </w:p>
    <w:p>
      <w:pPr>
        <w:sectPr>
          <w:pgSz w:w="11900" w:h="16838" w:orient="portrait"/>
          <w:cols w:equalWidth="0" w:num="1">
            <w:col w:w="11240"/>
          </w:cols>
          <w:pgMar w:left="240" w:top="412" w:right="41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0" w:lineRule="exact"/>
        <w:rPr>
          <w:sz w:val="20"/>
          <w:szCs w:val="20"/>
          <w:color w:val="auto"/>
        </w:rPr>
      </w:pPr>
    </w:p>
    <w:tbl>
      <w:tblPr>
        <w:tblLayout w:type="fixed"/>
        <w:tblInd w:w="2580" w:type="dxa"/>
        <w:tblCellMar>
          <w:top w:w="0" w:type="dxa"/>
          <w:left w:w="0" w:type="dxa"/>
          <w:bottom w:w="0" w:type="dxa"/>
          <w:right w:w="0" w:type="dxa"/>
        </w:tblCellMar>
      </w:tblPr>
      <w:tr>
        <w:trPr>
          <w:trHeight w:val="223"/>
        </w:trPr>
        <w:tc>
          <w:tcPr>
            <w:tcW w:w="15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440" w:type="dxa"/>
            <w:vAlign w:val="bottom"/>
          </w:tcPr>
          <w:p>
            <w:pPr>
              <w:ind w:left="660"/>
              <w:spacing w:after="0"/>
              <w:rPr>
                <w:sz w:val="20"/>
                <w:szCs w:val="20"/>
                <w:color w:val="auto"/>
              </w:rPr>
            </w:pPr>
            <w:r>
              <w:rPr>
                <w:rFonts w:ascii="Arial" w:cs="Arial" w:eastAsia="Arial" w:hAnsi="Arial"/>
                <w:sz w:val="18"/>
                <w:szCs w:val="18"/>
                <w:color w:val="auto"/>
              </w:rPr>
              <w:t>EXHIBIT INDEX</w:t>
            </w:r>
          </w:p>
        </w:tc>
      </w:tr>
      <w:tr>
        <w:trPr>
          <w:trHeight w:val="558"/>
        </w:trPr>
        <w:tc>
          <w:tcPr>
            <w:tcW w:w="1520" w:type="dxa"/>
            <w:vAlign w:val="bottom"/>
          </w:tcPr>
          <w:p>
            <w:pPr>
              <w:spacing w:after="0"/>
              <w:rPr>
                <w:sz w:val="20"/>
                <w:szCs w:val="20"/>
                <w:color w:val="auto"/>
              </w:rPr>
            </w:pPr>
            <w:r>
              <w:rPr>
                <w:rFonts w:ascii="Arial" w:cs="Arial" w:eastAsia="Arial" w:hAnsi="Arial"/>
                <w:sz w:val="14"/>
                <w:szCs w:val="14"/>
                <w:b w:val="1"/>
                <w:bCs w:val="1"/>
                <w:color w:val="auto"/>
              </w:rPr>
              <w:t>Exhibit Number</w:t>
            </w:r>
          </w:p>
        </w:tc>
        <w:tc>
          <w:tcPr>
            <w:tcW w:w="300" w:type="dxa"/>
            <w:vAlign w:val="bottom"/>
          </w:tcPr>
          <w:p>
            <w:pPr>
              <w:spacing w:after="0"/>
              <w:rPr>
                <w:sz w:val="24"/>
                <w:szCs w:val="24"/>
                <w:color w:val="auto"/>
              </w:rPr>
            </w:pPr>
          </w:p>
        </w:tc>
        <w:tc>
          <w:tcPr>
            <w:tcW w:w="4440" w:type="dxa"/>
            <w:vAlign w:val="bottom"/>
          </w:tcPr>
          <w:p>
            <w:pPr>
              <w:ind w:left="1880"/>
              <w:spacing w:after="0"/>
              <w:rPr>
                <w:sz w:val="20"/>
                <w:szCs w:val="20"/>
                <w:color w:val="auto"/>
              </w:rPr>
            </w:pPr>
            <w:r>
              <w:rPr>
                <w:rFonts w:ascii="Arial" w:cs="Arial" w:eastAsia="Arial" w:hAnsi="Arial"/>
                <w:sz w:val="14"/>
                <w:szCs w:val="14"/>
                <w:b w:val="1"/>
                <w:bCs w:val="1"/>
                <w:color w:val="auto"/>
              </w:rPr>
              <w:t>Description</w:t>
            </w:r>
          </w:p>
        </w:tc>
      </w:tr>
      <w:tr>
        <w:trPr>
          <w:trHeight w:val="50"/>
        </w:trPr>
        <w:tc>
          <w:tcPr>
            <w:tcW w:w="15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4440" w:type="dxa"/>
            <w:vAlign w:val="bottom"/>
            <w:tcBorders>
              <w:bottom w:val="single" w:sz="8" w:color="808080"/>
            </w:tcBorders>
          </w:tcPr>
          <w:p>
            <w:pPr>
              <w:spacing w:after="0"/>
              <w:rPr>
                <w:sz w:val="4"/>
                <w:szCs w:val="4"/>
                <w:color w:val="auto"/>
              </w:rPr>
            </w:pPr>
          </w:p>
        </w:tc>
      </w:tr>
      <w:tr>
        <w:trPr>
          <w:trHeight w:val="283"/>
        </w:trPr>
        <w:tc>
          <w:tcPr>
            <w:tcW w:w="1520" w:type="dxa"/>
            <w:vAlign w:val="bottom"/>
          </w:tcPr>
          <w:p>
            <w:pPr>
              <w:spacing w:after="0"/>
              <w:rPr>
                <w:sz w:val="20"/>
                <w:szCs w:val="20"/>
                <w:color w:val="auto"/>
              </w:rPr>
            </w:pPr>
            <w:r>
              <w:rPr>
                <w:rFonts w:ascii="Arial" w:cs="Arial" w:eastAsia="Arial" w:hAnsi="Arial"/>
                <w:sz w:val="18"/>
                <w:szCs w:val="18"/>
                <w:color w:val="auto"/>
              </w:rPr>
              <w:t>Exhibit 99.1</w:t>
            </w:r>
          </w:p>
        </w:tc>
        <w:tc>
          <w:tcPr>
            <w:tcW w:w="300" w:type="dxa"/>
            <w:vAlign w:val="bottom"/>
          </w:tcPr>
          <w:p>
            <w:pPr>
              <w:spacing w:after="0"/>
              <w:rPr>
                <w:sz w:val="24"/>
                <w:szCs w:val="24"/>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Press Release issued February 26, 2004.</w:t>
            </w:r>
          </w:p>
        </w:tc>
      </w:tr>
    </w:tbl>
    <w:p>
      <w:pPr>
        <w:sectPr>
          <w:pgSz w:w="11900" w:h="16838" w:orient="portrait"/>
          <w:cols w:equalWidth="0" w:num="1">
            <w:col w:w="10219"/>
          </w:cols>
          <w:pgMar w:left="240" w:top="412" w:right="1440" w:bottom="1440" w:gutter="0" w:footer="0" w:header="0"/>
        </w:sectPr>
      </w:pPr>
    </w:p>
    <w:bookmarkStart w:id="6" w:name="page7"/>
    <w:bookmarkEnd w:id="6"/>
    <w:p>
      <w:pPr>
        <w:jc w:val="right"/>
        <w:ind w:right="1979"/>
        <w:spacing w:after="0"/>
        <w:rPr>
          <w:sz w:val="20"/>
          <w:szCs w:val="20"/>
          <w:color w:val="auto"/>
        </w:rPr>
      </w:pPr>
      <w:r>
        <w:rPr>
          <w:rFonts w:ascii="Courier New" w:cs="Courier New" w:eastAsia="Courier New" w:hAnsi="Courier New"/>
          <w:sz w:val="17"/>
          <w:szCs w:val="17"/>
          <w:color w:val="auto"/>
        </w:rPr>
        <w:t>EXHIBIT 99.1</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NEWS RELEASE</w:t>
      </w:r>
    </w:p>
    <w:p>
      <w:pPr>
        <w:spacing w:after="0" w:line="200" w:lineRule="exact"/>
        <w:rPr>
          <w:sz w:val="20"/>
          <w:szCs w:val="20"/>
          <w:color w:val="auto"/>
        </w:rPr>
      </w:pPr>
    </w:p>
    <w:p>
      <w:pPr>
        <w:spacing w:after="0" w:line="201" w:lineRule="exact"/>
        <w:rPr>
          <w:sz w:val="20"/>
          <w:szCs w:val="20"/>
          <w:color w:val="auto"/>
        </w:rPr>
      </w:pPr>
    </w:p>
    <w:p>
      <w:pPr>
        <w:ind w:left="2060"/>
        <w:spacing w:after="0"/>
        <w:rPr>
          <w:sz w:val="20"/>
          <w:szCs w:val="20"/>
          <w:color w:val="auto"/>
        </w:rPr>
      </w:pPr>
      <w:r>
        <w:rPr>
          <w:rFonts w:ascii="Courier New" w:cs="Courier New" w:eastAsia="Courier New" w:hAnsi="Courier New"/>
          <w:sz w:val="17"/>
          <w:szCs w:val="17"/>
          <w:color w:val="auto"/>
        </w:rPr>
        <w:t>MARVELL(R) TECHNOLOGY GROUP LTD. REPORTS</w:t>
      </w:r>
    </w:p>
    <w:p>
      <w:pPr>
        <w:spacing w:after="0" w:line="5" w:lineRule="exact"/>
        <w:rPr>
          <w:sz w:val="20"/>
          <w:szCs w:val="20"/>
          <w:color w:val="auto"/>
        </w:rPr>
      </w:pPr>
    </w:p>
    <w:p>
      <w:pPr>
        <w:ind w:left="2060"/>
        <w:spacing w:after="0"/>
        <w:rPr>
          <w:sz w:val="20"/>
          <w:szCs w:val="20"/>
          <w:color w:val="auto"/>
        </w:rPr>
      </w:pPr>
      <w:r>
        <w:rPr>
          <w:rFonts w:ascii="Courier New" w:cs="Courier New" w:eastAsia="Courier New" w:hAnsi="Courier New"/>
          <w:sz w:val="17"/>
          <w:szCs w:val="17"/>
          <w:color w:val="auto"/>
        </w:rPr>
        <w:t>RECORD FOURTH QUARTER FISCAL 2004 RESULTS</w:t>
      </w:r>
    </w:p>
    <w:p>
      <w:pPr>
        <w:spacing w:after="0" w:line="203" w:lineRule="exact"/>
        <w:rPr>
          <w:sz w:val="20"/>
          <w:szCs w:val="20"/>
          <w:color w:val="auto"/>
        </w:rPr>
      </w:pPr>
    </w:p>
    <w:p>
      <w:pPr>
        <w:ind w:left="1760"/>
        <w:spacing w:after="0"/>
        <w:rPr>
          <w:sz w:val="20"/>
          <w:szCs w:val="20"/>
          <w:color w:val="auto"/>
        </w:rPr>
      </w:pPr>
      <w:r>
        <w:rPr>
          <w:rFonts w:ascii="Courier New" w:cs="Courier New" w:eastAsia="Courier New" w:hAnsi="Courier New"/>
          <w:sz w:val="17"/>
          <w:szCs w:val="17"/>
          <w:color w:val="auto"/>
        </w:rPr>
        <w:t>MARVELL'S BOARD APPROVES A 2 FOR 1 STOCK SPLIT</w:t>
      </w:r>
    </w:p>
    <w:p>
      <w:pPr>
        <w:spacing w:after="0" w:line="203" w:lineRule="exact"/>
        <w:rPr>
          <w:sz w:val="20"/>
          <w:szCs w:val="20"/>
          <w:color w:val="auto"/>
        </w:rPr>
      </w:pPr>
    </w:p>
    <w:p>
      <w:pPr>
        <w:ind w:right="2179"/>
        <w:spacing w:after="0" w:line="246" w:lineRule="auto"/>
        <w:rPr>
          <w:sz w:val="20"/>
          <w:szCs w:val="20"/>
          <w:color w:val="auto"/>
        </w:rPr>
      </w:pPr>
      <w:r>
        <w:rPr>
          <w:rFonts w:ascii="Courier New" w:cs="Courier New" w:eastAsia="Courier New" w:hAnsi="Courier New"/>
          <w:sz w:val="17"/>
          <w:szCs w:val="17"/>
          <w:color w:val="auto"/>
        </w:rPr>
        <w:t>Sunnyvale, CA. (February 26, 2004) - Marvell(R) Technology Group Ltd. (NASDAQ: MRVL), the technology leader in the development of extreme broadband communications and storage solutions, today reported financial results for its fourth fiscal quarter and year ended January 31, 2004.</w:t>
      </w:r>
    </w:p>
    <w:p>
      <w:pPr>
        <w:spacing w:after="0" w:line="200"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Net revenue for the fourth quarter of fiscal 2004 was a record $243.3 million, an increase of 61% over net revenue of $150.8 million for the fourth quarter of fiscal 2003 and a 13% sequential increase from net revenue of $215.3 million for the third quarter of fiscal 2004. Net income under generally accepted accounting principles (GAAP) was $19.8 million, or $0.14 per share (diluted), for the fourth quarter of fiscal 2004, compared with a net loss under GAAP of $24.2 million, or $0.20 per share (diluted), for the fourth quarter of fiscal 2003.</w:t>
      </w:r>
    </w:p>
    <w:p>
      <w:pPr>
        <w:spacing w:after="0" w:line="202" w:lineRule="exact"/>
        <w:rPr>
          <w:sz w:val="20"/>
          <w:szCs w:val="20"/>
          <w:color w:val="auto"/>
        </w:rPr>
      </w:pPr>
    </w:p>
    <w:p>
      <w:pPr>
        <w:ind w:right="2079"/>
        <w:spacing w:after="0" w:line="246" w:lineRule="auto"/>
        <w:rPr>
          <w:sz w:val="20"/>
          <w:szCs w:val="20"/>
          <w:color w:val="auto"/>
        </w:rPr>
      </w:pPr>
      <w:r>
        <w:rPr>
          <w:rFonts w:ascii="Courier New" w:cs="Courier New" w:eastAsia="Courier New" w:hAnsi="Courier New"/>
          <w:sz w:val="17"/>
          <w:szCs w:val="17"/>
          <w:color w:val="auto"/>
        </w:rPr>
        <w:t>Net revenue for the year ended January 31, 2004 was $819.8 million, an increase of 62% over net revenue of $505.3 million for the year ended February 1, 2003. Net income under GAAP was $45.5 million, or $0.33 per share (diluted), for the year ended January 31, 2004, compared with a net loss under GAAP of $72.2 million, or $0.61 per share (diluted), for the year ended February 1, 2003.</w:t>
      </w:r>
    </w:p>
    <w:p>
      <w:pPr>
        <w:spacing w:after="0" w:line="201" w:lineRule="exact"/>
        <w:rPr>
          <w:sz w:val="20"/>
          <w:szCs w:val="20"/>
          <w:color w:val="auto"/>
        </w:rPr>
      </w:pPr>
    </w:p>
    <w:p>
      <w:pPr>
        <w:ind w:right="2079"/>
        <w:spacing w:after="0" w:line="246" w:lineRule="auto"/>
        <w:rPr>
          <w:sz w:val="20"/>
          <w:szCs w:val="20"/>
          <w:color w:val="auto"/>
        </w:rPr>
      </w:pPr>
      <w:r>
        <w:rPr>
          <w:rFonts w:ascii="Courier New" w:cs="Courier New" w:eastAsia="Courier New" w:hAnsi="Courier New"/>
          <w:sz w:val="17"/>
          <w:szCs w:val="17"/>
          <w:color w:val="auto"/>
        </w:rPr>
        <w:t>Marvell reports net income (loss) and basic and diluted net income (loss) per share in accordance with GAAP and additionally on a non-GAAP basis, referred to as pro forma. Pro forma net income, where applicable, excludes the effect of acquisition-related expenses, amortization of stock-based compensation and charges related to facilities consolidation. Pro forma net income was $41.3 million, or $0.29 per share (diluted), for the fourth quarter of fiscal 2004, compared with pro forma net income of $20.3 million, or $0.16 per share (diluted), for the fourth quarter of fiscal 2003. Shares used in computing pro forma net income per share for the fourth quarter of fiscal 2004 increased to 144.2 million, compared with 129.3 million for the fourth quarter of fiscal 2003.</w:t>
      </w:r>
    </w:p>
    <w:p>
      <w:pPr>
        <w:spacing w:after="0" w:line="204"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Pro forma net income was $130.8 million, or $0.95 per share (diluted), for the year ended January 31, 2004, compared with pro forma net income of $62.5 million, or $0.48 per share (diluted), for the year ended February 1, 2003. Shares used in computing pro forma net income per share for the year ended January 31, 2004 were 138.2 million, compared to 129.8 million for the year ended February 1, 2003. These non-GAAP measures should be considered in addition to, and not as a substitute for, the results prepared in accordance with GAAP. A reconciliation of GAAP net income (loss) to pro forma net income is included in the financial statements portion of this release as well as on our website in the Investors section at www.marvell.com.</w:t>
      </w:r>
    </w:p>
    <w:p>
      <w:pPr>
        <w:spacing w:after="0" w:line="204"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ectPr>
          <w:pgSz w:w="11900" w:h="16838" w:orient="portrait"/>
          <w:cols w:equalWidth="0" w:num="1">
            <w:col w:w="10219"/>
          </w:cols>
          <w:pgMar w:left="240" w:top="340" w:right="1440" w:bottom="1440" w:gutter="0" w:footer="0" w:header="0"/>
        </w:sectPr>
      </w:pPr>
    </w:p>
    <w:bookmarkStart w:id="7" w:name="page8"/>
    <w:bookmarkEnd w:id="7"/>
    <w:p>
      <w:pPr>
        <w:ind w:right="1979"/>
        <w:spacing w:after="0" w:line="246" w:lineRule="auto"/>
        <w:rPr>
          <w:sz w:val="20"/>
          <w:szCs w:val="20"/>
          <w:color w:val="auto"/>
        </w:rPr>
      </w:pPr>
      <w:r>
        <w:rPr>
          <w:rFonts w:ascii="Courier New" w:cs="Courier New" w:eastAsia="Courier New" w:hAnsi="Courier New"/>
          <w:sz w:val="17"/>
          <w:szCs w:val="17"/>
          <w:color w:val="auto"/>
        </w:rPr>
        <w:t>"We are pleased to announce the results of another outstanding year and fourth quarter for Marvell," stated Dr. Sehat Sutardja, Marvell's President and CEO. "We finished the year with strong momentum and solid positioning in our markets. Our strong revenue growth in Q4 was largely fueled by the continued adoption of our Gigabit, Wireless and Storage products. Fiscal 2005 promises to be an exciting year as our products and new technologies are expected to reach many new large volume markets and applications such as consumer electronics and power management."</w:t>
      </w:r>
    </w:p>
    <w:p>
      <w:pPr>
        <w:spacing w:after="0" w:line="203"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Revenue for the fourth quarter was a record for Marvell and represented our 25th consecutive quarter of sequential revenue growth. Also, the 13% sequential increase in Marvell's fourth quarter revenue was Marvell's 9th consecutive quarter where sequential revenue growth was greater than 10%. The following is a review of some of the highlights that occurred during the fourth quarter:</w:t>
      </w:r>
    </w:p>
    <w:p>
      <w:pPr>
        <w:spacing w:after="0" w:line="201" w:lineRule="exact"/>
        <w:rPr>
          <w:sz w:val="20"/>
          <w:szCs w:val="20"/>
          <w:color w:val="auto"/>
        </w:rPr>
      </w:pPr>
    </w:p>
    <w:p>
      <w:pPr>
        <w:ind w:left="1040" w:right="2179" w:hanging="520"/>
        <w:spacing w:after="0" w:line="246" w:lineRule="auto"/>
        <w:tabs>
          <w:tab w:leader="none" w:pos="104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In January, Marvell announced its entrance into the power management market with revolutionary Digital Signal Processing (DSP) based mixed-signal solutions. Marvell developed a breakthrough in power management technology using an innovative DSP based solution that allows for the use of extremely small passive components. The introduction of this innovative technology comes at a time when conventional solutions are struggling to handle the critical issues arising in wide range of electronic devices including PCs, Consumer and Portable products.</w:t>
      </w:r>
    </w:p>
    <w:p>
      <w:pPr>
        <w:spacing w:after="0" w:line="203" w:lineRule="exact"/>
        <w:rPr>
          <w:rFonts w:ascii="Courier New" w:cs="Courier New" w:eastAsia="Courier New" w:hAnsi="Courier New"/>
          <w:sz w:val="17"/>
          <w:szCs w:val="17"/>
          <w:color w:val="auto"/>
        </w:rPr>
      </w:pPr>
    </w:p>
    <w:p>
      <w:pPr>
        <w:ind w:left="1040" w:right="1979" w:hanging="520"/>
        <w:spacing w:after="0" w:line="246" w:lineRule="auto"/>
        <w:tabs>
          <w:tab w:leader="none" w:pos="104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Marvell is driving widespread adoption of WLAN into consumer electronic devices by offering the highest performance, lowest power and smallest form factor products allowing for the most cost effective designs. Marvell is winning numerous designs with large consumer electronics OEMs for such applications as cellular handsets, gaming devices, PDA's, and emerging home entertainment multimedia client devices.</w:t>
      </w:r>
    </w:p>
    <w:p>
      <w:pPr>
        <w:spacing w:after="0" w:line="202" w:lineRule="exact"/>
        <w:rPr>
          <w:rFonts w:ascii="Courier New" w:cs="Courier New" w:eastAsia="Courier New" w:hAnsi="Courier New"/>
          <w:sz w:val="17"/>
          <w:szCs w:val="17"/>
          <w:color w:val="auto"/>
        </w:rPr>
      </w:pPr>
    </w:p>
    <w:p>
      <w:pPr>
        <w:ind w:left="1040" w:right="2079" w:hanging="520"/>
        <w:spacing w:after="0" w:line="246" w:lineRule="auto"/>
        <w:tabs>
          <w:tab w:leader="none" w:pos="104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Marvell continues to ramp its Gigabit Ethernet networking infrastructure revenues with the continued strong adoption of its technology proven Prestera(TM) product family. The Prestera Switch family is now in volume production across all market segments of Gigabit Ethernet infrastructure switching. Marvell's Prestera can now be found in products ranging from high-end chassis metro systems, to enterprise class fully managed layer 3 switches, and all the way to high-volume unmanaged layer 2 Gigabit desktop switches.</w:t>
      </w:r>
    </w:p>
    <w:p>
      <w:pPr>
        <w:spacing w:after="0" w:line="202" w:lineRule="exact"/>
        <w:rPr>
          <w:rFonts w:ascii="Courier New" w:cs="Courier New" w:eastAsia="Courier New" w:hAnsi="Courier New"/>
          <w:sz w:val="17"/>
          <w:szCs w:val="17"/>
          <w:color w:val="auto"/>
        </w:rPr>
      </w:pPr>
    </w:p>
    <w:p>
      <w:pPr>
        <w:ind w:left="1040" w:right="1979" w:hanging="520"/>
        <w:spacing w:after="0" w:line="246" w:lineRule="auto"/>
        <w:tabs>
          <w:tab w:leader="none" w:pos="104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During the fourth quarter, Marvell commenced shipment of Yukon(TM)-EC Gigabit Ethernet controllers for use in PCI Express platforms. The Yukon-EC is the world's smallest Gigabit Ethernet controller available today for desktops, notebooks and servers. Marvell also announced that leading motherboard companies Asustek, ECS, Gigabyte and Micro Star International all have selected Yukon-EC for their PCI-Express motherboards.</w:t>
      </w:r>
    </w:p>
    <w:p>
      <w:pPr>
        <w:spacing w:after="0" w:line="202" w:lineRule="exact"/>
        <w:rPr>
          <w:rFonts w:ascii="Courier New" w:cs="Courier New" w:eastAsia="Courier New" w:hAnsi="Courier New"/>
          <w:sz w:val="17"/>
          <w:szCs w:val="17"/>
          <w:color w:val="auto"/>
        </w:rPr>
      </w:pPr>
    </w:p>
    <w:p>
      <w:pPr>
        <w:ind w:left="1040" w:right="1979" w:hanging="520"/>
        <w:spacing w:after="0" w:line="246" w:lineRule="auto"/>
        <w:tabs>
          <w:tab w:leader="none" w:pos="104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Marvell is proud to have been added to the NASDAQ-100 during the quarter. The NASDAQ-100 Index is comprised of the 100 largest non-financial stocks listed on the NASDAQ Stock Market based on market capitalization.</w:t>
      </w:r>
    </w:p>
    <w:p>
      <w:pPr>
        <w:spacing w:after="0" w:line="3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MARVELL'S BOARD APPROVES A 2 FOR 1 STOCK SPLIT</w:t>
      </w:r>
    </w:p>
    <w:p>
      <w:pPr>
        <w:spacing w:after="0" w:line="203"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Additionally, Marvell's Board of Directors has approved a 2 for 1 stock split of the Company's common stock, to be effected pursuant to the issuance of additional shares. The stock split is subject to shareholder approval of an increase in the Company's authorized share capital at the Company's 2004 Annual General Meeting tentatively scheduled for late May 2004. If approved by</w:t>
      </w:r>
    </w:p>
    <w:p>
      <w:pPr>
        <w:sectPr>
          <w:pgSz w:w="11900" w:h="16838" w:orient="portrait"/>
          <w:cols w:equalWidth="0" w:num="1">
            <w:col w:w="10219"/>
          </w:cols>
          <w:pgMar w:left="240" w:top="511" w:right="1440" w:bottom="1440" w:gutter="0" w:footer="0" w:header="0"/>
        </w:sectPr>
      </w:pPr>
    </w:p>
    <w:bookmarkStart w:id="8" w:name="page9"/>
    <w:bookmarkEnd w:id="8"/>
    <w:p>
      <w:pPr>
        <w:ind w:right="2079"/>
        <w:spacing w:after="0" w:line="247" w:lineRule="auto"/>
        <w:rPr>
          <w:sz w:val="20"/>
          <w:szCs w:val="20"/>
          <w:color w:val="auto"/>
        </w:rPr>
      </w:pPr>
      <w:r>
        <w:rPr>
          <w:rFonts w:ascii="Courier New" w:cs="Courier New" w:eastAsia="Courier New" w:hAnsi="Courier New"/>
          <w:sz w:val="17"/>
          <w:szCs w:val="17"/>
          <w:color w:val="auto"/>
        </w:rPr>
        <w:t>Marvell's shareholders, Marvell expects the declaration and payment of the additional shares to occur within 30 days following the Annual General Meeting.</w:t>
      </w:r>
    </w:p>
    <w:p>
      <w:pPr>
        <w:spacing w:after="0" w:line="198"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Marvell will be conducting a conference call today at 1:45 p.m. PT to discuss its fourth quarter and fiscal 2004 financial results. To listen to the conference call, investors can dial (706) 679-0800 approximately ten minutes prior to the initiation of the teleconference and refer to conference code 5249189. Replay of the conference call will be available until March 23, 2004 at midnight by dialing (706) 645-9291. The conference call will also be available via the web at www.marvell.com until March 23, 2004. Please visit the Investor Events section. Replay on the Internet will be available until February 26, 2005.</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ABOUT MARVELL</w:t>
      </w:r>
    </w:p>
    <w:p>
      <w:pPr>
        <w:spacing w:after="0" w:line="5" w:lineRule="exact"/>
        <w:rPr>
          <w:sz w:val="20"/>
          <w:szCs w:val="20"/>
          <w:color w:val="auto"/>
        </w:rPr>
      </w:pPr>
    </w:p>
    <w:p>
      <w:pPr>
        <w:ind w:right="2079"/>
        <w:spacing w:after="0" w:line="246" w:lineRule="auto"/>
        <w:rPr>
          <w:sz w:val="20"/>
          <w:szCs w:val="20"/>
          <w:color w:val="auto"/>
        </w:rPr>
      </w:pPr>
      <w:r>
        <w:rPr>
          <w:rFonts w:ascii="Courier New" w:cs="Courier New" w:eastAsia="Courier New" w:hAnsi="Courier New"/>
          <w:sz w:val="17"/>
          <w:szCs w:val="17"/>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6" w:lineRule="exact"/>
        <w:rPr>
          <w:sz w:val="20"/>
          <w:szCs w:val="20"/>
          <w:color w:val="auto"/>
        </w:rPr>
      </w:pPr>
    </w:p>
    <w:p>
      <w:pPr>
        <w:ind w:right="2499"/>
        <w:spacing w:after="0" w:line="246" w:lineRule="auto"/>
        <w:rPr>
          <w:sz w:val="20"/>
          <w:szCs w:val="20"/>
          <w:color w:val="auto"/>
        </w:rPr>
      </w:pPr>
      <w:r>
        <w:rPr>
          <w:rFonts w:ascii="Courier New" w:cs="Courier New" w:eastAsia="Courier New" w:hAnsi="Courier New"/>
          <w:sz w:val="17"/>
          <w:szCs w:val="17"/>
          <w:color w:val="auto"/>
        </w:rPr>
        <w:t>SAFE HARBOR STATEMENT UNDER THE PRIVATE SECURITIES LITIGATION REFORM ACT OF 1995:</w:t>
      </w:r>
    </w:p>
    <w:p>
      <w:pPr>
        <w:spacing w:after="0" w:line="1" w:lineRule="exact"/>
        <w:rPr>
          <w:sz w:val="20"/>
          <w:szCs w:val="20"/>
          <w:color w:val="auto"/>
        </w:rPr>
      </w:pPr>
    </w:p>
    <w:p>
      <w:pPr>
        <w:ind w:right="1979"/>
        <w:spacing w:after="0" w:line="246" w:lineRule="auto"/>
        <w:rPr>
          <w:sz w:val="20"/>
          <w:szCs w:val="20"/>
          <w:color w:val="auto"/>
        </w:rPr>
      </w:pPr>
      <w:r>
        <w:rPr>
          <w:rFonts w:ascii="Courier New" w:cs="Courier New" w:eastAsia="Courier New" w:hAnsi="Courier New"/>
          <w:sz w:val="17"/>
          <w:szCs w:val="17"/>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continued growth being fueled by the continued adoption of our Gigabit, Wireless and Storage products, our expectation regarding fiscal 2005, our products and new technology reaching many new large volume markets and applications such as consumer electronics and power management, our continued ability to drive the adoption of WLAN, the continued strong adoption of our Prestera product family and our anticipated stock dividend.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February 1, 2003 and Marvell's subsequent reports on Form 10-Q. We undertake no obligation to revise or update publicly any forward-looking statements.</w:t>
      </w:r>
    </w:p>
    <w:p>
      <w:pPr>
        <w:spacing w:after="0" w:line="211" w:lineRule="exact"/>
        <w:rPr>
          <w:sz w:val="20"/>
          <w:szCs w:val="20"/>
          <w:color w:val="auto"/>
        </w:rPr>
      </w:pPr>
    </w:p>
    <w:p>
      <w:pPr>
        <w:ind w:right="2079"/>
        <w:spacing w:after="0" w:line="247" w:lineRule="auto"/>
        <w:rPr>
          <w:sz w:val="20"/>
          <w:szCs w:val="20"/>
          <w:color w:val="auto"/>
        </w:rPr>
      </w:pPr>
      <w:r>
        <w:rPr>
          <w:rFonts w:ascii="Courier New" w:cs="Courier New" w:eastAsia="Courier New" w:hAnsi="Courier New"/>
          <w:sz w:val="17"/>
          <w:szCs w:val="17"/>
          <w:color w:val="auto"/>
        </w:rPr>
        <w:t>MARVELL(R) AND THE MARVELL LOGO ARE TRADEMARKS OF MARVELL. ALL OTHER TRADEMARKS ARE THE PROPERTY OF THEIR RESPECTIVE OWNERS.</w:t>
      </w:r>
    </w:p>
    <w:p>
      <w:pPr>
        <w:sectPr>
          <w:pgSz w:w="11900" w:h="16838" w:orient="portrait"/>
          <w:cols w:equalWidth="0" w:num="1">
            <w:col w:w="10219"/>
          </w:cols>
          <w:pgMar w:left="240" w:top="709" w:right="1440" w:bottom="1440" w:gutter="0" w:footer="0" w:header="0"/>
        </w:sectPr>
      </w:pPr>
    </w:p>
    <w:bookmarkStart w:id="9" w:name="page10"/>
    <w:bookmarkEnd w:id="9"/>
    <w:p>
      <w:pPr>
        <w:jc w:val="center"/>
        <w:ind w:right="3160"/>
        <w:spacing w:after="0"/>
        <w:rPr>
          <w:sz w:val="20"/>
          <w:szCs w:val="20"/>
          <w:color w:val="auto"/>
        </w:rPr>
      </w:pPr>
      <w:r>
        <w:rPr>
          <w:rFonts w:ascii="Courier New" w:cs="Courier New" w:eastAsia="Courier New" w:hAnsi="Courier New"/>
          <w:sz w:val="17"/>
          <w:szCs w:val="17"/>
          <w:color w:val="auto"/>
        </w:rPr>
        <w:t>MARVELL TECHNOLOGY GROUP LTD.</w:t>
      </w:r>
    </w:p>
    <w:p>
      <w:pPr>
        <w:spacing w:after="0" w:line="5" w:lineRule="exact"/>
        <w:rPr>
          <w:sz w:val="20"/>
          <w:szCs w:val="20"/>
          <w:color w:val="auto"/>
        </w:rPr>
      </w:pPr>
    </w:p>
    <w:p>
      <w:pPr>
        <w:jc w:val="center"/>
        <w:ind w:right="3160"/>
        <w:spacing w:after="0"/>
        <w:rPr>
          <w:sz w:val="20"/>
          <w:szCs w:val="20"/>
          <w:color w:val="auto"/>
        </w:rPr>
      </w:pPr>
      <w:r>
        <w:rPr>
          <w:rFonts w:ascii="Courier New" w:cs="Courier New" w:eastAsia="Courier New" w:hAnsi="Courier New"/>
          <w:sz w:val="17"/>
          <w:szCs w:val="17"/>
          <w:color w:val="auto"/>
        </w:rPr>
        <w:t>Consolidated Statements of Operations</w:t>
      </w:r>
    </w:p>
    <w:p>
      <w:pPr>
        <w:spacing w:after="0" w:line="5" w:lineRule="exact"/>
        <w:rPr>
          <w:sz w:val="20"/>
          <w:szCs w:val="20"/>
          <w:color w:val="auto"/>
        </w:rPr>
      </w:pPr>
    </w:p>
    <w:p>
      <w:pPr>
        <w:jc w:val="center"/>
        <w:ind w:right="3160"/>
        <w:spacing w:after="0"/>
        <w:rPr>
          <w:sz w:val="20"/>
          <w:szCs w:val="20"/>
          <w:color w:val="auto"/>
        </w:rPr>
      </w:pPr>
      <w:r>
        <w:rPr>
          <w:rFonts w:ascii="Courier New" w:cs="Courier New" w:eastAsia="Courier New" w:hAnsi="Courier New"/>
          <w:sz w:val="17"/>
          <w:szCs w:val="17"/>
          <w:color w:val="auto"/>
        </w:rPr>
        <w:t>(Unaudited)</w:t>
      </w:r>
    </w:p>
    <w:p>
      <w:pPr>
        <w:spacing w:after="0" w:line="5" w:lineRule="exact"/>
        <w:rPr>
          <w:sz w:val="20"/>
          <w:szCs w:val="20"/>
          <w:color w:val="auto"/>
        </w:rPr>
      </w:pPr>
    </w:p>
    <w:p>
      <w:pPr>
        <w:jc w:val="center"/>
        <w:ind w:right="3280"/>
        <w:spacing w:after="0"/>
        <w:rPr>
          <w:sz w:val="20"/>
          <w:szCs w:val="20"/>
          <w:color w:val="auto"/>
        </w:rPr>
      </w:pPr>
      <w:r>
        <w:rPr>
          <w:rFonts w:ascii="Courier New" w:cs="Courier New" w:eastAsia="Courier New" w:hAnsi="Courier New"/>
          <w:sz w:val="17"/>
          <w:szCs w:val="17"/>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780" w:type="dxa"/>
            <w:vAlign w:val="bottom"/>
          </w:tcPr>
          <w:p>
            <w:pPr>
              <w:spacing w:after="0"/>
              <w:rPr>
                <w:sz w:val="16"/>
                <w:szCs w:val="16"/>
                <w:color w:val="auto"/>
              </w:rPr>
            </w:pPr>
          </w:p>
        </w:tc>
        <w:tc>
          <w:tcPr>
            <w:tcW w:w="3020" w:type="dxa"/>
            <w:vAlign w:val="bottom"/>
            <w:gridSpan w:val="2"/>
          </w:tcPr>
          <w:p>
            <w:pPr>
              <w:jc w:val="right"/>
              <w:ind w:right="574"/>
              <w:spacing w:after="0"/>
              <w:rPr>
                <w:sz w:val="20"/>
                <w:szCs w:val="20"/>
                <w:color w:val="auto"/>
              </w:rPr>
            </w:pPr>
            <w:r>
              <w:rPr>
                <w:rFonts w:ascii="Courier New" w:cs="Courier New" w:eastAsia="Courier New" w:hAnsi="Courier New"/>
                <w:sz w:val="17"/>
                <w:szCs w:val="17"/>
                <w:color w:val="auto"/>
              </w:rPr>
              <w:t>THREE MONTHS ENDED</w:t>
            </w:r>
          </w:p>
        </w:tc>
        <w:tc>
          <w:tcPr>
            <w:tcW w:w="2720" w:type="dxa"/>
            <w:vAlign w:val="bottom"/>
            <w:gridSpan w:val="2"/>
          </w:tcPr>
          <w:p>
            <w:pPr>
              <w:jc w:val="right"/>
              <w:ind w:right="714"/>
              <w:spacing w:after="0"/>
              <w:rPr>
                <w:sz w:val="20"/>
                <w:szCs w:val="20"/>
                <w:color w:val="auto"/>
              </w:rPr>
            </w:pPr>
            <w:r>
              <w:rPr>
                <w:rFonts w:ascii="Courier New" w:cs="Courier New" w:eastAsia="Courier New" w:hAnsi="Courier New"/>
                <w:sz w:val="17"/>
                <w:szCs w:val="17"/>
                <w:color w:val="auto"/>
              </w:rPr>
              <w:t>YEAR ENDED</w:t>
            </w:r>
          </w:p>
        </w:tc>
      </w:tr>
      <w:tr>
        <w:trPr>
          <w:trHeight w:val="198"/>
        </w:trPr>
        <w:tc>
          <w:tcPr>
            <w:tcW w:w="5780" w:type="dxa"/>
            <w:vAlign w:val="bottom"/>
          </w:tcPr>
          <w:p>
            <w:pPr>
              <w:spacing w:after="0"/>
              <w:rPr>
                <w:sz w:val="17"/>
                <w:szCs w:val="17"/>
                <w:color w:val="auto"/>
              </w:rPr>
            </w:pPr>
          </w:p>
        </w:tc>
        <w:tc>
          <w:tcPr>
            <w:tcW w:w="3020" w:type="dxa"/>
            <w:vAlign w:val="bottom"/>
            <w:gridSpan w:val="2"/>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272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334"/>
              <w:spacing w:after="0"/>
              <w:rPr>
                <w:sz w:val="20"/>
                <w:szCs w:val="20"/>
                <w:color w:val="auto"/>
              </w:rPr>
            </w:pPr>
            <w:r>
              <w:rPr>
                <w:rFonts w:ascii="Courier New" w:cs="Courier New" w:eastAsia="Courier New" w:hAnsi="Courier New"/>
                <w:sz w:val="17"/>
                <w:szCs w:val="17"/>
                <w:color w:val="auto"/>
              </w:rPr>
              <w:t>JANUARY 31,</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w w:val="99"/>
              </w:rPr>
              <w:t>FEBRUARY 1,</w:t>
            </w:r>
          </w:p>
        </w:tc>
        <w:tc>
          <w:tcPr>
            <w:tcW w:w="1440" w:type="dxa"/>
            <w:vAlign w:val="bottom"/>
          </w:tcPr>
          <w:p>
            <w:pPr>
              <w:jc w:val="right"/>
              <w:ind w:right="54"/>
              <w:spacing w:after="0"/>
              <w:rPr>
                <w:sz w:val="20"/>
                <w:szCs w:val="20"/>
                <w:color w:val="auto"/>
              </w:rPr>
            </w:pPr>
            <w:r>
              <w:rPr>
                <w:rFonts w:ascii="Courier New" w:cs="Courier New" w:eastAsia="Courier New" w:hAnsi="Courier New"/>
                <w:sz w:val="17"/>
                <w:szCs w:val="17"/>
                <w:color w:val="auto"/>
              </w:rPr>
              <w:t>JANUARY 31,</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FEBRUARY 1,</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734"/>
              <w:spacing w:after="0"/>
              <w:rPr>
                <w:sz w:val="20"/>
                <w:szCs w:val="20"/>
                <w:color w:val="auto"/>
              </w:rPr>
            </w:pPr>
            <w:r>
              <w:rPr>
                <w:rFonts w:ascii="Courier New" w:cs="Courier New" w:eastAsia="Courier New" w:hAnsi="Courier New"/>
                <w:sz w:val="17"/>
                <w:szCs w:val="17"/>
                <w:color w:val="auto"/>
              </w:rPr>
              <w:t>2004</w:t>
            </w:r>
          </w:p>
        </w:tc>
        <w:tc>
          <w:tcPr>
            <w:tcW w:w="1380" w:type="dxa"/>
            <w:vAlign w:val="bottom"/>
          </w:tcPr>
          <w:p>
            <w:pPr>
              <w:jc w:val="right"/>
              <w:ind w:right="574"/>
              <w:spacing w:after="0"/>
              <w:rPr>
                <w:sz w:val="20"/>
                <w:szCs w:val="20"/>
                <w:color w:val="auto"/>
              </w:rPr>
            </w:pPr>
            <w:r>
              <w:rPr>
                <w:rFonts w:ascii="Courier New" w:cs="Courier New" w:eastAsia="Courier New" w:hAnsi="Courier New"/>
                <w:sz w:val="17"/>
                <w:szCs w:val="17"/>
                <w:color w:val="auto"/>
              </w:rPr>
              <w:t>2003</w:t>
            </w:r>
          </w:p>
        </w:tc>
        <w:tc>
          <w:tcPr>
            <w:tcW w:w="144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2004</w:t>
            </w:r>
          </w:p>
        </w:tc>
        <w:tc>
          <w:tcPr>
            <w:tcW w:w="12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2003</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3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w w:val="99"/>
              </w:rPr>
              <w:t>-----------</w:t>
            </w:r>
          </w:p>
        </w:tc>
        <w:tc>
          <w:tcPr>
            <w:tcW w:w="1440" w:type="dxa"/>
            <w:vAlign w:val="bottom"/>
          </w:tcPr>
          <w:p>
            <w:pPr>
              <w:jc w:val="right"/>
              <w:ind w:right="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396"/>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Net revenue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$243,294</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$ 150,847</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$ 819,762</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$505,285</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Cost of goods sold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116,312</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70,301</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382,206</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233,039</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Gross profit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126,982</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80,546</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437,556</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272,246</w:t>
            </w:r>
          </w:p>
        </w:tc>
      </w:tr>
      <w:tr>
        <w:trPr>
          <w:trHeight w:val="198"/>
        </w:trPr>
        <w:tc>
          <w:tcPr>
            <w:tcW w:w="5780" w:type="dxa"/>
            <w:vAlign w:val="bottom"/>
          </w:tcPr>
          <w:p>
            <w:pPr>
              <w:jc w:val="right"/>
              <w:ind w:right="3734"/>
              <w:spacing w:after="0"/>
              <w:rPr>
                <w:sz w:val="20"/>
                <w:szCs w:val="20"/>
                <w:color w:val="auto"/>
              </w:rPr>
            </w:pPr>
            <w:r>
              <w:rPr>
                <w:rFonts w:ascii="Courier New" w:cs="Courier New" w:eastAsia="Courier New" w:hAnsi="Courier New"/>
                <w:sz w:val="17"/>
                <w:szCs w:val="17"/>
                <w:color w:val="auto"/>
              </w:rPr>
              <w:t>Operating expenses:</w:t>
            </w:r>
          </w:p>
        </w:tc>
        <w:tc>
          <w:tcPr>
            <w:tcW w:w="16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Research and development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59,702</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42,697</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213,740</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145,722</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Selling and marketing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16,366</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12,860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62,350</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48,491</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General and administrative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5,653</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3,556</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19,004</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14,303</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Amortization of stock-based compensation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1,737</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830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4,943</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7,491</w:t>
            </w:r>
          </w:p>
        </w:tc>
      </w:tr>
      <w:tr>
        <w:trPr>
          <w:trHeight w:val="198"/>
        </w:trPr>
        <w:tc>
          <w:tcPr>
            <w:tcW w:w="5780" w:type="dxa"/>
            <w:vAlign w:val="bottom"/>
          </w:tcPr>
          <w:p>
            <w:pPr>
              <w:jc w:val="right"/>
              <w:ind w:right="854"/>
              <w:spacing w:after="0"/>
              <w:rPr>
                <w:sz w:val="20"/>
                <w:szCs w:val="20"/>
                <w:color w:val="auto"/>
              </w:rPr>
            </w:pPr>
            <w:r>
              <w:rPr>
                <w:rFonts w:ascii="Courier New" w:cs="Courier New" w:eastAsia="Courier New" w:hAnsi="Courier New"/>
                <w:sz w:val="17"/>
                <w:szCs w:val="17"/>
                <w:color w:val="auto"/>
              </w:rPr>
              <w:t>Amortization of acquired intangible assets</w:t>
            </w:r>
          </w:p>
        </w:tc>
        <w:tc>
          <w:tcPr>
            <w:tcW w:w="16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and other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19,741</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43,676</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80,390</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107,645</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Facilities consolidation charge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19,562</w:t>
            </w:r>
          </w:p>
        </w:tc>
      </w:tr>
      <w:tr>
        <w:trPr>
          <w:trHeight w:val="396"/>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Total operating expenses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103,199</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103,619</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380,427</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343,214</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Operating income (loss)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23,783</w:t>
            </w:r>
          </w:p>
        </w:tc>
        <w:tc>
          <w:tcPr>
            <w:tcW w:w="1380" w:type="dxa"/>
            <w:vAlign w:val="bottom"/>
          </w:tcPr>
          <w:p>
            <w:pPr>
              <w:jc w:val="right"/>
              <w:ind w:right="54"/>
              <w:spacing w:after="0"/>
              <w:rPr>
                <w:sz w:val="20"/>
                <w:szCs w:val="20"/>
                <w:color w:val="auto"/>
              </w:rPr>
            </w:pPr>
            <w:r>
              <w:rPr>
                <w:rFonts w:ascii="Courier New" w:cs="Courier New" w:eastAsia="Courier New" w:hAnsi="Courier New"/>
                <w:sz w:val="17"/>
                <w:szCs w:val="17"/>
                <w:color w:val="auto"/>
              </w:rPr>
              <w:t>(23,073)</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57,129</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(70,968)</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Interest and other income, net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1,617</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1,603</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6,223</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7,318</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Income (loss) before income taxes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25,400</w:t>
            </w:r>
          </w:p>
        </w:tc>
        <w:tc>
          <w:tcPr>
            <w:tcW w:w="1380" w:type="dxa"/>
            <w:vAlign w:val="bottom"/>
          </w:tcPr>
          <w:p>
            <w:pPr>
              <w:jc w:val="right"/>
              <w:ind w:right="54"/>
              <w:spacing w:after="0"/>
              <w:rPr>
                <w:sz w:val="20"/>
                <w:szCs w:val="20"/>
                <w:color w:val="auto"/>
              </w:rPr>
            </w:pPr>
            <w:r>
              <w:rPr>
                <w:rFonts w:ascii="Courier New" w:cs="Courier New" w:eastAsia="Courier New" w:hAnsi="Courier New"/>
                <w:sz w:val="17"/>
                <w:szCs w:val="17"/>
                <w:color w:val="auto"/>
              </w:rPr>
              <w:t>(21,470)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63,352</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(63,650)</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Provision for income taxes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5,625</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2,764</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17,842</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8,524</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Net income (loss)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$ 19,775</w:t>
            </w:r>
          </w:p>
        </w:tc>
        <w:tc>
          <w:tcPr>
            <w:tcW w:w="1380" w:type="dxa"/>
            <w:vAlign w:val="bottom"/>
          </w:tcPr>
          <w:p>
            <w:pPr>
              <w:jc w:val="right"/>
              <w:ind w:right="54"/>
              <w:spacing w:after="0"/>
              <w:rPr>
                <w:sz w:val="20"/>
                <w:szCs w:val="20"/>
                <w:color w:val="auto"/>
              </w:rPr>
            </w:pPr>
            <w:r>
              <w:rPr>
                <w:rFonts w:ascii="Courier New" w:cs="Courier New" w:eastAsia="Courier New" w:hAnsi="Courier New"/>
                <w:sz w:val="17"/>
                <w:szCs w:val="17"/>
                <w:color w:val="auto"/>
              </w:rPr>
              <w:t>$ (24,234)</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$ 45,510</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 (72,174)</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Basic net income (loss) per share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$ 0.15</w:t>
            </w:r>
          </w:p>
        </w:tc>
        <w:tc>
          <w:tcPr>
            <w:tcW w:w="1380" w:type="dxa"/>
            <w:vAlign w:val="bottom"/>
          </w:tcPr>
          <w:p>
            <w:pPr>
              <w:jc w:val="right"/>
              <w:ind w:right="54"/>
              <w:spacing w:after="0"/>
              <w:rPr>
                <w:sz w:val="20"/>
                <w:szCs w:val="20"/>
                <w:color w:val="auto"/>
              </w:rPr>
            </w:pPr>
            <w:r>
              <w:rPr>
                <w:rFonts w:ascii="Courier New" w:cs="Courier New" w:eastAsia="Courier New" w:hAnsi="Courier New"/>
                <w:sz w:val="17"/>
                <w:szCs w:val="17"/>
                <w:color w:val="auto"/>
              </w:rPr>
              <w:t>$ (0.20)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$ 0.36</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 (0.61)</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Diluted net income (loss) per share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$ 0.14</w:t>
            </w:r>
          </w:p>
        </w:tc>
        <w:tc>
          <w:tcPr>
            <w:tcW w:w="1380" w:type="dxa"/>
            <w:vAlign w:val="bottom"/>
          </w:tcPr>
          <w:p>
            <w:pPr>
              <w:jc w:val="right"/>
              <w:ind w:right="54"/>
              <w:spacing w:after="0"/>
              <w:rPr>
                <w:sz w:val="20"/>
                <w:szCs w:val="20"/>
                <w:color w:val="auto"/>
              </w:rPr>
            </w:pPr>
            <w:r>
              <w:rPr>
                <w:rFonts w:ascii="Courier New" w:cs="Courier New" w:eastAsia="Courier New" w:hAnsi="Courier New"/>
                <w:sz w:val="17"/>
                <w:szCs w:val="17"/>
                <w:color w:val="auto"/>
              </w:rPr>
              <w:t>$ (0.20)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$ 0.33</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 (0.61)</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396"/>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Weighted average shares-- basic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130,648</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120,410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125,777</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119,240</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r>
        <w:trPr>
          <w:trHeight w:val="198"/>
        </w:trPr>
        <w:tc>
          <w:tcPr>
            <w:tcW w:w="5780" w:type="dxa"/>
            <w:vAlign w:val="bottom"/>
          </w:tcPr>
          <w:p>
            <w:pPr>
              <w:jc w:val="right"/>
              <w:ind w:right="34"/>
              <w:spacing w:after="0"/>
              <w:rPr>
                <w:sz w:val="20"/>
                <w:szCs w:val="20"/>
                <w:color w:val="auto"/>
              </w:rPr>
            </w:pPr>
            <w:r>
              <w:rPr>
                <w:rFonts w:ascii="Courier New" w:cs="Courier New" w:eastAsia="Courier New" w:hAnsi="Courier New"/>
                <w:sz w:val="17"/>
                <w:szCs w:val="17"/>
                <w:color w:val="auto"/>
              </w:rPr>
              <w:t>Weighted average shares-- diluted .....................</w:t>
            </w: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144,171</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120,410</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138,241</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119,240</w:t>
            </w:r>
          </w:p>
        </w:tc>
      </w:tr>
      <w:tr>
        <w:trPr>
          <w:trHeight w:val="198"/>
        </w:trPr>
        <w:tc>
          <w:tcPr>
            <w:tcW w:w="5780" w:type="dxa"/>
            <w:vAlign w:val="bottom"/>
          </w:tcPr>
          <w:p>
            <w:pPr>
              <w:spacing w:after="0"/>
              <w:rPr>
                <w:sz w:val="17"/>
                <w:szCs w:val="17"/>
                <w:color w:val="auto"/>
              </w:rPr>
            </w:pPr>
          </w:p>
        </w:tc>
        <w:tc>
          <w:tcPr>
            <w:tcW w:w="1640" w:type="dxa"/>
            <w:vAlign w:val="bottom"/>
          </w:tcPr>
          <w:p>
            <w:pPr>
              <w:jc w:val="right"/>
              <w:ind w:right="434"/>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154"/>
              <w:spacing w:after="0"/>
              <w:rPr>
                <w:sz w:val="20"/>
                <w:szCs w:val="20"/>
                <w:color w:val="auto"/>
              </w:rPr>
            </w:pPr>
            <w:r>
              <w:rPr>
                <w:rFonts w:ascii="Courier New" w:cs="Courier New" w:eastAsia="Courier New" w:hAnsi="Courier New"/>
                <w:sz w:val="17"/>
                <w:szCs w:val="17"/>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r>
    </w:tbl>
    <w:p>
      <w:pPr>
        <w:sectPr>
          <w:pgSz w:w="11900" w:h="16838" w:orient="portrait"/>
          <w:cols w:equalWidth="0" w:num="1">
            <w:col w:w="11520"/>
          </w:cols>
          <w:pgMar w:left="240" w:top="511" w:right="139" w:bottom="1440" w:gutter="0" w:footer="0" w:header="0"/>
        </w:sectPr>
      </w:pPr>
    </w:p>
    <w:bookmarkStart w:id="10" w:name="page11"/>
    <w:bookmarkEnd w:id="10"/>
    <w:p>
      <w:pPr>
        <w:ind w:left="2580"/>
        <w:spacing w:after="0"/>
        <w:rPr>
          <w:sz w:val="20"/>
          <w:szCs w:val="20"/>
          <w:color w:val="auto"/>
        </w:rPr>
      </w:pPr>
      <w:r>
        <w:rPr>
          <w:rFonts w:ascii="Courier New" w:cs="Courier New" w:eastAsia="Courier New" w:hAnsi="Courier New"/>
          <w:sz w:val="17"/>
          <w:szCs w:val="17"/>
          <w:color w:val="auto"/>
        </w:rPr>
        <w:t>MARVELL TECHNOLOGY GROUP LTD.</w:t>
      </w:r>
    </w:p>
    <w:p>
      <w:pPr>
        <w:spacing w:after="0" w:line="5" w:lineRule="exact"/>
        <w:rPr>
          <w:sz w:val="20"/>
          <w:szCs w:val="20"/>
          <w:color w:val="auto"/>
        </w:rPr>
      </w:pPr>
    </w:p>
    <w:p>
      <w:pPr>
        <w:ind w:left="1760"/>
        <w:spacing w:after="0"/>
        <w:rPr>
          <w:sz w:val="20"/>
          <w:szCs w:val="20"/>
          <w:color w:val="auto"/>
        </w:rPr>
      </w:pPr>
      <w:r>
        <w:rPr>
          <w:rFonts w:ascii="Courier New" w:cs="Courier New" w:eastAsia="Courier New" w:hAnsi="Courier New"/>
          <w:sz w:val="17"/>
          <w:szCs w:val="17"/>
          <w:color w:val="auto"/>
        </w:rPr>
        <w:t>Pro Forma Consolidated Statements of Operations</w:t>
      </w:r>
    </w:p>
    <w:p>
      <w:pPr>
        <w:spacing w:after="0" w:line="5" w:lineRule="exact"/>
        <w:rPr>
          <w:sz w:val="20"/>
          <w:szCs w:val="20"/>
          <w:color w:val="auto"/>
        </w:rPr>
      </w:pPr>
    </w:p>
    <w:p>
      <w:pPr>
        <w:ind w:left="3600"/>
        <w:spacing w:after="0"/>
        <w:rPr>
          <w:sz w:val="20"/>
          <w:szCs w:val="20"/>
          <w:color w:val="auto"/>
        </w:rPr>
      </w:pPr>
      <w:r>
        <w:rPr>
          <w:rFonts w:ascii="Courier New" w:cs="Courier New" w:eastAsia="Courier New" w:hAnsi="Courier New"/>
          <w:sz w:val="17"/>
          <w:szCs w:val="17"/>
          <w:color w:val="auto"/>
        </w:rPr>
        <w:t>(Unaudited)</w:t>
      </w:r>
    </w:p>
    <w:p>
      <w:pPr>
        <w:spacing w:after="0" w:line="5" w:lineRule="exact"/>
        <w:rPr>
          <w:sz w:val="20"/>
          <w:szCs w:val="20"/>
          <w:color w:val="auto"/>
        </w:rPr>
      </w:pPr>
    </w:p>
    <w:p>
      <w:pPr>
        <w:ind w:left="2060"/>
        <w:spacing w:after="0"/>
        <w:rPr>
          <w:sz w:val="20"/>
          <w:szCs w:val="20"/>
          <w:color w:val="auto"/>
        </w:rPr>
      </w:pPr>
      <w:r>
        <w:rPr>
          <w:rFonts w:ascii="Courier New" w:cs="Courier New" w:eastAsia="Courier New" w:hAnsi="Courier New"/>
          <w:sz w:val="17"/>
          <w:szCs w:val="17"/>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520" w:type="dxa"/>
            <w:vAlign w:val="bottom"/>
          </w:tcPr>
          <w:p>
            <w:pPr>
              <w:spacing w:after="0"/>
              <w:rPr>
                <w:sz w:val="16"/>
                <w:szCs w:val="16"/>
                <w:color w:val="auto"/>
              </w:rPr>
            </w:pPr>
          </w:p>
        </w:tc>
        <w:tc>
          <w:tcPr>
            <w:tcW w:w="2920" w:type="dxa"/>
            <w:vAlign w:val="bottom"/>
            <w:gridSpan w:val="2"/>
          </w:tcPr>
          <w:p>
            <w:pPr>
              <w:jc w:val="right"/>
              <w:ind w:right="534"/>
              <w:spacing w:after="0"/>
              <w:rPr>
                <w:sz w:val="20"/>
                <w:szCs w:val="20"/>
                <w:color w:val="auto"/>
              </w:rPr>
            </w:pPr>
            <w:r>
              <w:rPr>
                <w:rFonts w:ascii="Courier New" w:cs="Courier New" w:eastAsia="Courier New" w:hAnsi="Courier New"/>
                <w:sz w:val="17"/>
                <w:szCs w:val="17"/>
                <w:color w:val="auto"/>
              </w:rPr>
              <w:t>THREE MONTHS ENDED</w:t>
            </w:r>
          </w:p>
        </w:tc>
        <w:tc>
          <w:tcPr>
            <w:tcW w:w="196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YEAR ENDED</w:t>
            </w:r>
          </w:p>
        </w:tc>
        <w:tc>
          <w:tcPr>
            <w:tcW w:w="940" w:type="dxa"/>
            <w:vAlign w:val="bottom"/>
          </w:tcPr>
          <w:p>
            <w:pPr>
              <w:spacing w:after="0"/>
              <w:rPr>
                <w:sz w:val="16"/>
                <w:szCs w:val="16"/>
                <w:color w:val="auto"/>
              </w:rPr>
            </w:pPr>
          </w:p>
        </w:tc>
      </w:tr>
      <w:tr>
        <w:trPr>
          <w:trHeight w:val="198"/>
        </w:trPr>
        <w:tc>
          <w:tcPr>
            <w:tcW w:w="5520" w:type="dxa"/>
            <w:vAlign w:val="bottom"/>
          </w:tcPr>
          <w:p>
            <w:pPr>
              <w:spacing w:after="0"/>
              <w:rPr>
                <w:sz w:val="17"/>
                <w:szCs w:val="17"/>
                <w:color w:val="auto"/>
              </w:rPr>
            </w:pPr>
          </w:p>
        </w:tc>
        <w:tc>
          <w:tcPr>
            <w:tcW w:w="2920" w:type="dxa"/>
            <w:vAlign w:val="bottom"/>
            <w:gridSpan w:val="2"/>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2900" w:type="dxa"/>
            <w:vAlign w:val="bottom"/>
            <w:gridSpan w:val="3"/>
          </w:tcPr>
          <w:p>
            <w:pPr>
              <w:ind w:left="320"/>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JANUARY 31,</w:t>
            </w:r>
          </w:p>
        </w:tc>
        <w:tc>
          <w:tcPr>
            <w:tcW w:w="1440" w:type="dxa"/>
            <w:vAlign w:val="bottom"/>
          </w:tcPr>
          <w:p>
            <w:pPr>
              <w:jc w:val="right"/>
              <w:ind w:right="214"/>
              <w:spacing w:after="0"/>
              <w:rPr>
                <w:sz w:val="20"/>
                <w:szCs w:val="20"/>
                <w:color w:val="auto"/>
              </w:rPr>
            </w:pPr>
            <w:r>
              <w:rPr>
                <w:rFonts w:ascii="Courier New" w:cs="Courier New" w:eastAsia="Courier New" w:hAnsi="Courier New"/>
                <w:sz w:val="17"/>
                <w:szCs w:val="17"/>
                <w:color w:val="auto"/>
                <w:w w:val="99"/>
              </w:rPr>
              <w:t>FEBRUARY 1,</w:t>
            </w:r>
          </w:p>
        </w:tc>
        <w:tc>
          <w:tcPr>
            <w:tcW w:w="1600" w:type="dxa"/>
            <w:vAlign w:val="bottom"/>
          </w:tcPr>
          <w:p>
            <w:pPr>
              <w:jc w:val="right"/>
              <w:ind w:right="74"/>
              <w:spacing w:after="0"/>
              <w:rPr>
                <w:sz w:val="20"/>
                <w:szCs w:val="20"/>
                <w:color w:val="auto"/>
              </w:rPr>
            </w:pPr>
            <w:r>
              <w:rPr>
                <w:rFonts w:ascii="Courier New" w:cs="Courier New" w:eastAsia="Courier New" w:hAnsi="Courier New"/>
                <w:sz w:val="17"/>
                <w:szCs w:val="17"/>
                <w:color w:val="auto"/>
              </w:rPr>
              <w:t>JANUARY 31,</w:t>
            </w:r>
          </w:p>
        </w:tc>
        <w:tc>
          <w:tcPr>
            <w:tcW w:w="13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FEBRUARY 1,</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2004</w:t>
            </w:r>
          </w:p>
        </w:tc>
        <w:tc>
          <w:tcPr>
            <w:tcW w:w="1440" w:type="dxa"/>
            <w:vAlign w:val="bottom"/>
          </w:tcPr>
          <w:p>
            <w:pPr>
              <w:jc w:val="right"/>
              <w:ind w:right="634"/>
              <w:spacing w:after="0"/>
              <w:rPr>
                <w:sz w:val="20"/>
                <w:szCs w:val="20"/>
                <w:color w:val="auto"/>
              </w:rPr>
            </w:pPr>
            <w:r>
              <w:rPr>
                <w:rFonts w:ascii="Courier New" w:cs="Courier New" w:eastAsia="Courier New" w:hAnsi="Courier New"/>
                <w:sz w:val="17"/>
                <w:szCs w:val="17"/>
                <w:color w:val="auto"/>
              </w:rPr>
              <w:t>2003</w:t>
            </w:r>
          </w:p>
        </w:tc>
        <w:tc>
          <w:tcPr>
            <w:tcW w:w="1600" w:type="dxa"/>
            <w:vAlign w:val="bottom"/>
          </w:tcPr>
          <w:p>
            <w:pPr>
              <w:jc w:val="right"/>
              <w:ind w:right="474"/>
              <w:spacing w:after="0"/>
              <w:rPr>
                <w:sz w:val="20"/>
                <w:szCs w:val="20"/>
                <w:color w:val="auto"/>
              </w:rPr>
            </w:pPr>
            <w:r>
              <w:rPr>
                <w:rFonts w:ascii="Courier New" w:cs="Courier New" w:eastAsia="Courier New" w:hAnsi="Courier New"/>
                <w:sz w:val="17"/>
                <w:szCs w:val="17"/>
                <w:color w:val="auto"/>
              </w:rPr>
              <w:t>2004</w:t>
            </w:r>
          </w:p>
        </w:tc>
        <w:tc>
          <w:tcPr>
            <w:tcW w:w="360" w:type="dxa"/>
            <w:vAlign w:val="bottom"/>
          </w:tcPr>
          <w:p>
            <w:pPr>
              <w:spacing w:after="0"/>
              <w:rPr>
                <w:sz w:val="17"/>
                <w:szCs w:val="17"/>
                <w:color w:val="auto"/>
              </w:rPr>
            </w:pPr>
          </w:p>
        </w:tc>
        <w:tc>
          <w:tcPr>
            <w:tcW w:w="940" w:type="dxa"/>
            <w:vAlign w:val="bottom"/>
          </w:tcPr>
          <w:p>
            <w:pPr>
              <w:jc w:val="right"/>
              <w:ind w:right="334"/>
              <w:spacing w:after="0"/>
              <w:rPr>
                <w:sz w:val="20"/>
                <w:szCs w:val="20"/>
                <w:color w:val="auto"/>
              </w:rPr>
            </w:pPr>
            <w:r>
              <w:rPr>
                <w:rFonts w:ascii="Courier New" w:cs="Courier New" w:eastAsia="Courier New" w:hAnsi="Courier New"/>
                <w:sz w:val="17"/>
                <w:szCs w:val="17"/>
                <w:color w:val="auto"/>
              </w:rPr>
              <w:t>2003</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214"/>
              <w:spacing w:after="0"/>
              <w:rPr>
                <w:sz w:val="20"/>
                <w:szCs w:val="20"/>
                <w:color w:val="auto"/>
              </w:rPr>
            </w:pPr>
            <w:r>
              <w:rPr>
                <w:rFonts w:ascii="Courier New" w:cs="Courier New" w:eastAsia="Courier New" w:hAnsi="Courier New"/>
                <w:sz w:val="17"/>
                <w:szCs w:val="17"/>
                <w:color w:val="auto"/>
                <w:w w:val="99"/>
              </w:rPr>
              <w:t>-----------</w:t>
            </w:r>
          </w:p>
        </w:tc>
        <w:tc>
          <w:tcPr>
            <w:tcW w:w="160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ind w:left="160"/>
              <w:spacing w:after="0"/>
              <w:rPr>
                <w:sz w:val="20"/>
                <w:szCs w:val="20"/>
                <w:color w:val="auto"/>
              </w:rPr>
            </w:pPr>
            <w:r>
              <w:rPr>
                <w:rFonts w:ascii="Courier New" w:cs="Courier New" w:eastAsia="Courier New" w:hAnsi="Courier New"/>
                <w:sz w:val="17"/>
                <w:szCs w:val="17"/>
                <w:color w:val="auto"/>
                <w:w w:val="99"/>
              </w:rPr>
              <w:t>-----------</w:t>
            </w:r>
          </w:p>
        </w:tc>
      </w:tr>
      <w:tr>
        <w:trPr>
          <w:trHeight w:val="396"/>
        </w:trPr>
        <w:tc>
          <w:tcPr>
            <w:tcW w:w="5520" w:type="dxa"/>
            <w:vAlign w:val="bottom"/>
          </w:tcPr>
          <w:p>
            <w:pPr>
              <w:spacing w:after="0"/>
              <w:rPr>
                <w:sz w:val="20"/>
                <w:szCs w:val="20"/>
                <w:color w:val="auto"/>
              </w:rPr>
            </w:pPr>
            <w:r>
              <w:rPr>
                <w:rFonts w:ascii="Courier New" w:cs="Courier New" w:eastAsia="Courier New" w:hAnsi="Courier New"/>
                <w:sz w:val="17"/>
                <w:szCs w:val="17"/>
                <w:color w:val="auto"/>
              </w:rPr>
              <w:t>Net revenue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$ 243,294</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$150,847</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$ 819,762</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$ 505,285</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Cost of goods sold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116,312</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70,301</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382,206</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233,039</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Gross profit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126,982</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80,546</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437,556</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272,246</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148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198"/>
        </w:trPr>
        <w:tc>
          <w:tcPr>
            <w:tcW w:w="5520" w:type="dxa"/>
            <w:vAlign w:val="bottom"/>
          </w:tcPr>
          <w:p>
            <w:pPr>
              <w:jc w:val="right"/>
              <w:ind w:right="74"/>
              <w:spacing w:after="0"/>
              <w:rPr>
                <w:sz w:val="20"/>
                <w:szCs w:val="20"/>
                <w:color w:val="auto"/>
              </w:rPr>
            </w:pPr>
            <w:r>
              <w:rPr>
                <w:rFonts w:ascii="Courier New" w:cs="Courier New" w:eastAsia="Courier New" w:hAnsi="Courier New"/>
                <w:sz w:val="17"/>
                <w:szCs w:val="17"/>
                <w:color w:val="auto"/>
              </w:rPr>
              <w:t>Research and development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59,702</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42,697</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213,740</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145,722</w:t>
            </w:r>
          </w:p>
        </w:tc>
      </w:tr>
      <w:tr>
        <w:trPr>
          <w:trHeight w:val="198"/>
        </w:trPr>
        <w:tc>
          <w:tcPr>
            <w:tcW w:w="5520" w:type="dxa"/>
            <w:vAlign w:val="bottom"/>
          </w:tcPr>
          <w:p>
            <w:pPr>
              <w:jc w:val="right"/>
              <w:ind w:right="74"/>
              <w:spacing w:after="0"/>
              <w:rPr>
                <w:sz w:val="20"/>
                <w:szCs w:val="20"/>
                <w:color w:val="auto"/>
              </w:rPr>
            </w:pPr>
            <w:r>
              <w:rPr>
                <w:rFonts w:ascii="Courier New" w:cs="Courier New" w:eastAsia="Courier New" w:hAnsi="Courier New"/>
                <w:sz w:val="17"/>
                <w:szCs w:val="17"/>
                <w:color w:val="auto"/>
              </w:rPr>
              <w:t>Selling and marketing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16,366</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12,860</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62,350</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48,491</w:t>
            </w:r>
          </w:p>
        </w:tc>
      </w:tr>
      <w:tr>
        <w:trPr>
          <w:trHeight w:val="198"/>
        </w:trPr>
        <w:tc>
          <w:tcPr>
            <w:tcW w:w="5520" w:type="dxa"/>
            <w:vAlign w:val="bottom"/>
          </w:tcPr>
          <w:p>
            <w:pPr>
              <w:jc w:val="right"/>
              <w:ind w:right="74"/>
              <w:spacing w:after="0"/>
              <w:rPr>
                <w:sz w:val="20"/>
                <w:szCs w:val="20"/>
                <w:color w:val="auto"/>
              </w:rPr>
            </w:pPr>
            <w:r>
              <w:rPr>
                <w:rFonts w:ascii="Courier New" w:cs="Courier New" w:eastAsia="Courier New" w:hAnsi="Courier New"/>
                <w:sz w:val="17"/>
                <w:szCs w:val="17"/>
                <w:color w:val="auto"/>
              </w:rPr>
              <w:t>General and administrative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5,653</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3,556</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19,004</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14,303</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jc w:val="right"/>
              <w:ind w:right="74"/>
              <w:spacing w:after="0"/>
              <w:rPr>
                <w:sz w:val="20"/>
                <w:szCs w:val="20"/>
                <w:color w:val="auto"/>
              </w:rPr>
            </w:pPr>
            <w:r>
              <w:rPr>
                <w:rFonts w:ascii="Courier New" w:cs="Courier New" w:eastAsia="Courier New" w:hAnsi="Courier New"/>
                <w:sz w:val="17"/>
                <w:szCs w:val="17"/>
                <w:color w:val="auto"/>
              </w:rPr>
              <w:t>Total operating expenses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81,721</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59,113</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295,094</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208,516</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Operating income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45,261</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21,433</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142,462</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63,730</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1,617</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1,603</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6,223</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7,318</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Income before income taxes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46,878</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23,036</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148,685</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71,048</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Provision for income taxes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5,625</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2,764</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17,842</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8,524</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Pro forma net income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$ 41,253</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$ 20,272</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$ 130,843</w:t>
            </w:r>
          </w:p>
        </w:tc>
        <w:tc>
          <w:tcPr>
            <w:tcW w:w="360" w:type="dxa"/>
            <w:vAlign w:val="bottom"/>
          </w:tcPr>
          <w:p>
            <w:pPr>
              <w:ind w:left="160"/>
              <w:spacing w:after="0"/>
              <w:rPr>
                <w:sz w:val="20"/>
                <w:szCs w:val="20"/>
                <w:color w:val="auto"/>
              </w:rPr>
            </w:pPr>
            <w:r>
              <w:rPr>
                <w:rFonts w:ascii="Courier New" w:cs="Courier New" w:eastAsia="Courier New" w:hAnsi="Courier New"/>
                <w:sz w:val="17"/>
                <w:szCs w:val="17"/>
                <w:color w:val="auto"/>
              </w:rPr>
              <w:t>$</w:t>
            </w: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62,524</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Basic pro forma net income per share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$ 0.32</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$ 0.17</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$ 1.04</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$ 0.52</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Diluted pro forma net income per share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$ 0.29</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$ 0.16</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$ 0.95</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$ 0.48</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Weighted average shares -- basic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130,648</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120,410</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125,777</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119,240</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Weighted average shares -- diluted .................</w:t>
            </w: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144,171</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129,327</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138,241</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129,750</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396"/>
        </w:trPr>
        <w:tc>
          <w:tcPr>
            <w:tcW w:w="5520" w:type="dxa"/>
            <w:vAlign w:val="bottom"/>
          </w:tcPr>
          <w:p>
            <w:pPr>
              <w:spacing w:after="0"/>
              <w:rPr>
                <w:sz w:val="20"/>
                <w:szCs w:val="20"/>
                <w:color w:val="auto"/>
              </w:rPr>
            </w:pPr>
            <w:r>
              <w:rPr>
                <w:rFonts w:ascii="Courier New" w:cs="Courier New" w:eastAsia="Courier New" w:hAnsi="Courier New"/>
                <w:sz w:val="17"/>
                <w:szCs w:val="17"/>
                <w:color w:val="auto"/>
              </w:rPr>
              <w:t>RECONCILIATION OF GAAP NET INCOME (LOSS)</w:t>
            </w:r>
          </w:p>
        </w:tc>
        <w:tc>
          <w:tcPr>
            <w:tcW w:w="148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198"/>
        </w:trPr>
        <w:tc>
          <w:tcPr>
            <w:tcW w:w="5520" w:type="dxa"/>
            <w:vAlign w:val="bottom"/>
          </w:tcPr>
          <w:p>
            <w:pPr>
              <w:ind w:left="220"/>
              <w:spacing w:after="0"/>
              <w:rPr>
                <w:sz w:val="20"/>
                <w:szCs w:val="20"/>
                <w:color w:val="auto"/>
              </w:rPr>
            </w:pPr>
            <w:r>
              <w:rPr>
                <w:rFonts w:ascii="Courier New" w:cs="Courier New" w:eastAsia="Courier New" w:hAnsi="Courier New"/>
                <w:sz w:val="17"/>
                <w:szCs w:val="17"/>
                <w:color w:val="auto"/>
              </w:rPr>
              <w:t>TO  PRO FORMA NET INCOME:</w:t>
            </w:r>
          </w:p>
        </w:tc>
        <w:tc>
          <w:tcPr>
            <w:tcW w:w="148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GAAP net income (loss) .............................</w:t>
            </w:r>
          </w:p>
        </w:tc>
        <w:tc>
          <w:tcPr>
            <w:tcW w:w="14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$ 19,775</w:t>
            </w:r>
          </w:p>
        </w:tc>
        <w:tc>
          <w:tcPr>
            <w:tcW w:w="144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$(24,234)</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  45,510</w:t>
            </w:r>
          </w:p>
        </w:tc>
        <w:tc>
          <w:tcPr>
            <w:tcW w:w="1300" w:type="dxa"/>
            <w:vAlign w:val="bottom"/>
            <w:gridSpan w:val="2"/>
          </w:tcPr>
          <w:p>
            <w:pPr>
              <w:jc w:val="right"/>
              <w:ind w:right="34"/>
              <w:spacing w:after="0"/>
              <w:rPr>
                <w:sz w:val="20"/>
                <w:szCs w:val="20"/>
                <w:color w:val="auto"/>
              </w:rPr>
            </w:pPr>
            <w:r>
              <w:rPr>
                <w:rFonts w:ascii="Courier New" w:cs="Courier New" w:eastAsia="Courier New" w:hAnsi="Courier New"/>
                <w:sz w:val="17"/>
                <w:szCs w:val="17"/>
                <w:color w:val="auto"/>
              </w:rPr>
              <w:t>$ (72,174)</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Amortization of stock-based compensation ...........</w:t>
            </w:r>
          </w:p>
        </w:tc>
        <w:tc>
          <w:tcPr>
            <w:tcW w:w="14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1,737</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830</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4,943</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7,491</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Amortization of acquired intangible assets</w:t>
            </w:r>
          </w:p>
        </w:tc>
        <w:tc>
          <w:tcPr>
            <w:tcW w:w="148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198"/>
        </w:trPr>
        <w:tc>
          <w:tcPr>
            <w:tcW w:w="5520" w:type="dxa"/>
            <w:vAlign w:val="bottom"/>
          </w:tcPr>
          <w:p>
            <w:pPr>
              <w:jc w:val="right"/>
              <w:ind w:right="74"/>
              <w:spacing w:after="0"/>
              <w:rPr>
                <w:sz w:val="20"/>
                <w:szCs w:val="20"/>
                <w:color w:val="auto"/>
              </w:rPr>
            </w:pPr>
            <w:r>
              <w:rPr>
                <w:rFonts w:ascii="Courier New" w:cs="Courier New" w:eastAsia="Courier New" w:hAnsi="Courier New"/>
                <w:sz w:val="17"/>
                <w:szCs w:val="17"/>
                <w:color w:val="auto"/>
              </w:rPr>
              <w:t>and other .....................................</w:t>
            </w:r>
          </w:p>
        </w:tc>
        <w:tc>
          <w:tcPr>
            <w:tcW w:w="14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19,741</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43,676</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80,390</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w w:val="97"/>
              </w:rPr>
              <w:t>107,645</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Facilities consolidation charge ....................</w:t>
            </w:r>
          </w:p>
        </w:tc>
        <w:tc>
          <w:tcPr>
            <w:tcW w:w="14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19,562</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r>
        <w:trPr>
          <w:trHeight w:val="198"/>
        </w:trPr>
        <w:tc>
          <w:tcPr>
            <w:tcW w:w="5520" w:type="dxa"/>
            <w:vAlign w:val="bottom"/>
          </w:tcPr>
          <w:p>
            <w:pPr>
              <w:spacing w:after="0"/>
              <w:rPr>
                <w:sz w:val="20"/>
                <w:szCs w:val="20"/>
                <w:color w:val="auto"/>
              </w:rPr>
            </w:pPr>
            <w:r>
              <w:rPr>
                <w:rFonts w:ascii="Courier New" w:cs="Courier New" w:eastAsia="Courier New" w:hAnsi="Courier New"/>
                <w:sz w:val="17"/>
                <w:szCs w:val="17"/>
                <w:color w:val="auto"/>
              </w:rPr>
              <w:t>Pro forma net income ...............................</w:t>
            </w:r>
          </w:p>
        </w:tc>
        <w:tc>
          <w:tcPr>
            <w:tcW w:w="1480" w:type="dxa"/>
            <w:vAlign w:val="bottom"/>
          </w:tcPr>
          <w:p>
            <w:pPr>
              <w:jc w:val="right"/>
              <w:ind w:right="314"/>
              <w:spacing w:after="0"/>
              <w:rPr>
                <w:sz w:val="20"/>
                <w:szCs w:val="20"/>
                <w:color w:val="auto"/>
              </w:rPr>
            </w:pPr>
            <w:r>
              <w:rPr>
                <w:rFonts w:ascii="Courier New" w:cs="Courier New" w:eastAsia="Courier New" w:hAnsi="Courier New"/>
                <w:sz w:val="17"/>
                <w:szCs w:val="17"/>
                <w:color w:val="auto"/>
              </w:rPr>
              <w:t>$ 41,253</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$ 20,272</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$ 130,843</w:t>
            </w:r>
          </w:p>
        </w:tc>
        <w:tc>
          <w:tcPr>
            <w:tcW w:w="3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940" w:type="dxa"/>
            <w:vAlign w:val="bottom"/>
          </w:tcPr>
          <w:p>
            <w:pPr>
              <w:jc w:val="right"/>
              <w:ind w:right="134"/>
              <w:spacing w:after="0"/>
              <w:rPr>
                <w:sz w:val="20"/>
                <w:szCs w:val="20"/>
                <w:color w:val="auto"/>
              </w:rPr>
            </w:pPr>
            <w:r>
              <w:rPr>
                <w:rFonts w:ascii="Courier New" w:cs="Courier New" w:eastAsia="Courier New" w:hAnsi="Courier New"/>
                <w:sz w:val="17"/>
                <w:szCs w:val="17"/>
                <w:color w:val="auto"/>
              </w:rPr>
              <w:t>62,524</w:t>
            </w:r>
          </w:p>
        </w:tc>
      </w:tr>
      <w:tr>
        <w:trPr>
          <w:trHeight w:val="198"/>
        </w:trPr>
        <w:tc>
          <w:tcPr>
            <w:tcW w:w="5520" w:type="dxa"/>
            <w:vAlign w:val="bottom"/>
          </w:tcPr>
          <w:p>
            <w:pPr>
              <w:spacing w:after="0"/>
              <w:rPr>
                <w:sz w:val="17"/>
                <w:szCs w:val="17"/>
                <w:color w:val="auto"/>
              </w:rPr>
            </w:pPr>
          </w:p>
        </w:tc>
        <w:tc>
          <w:tcPr>
            <w:tcW w:w="1480" w:type="dxa"/>
            <w:vAlign w:val="bottom"/>
          </w:tcPr>
          <w:p>
            <w:pPr>
              <w:jc w:val="right"/>
              <w:ind w:right="214"/>
              <w:spacing w:after="0"/>
              <w:rPr>
                <w:sz w:val="20"/>
                <w:szCs w:val="20"/>
                <w:color w:val="auto"/>
              </w:rPr>
            </w:pPr>
            <w:r>
              <w:rPr>
                <w:rFonts w:ascii="Courier New" w:cs="Courier New" w:eastAsia="Courier New" w:hAnsi="Courier New"/>
                <w:sz w:val="17"/>
                <w:szCs w:val="17"/>
                <w:color w:val="auto"/>
              </w:rPr>
              <w:t>=========</w:t>
            </w:r>
          </w:p>
        </w:tc>
        <w:tc>
          <w:tcPr>
            <w:tcW w:w="1440" w:type="dxa"/>
            <w:vAlign w:val="bottom"/>
          </w:tcPr>
          <w:p>
            <w:pPr>
              <w:jc w:val="right"/>
              <w:ind w:right="414"/>
              <w:spacing w:after="0"/>
              <w:rPr>
                <w:sz w:val="20"/>
                <w:szCs w:val="20"/>
                <w:color w:val="auto"/>
              </w:rPr>
            </w:pPr>
            <w:r>
              <w:rPr>
                <w:rFonts w:ascii="Courier New" w:cs="Courier New" w:eastAsia="Courier New" w:hAnsi="Courier New"/>
                <w:sz w:val="17"/>
                <w:szCs w:val="17"/>
                <w:color w:val="auto"/>
              </w:rPr>
              <w:t>========</w:t>
            </w:r>
          </w:p>
        </w:tc>
        <w:tc>
          <w:tcPr>
            <w:tcW w:w="1600" w:type="dxa"/>
            <w:vAlign w:val="bottom"/>
          </w:tcPr>
          <w:p>
            <w:pPr>
              <w:jc w:val="right"/>
              <w:ind w:right="174"/>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4"/>
              <w:spacing w:after="0"/>
              <w:rPr>
                <w:sz w:val="20"/>
                <w:szCs w:val="20"/>
                <w:color w:val="auto"/>
              </w:rPr>
            </w:pPr>
            <w:r>
              <w:rPr>
                <w:rFonts w:ascii="Courier New" w:cs="Courier New" w:eastAsia="Courier New" w:hAnsi="Courier New"/>
                <w:sz w:val="17"/>
                <w:szCs w:val="17"/>
                <w:color w:val="auto"/>
              </w:rPr>
              <w:t>=========</w:t>
            </w:r>
          </w:p>
        </w:tc>
      </w:tr>
    </w:tbl>
    <w:p>
      <w:pPr>
        <w:spacing w:after="0" w:line="200" w:lineRule="exact"/>
        <w:rPr>
          <w:sz w:val="20"/>
          <w:szCs w:val="20"/>
          <w:color w:val="auto"/>
        </w:rPr>
      </w:pPr>
    </w:p>
    <w:p>
      <w:pPr>
        <w:spacing w:after="0" w:line="399" w:lineRule="exact"/>
        <w:rPr>
          <w:sz w:val="20"/>
          <w:szCs w:val="20"/>
          <w:color w:val="auto"/>
        </w:rPr>
      </w:pPr>
    </w:p>
    <w:p>
      <w:pPr>
        <w:ind w:right="3100"/>
        <w:spacing w:after="0" w:line="246" w:lineRule="auto"/>
        <w:rPr>
          <w:sz w:val="20"/>
          <w:szCs w:val="20"/>
          <w:color w:val="auto"/>
        </w:rPr>
      </w:pPr>
      <w:r>
        <w:rPr>
          <w:rFonts w:ascii="Courier New" w:cs="Courier New" w:eastAsia="Courier New" w:hAnsi="Courier New"/>
          <w:sz w:val="17"/>
          <w:szCs w:val="17"/>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(loss) under generally accepted accounting principles for the impact of non cash stock-based compensation charges, non-cash charges associated with purchase accounting and charges for facilities consolidation.</w:t>
      </w:r>
    </w:p>
    <w:p>
      <w:pPr>
        <w:sectPr>
          <w:pgSz w:w="11900" w:h="16838" w:orient="portrait"/>
          <w:cols w:equalWidth="0" w:num="1">
            <w:col w:w="11340"/>
          </w:cols>
          <w:pgMar w:left="240" w:top="511" w:right="319" w:bottom="1440" w:gutter="0" w:footer="0" w:header="0"/>
        </w:sectPr>
      </w:pPr>
    </w:p>
    <w:bookmarkStart w:id="11" w:name="page12"/>
    <w:bookmarkEnd w:id="11"/>
    <w:p>
      <w:pPr>
        <w:jc w:val="center"/>
        <w:ind w:right="1859"/>
        <w:spacing w:after="0"/>
        <w:rPr>
          <w:sz w:val="20"/>
          <w:szCs w:val="20"/>
          <w:color w:val="auto"/>
        </w:rPr>
      </w:pPr>
      <w:r>
        <w:rPr>
          <w:rFonts w:ascii="Courier New" w:cs="Courier New" w:eastAsia="Courier New" w:hAnsi="Courier New"/>
          <w:sz w:val="17"/>
          <w:szCs w:val="17"/>
          <w:color w:val="auto"/>
        </w:rPr>
        <w:t>MARVELL TECHNOLOGY GROUP LTD.</w:t>
      </w:r>
    </w:p>
    <w:p>
      <w:pPr>
        <w:spacing w:after="0" w:line="5"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Consolidated Balance Sheets</w:t>
      </w:r>
    </w:p>
    <w:p>
      <w:pPr>
        <w:spacing w:after="0" w:line="5" w:lineRule="exact"/>
        <w:rPr>
          <w:sz w:val="20"/>
          <w:szCs w:val="20"/>
          <w:color w:val="auto"/>
        </w:rPr>
      </w:pPr>
    </w:p>
    <w:p>
      <w:pPr>
        <w:jc w:val="center"/>
        <w:ind w:right="1859"/>
        <w:spacing w:after="0"/>
        <w:rPr>
          <w:sz w:val="20"/>
          <w:szCs w:val="20"/>
          <w:color w:val="auto"/>
        </w:rPr>
      </w:pPr>
      <w:r>
        <w:rPr>
          <w:rFonts w:ascii="Courier New" w:cs="Courier New" w:eastAsia="Courier New" w:hAnsi="Courier New"/>
          <w:sz w:val="17"/>
          <w:szCs w:val="17"/>
          <w:color w:val="auto"/>
        </w:rPr>
        <w:t>(Unaudited)</w:t>
      </w:r>
    </w:p>
    <w:p>
      <w:pPr>
        <w:spacing w:after="0" w:line="5" w:lineRule="exact"/>
        <w:rPr>
          <w:sz w:val="20"/>
          <w:szCs w:val="20"/>
          <w:color w:val="auto"/>
        </w:rPr>
      </w:pPr>
    </w:p>
    <w:p>
      <w:pPr>
        <w:ind w:left="3400"/>
        <w:spacing w:after="0"/>
        <w:rPr>
          <w:sz w:val="20"/>
          <w:szCs w:val="20"/>
          <w:color w:val="auto"/>
        </w:rPr>
      </w:pPr>
      <w:r>
        <w:rPr>
          <w:rFonts w:ascii="Courier New" w:cs="Courier New" w:eastAsia="Courier New" w:hAnsi="Courier New"/>
          <w:sz w:val="17"/>
          <w:szCs w:val="17"/>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5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80" w:type="dxa"/>
            <w:vAlign w:val="bottom"/>
          </w:tcPr>
          <w:p>
            <w:pPr>
              <w:jc w:val="right"/>
              <w:ind w:right="174"/>
              <w:spacing w:after="0"/>
              <w:rPr>
                <w:sz w:val="20"/>
                <w:szCs w:val="20"/>
                <w:color w:val="auto"/>
              </w:rPr>
            </w:pPr>
            <w:r>
              <w:rPr>
                <w:rFonts w:ascii="Courier New" w:cs="Courier New" w:eastAsia="Courier New" w:hAnsi="Courier New"/>
                <w:sz w:val="17"/>
                <w:szCs w:val="17"/>
                <w:color w:val="auto"/>
                <w:w w:val="97"/>
              </w:rPr>
              <w:t>JANUARY 31,</w:t>
            </w:r>
          </w:p>
        </w:tc>
        <w:tc>
          <w:tcPr>
            <w:tcW w:w="15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FEBRUARY 1,</w:t>
            </w:r>
          </w:p>
        </w:tc>
      </w:tr>
      <w:tr>
        <w:trPr>
          <w:trHeight w:val="198"/>
        </w:trPr>
        <w:tc>
          <w:tcPr>
            <w:tcW w:w="55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380" w:type="dxa"/>
            <w:vAlign w:val="bottom"/>
          </w:tcPr>
          <w:p>
            <w:pPr>
              <w:jc w:val="right"/>
              <w:ind w:right="574"/>
              <w:spacing w:after="0"/>
              <w:rPr>
                <w:sz w:val="20"/>
                <w:szCs w:val="20"/>
                <w:color w:val="auto"/>
              </w:rPr>
            </w:pPr>
            <w:r>
              <w:rPr>
                <w:rFonts w:ascii="Courier New" w:cs="Courier New" w:eastAsia="Courier New" w:hAnsi="Courier New"/>
                <w:sz w:val="17"/>
                <w:szCs w:val="17"/>
                <w:color w:val="auto"/>
              </w:rPr>
              <w:t>2004</w:t>
            </w:r>
          </w:p>
        </w:tc>
        <w:tc>
          <w:tcPr>
            <w:tcW w:w="460" w:type="dxa"/>
            <w:vAlign w:val="bottom"/>
          </w:tcPr>
          <w:p>
            <w:pPr>
              <w:spacing w:after="0"/>
              <w:rPr>
                <w:sz w:val="17"/>
                <w:szCs w:val="17"/>
                <w:color w:val="auto"/>
              </w:rPr>
            </w:pPr>
          </w:p>
        </w:tc>
        <w:tc>
          <w:tcPr>
            <w:tcW w:w="1040" w:type="dxa"/>
            <w:vAlign w:val="bottom"/>
          </w:tcPr>
          <w:p>
            <w:pPr>
              <w:jc w:val="right"/>
              <w:ind w:right="334"/>
              <w:spacing w:after="0"/>
              <w:rPr>
                <w:sz w:val="20"/>
                <w:szCs w:val="20"/>
                <w:color w:val="auto"/>
              </w:rPr>
            </w:pPr>
            <w:r>
              <w:rPr>
                <w:rFonts w:ascii="Courier New" w:cs="Courier New" w:eastAsia="Courier New" w:hAnsi="Courier New"/>
                <w:sz w:val="17"/>
                <w:szCs w:val="17"/>
                <w:color w:val="auto"/>
              </w:rPr>
              <w:t>2003</w:t>
            </w:r>
          </w:p>
        </w:tc>
      </w:tr>
      <w:tr>
        <w:trPr>
          <w:trHeight w:val="198"/>
        </w:trPr>
        <w:tc>
          <w:tcPr>
            <w:tcW w:w="55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380" w:type="dxa"/>
            <w:vAlign w:val="bottom"/>
          </w:tcPr>
          <w:p>
            <w:pPr>
              <w:jc w:val="right"/>
              <w:ind w:right="174"/>
              <w:spacing w:after="0"/>
              <w:rPr>
                <w:sz w:val="20"/>
                <w:szCs w:val="20"/>
                <w:color w:val="auto"/>
              </w:rPr>
            </w:pPr>
            <w:r>
              <w:rPr>
                <w:rFonts w:ascii="Courier New" w:cs="Courier New" w:eastAsia="Courier New" w:hAnsi="Courier New"/>
                <w:sz w:val="17"/>
                <w:szCs w:val="17"/>
                <w:color w:val="auto"/>
                <w:w w:val="97"/>
              </w:rPr>
              <w:t>-----------</w:t>
            </w:r>
          </w:p>
        </w:tc>
        <w:tc>
          <w:tcPr>
            <w:tcW w:w="1500" w:type="dxa"/>
            <w:vAlign w:val="bottom"/>
            <w:gridSpan w:val="2"/>
          </w:tcPr>
          <w:p>
            <w:pPr>
              <w:ind w:left="360"/>
              <w:spacing w:after="0"/>
              <w:rPr>
                <w:sz w:val="20"/>
                <w:szCs w:val="20"/>
                <w:color w:val="auto"/>
              </w:rPr>
            </w:pPr>
            <w:r>
              <w:rPr>
                <w:rFonts w:ascii="Courier New" w:cs="Courier New" w:eastAsia="Courier New" w:hAnsi="Courier New"/>
                <w:sz w:val="17"/>
                <w:szCs w:val="17"/>
                <w:color w:val="auto"/>
                <w:w w:val="99"/>
              </w:rPr>
              <w:t>-----------</w:t>
            </w:r>
          </w:p>
        </w:tc>
      </w:tr>
      <w:tr>
        <w:trPr>
          <w:trHeight w:val="198"/>
        </w:trPr>
        <w:tc>
          <w:tcPr>
            <w:tcW w:w="5560" w:type="dxa"/>
            <w:vAlign w:val="bottom"/>
          </w:tcPr>
          <w:p>
            <w:pPr>
              <w:spacing w:after="0"/>
              <w:rPr>
                <w:sz w:val="20"/>
                <w:szCs w:val="20"/>
                <w:color w:val="auto"/>
              </w:rPr>
            </w:pPr>
            <w:r>
              <w:rPr>
                <w:rFonts w:ascii="Courier New" w:cs="Courier New" w:eastAsia="Courier New" w:hAnsi="Courier New"/>
                <w:sz w:val="17"/>
                <w:szCs w:val="17"/>
                <w:color w:val="auto"/>
              </w:rPr>
              <w:t>ASSETS</w:t>
            </w:r>
          </w:p>
        </w:tc>
        <w:tc>
          <w:tcPr>
            <w:tcW w:w="3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396"/>
        </w:trPr>
        <w:tc>
          <w:tcPr>
            <w:tcW w:w="5560" w:type="dxa"/>
            <w:vAlign w:val="bottom"/>
          </w:tcPr>
          <w:p>
            <w:pPr>
              <w:spacing w:after="0"/>
              <w:rPr>
                <w:sz w:val="20"/>
                <w:szCs w:val="20"/>
                <w:color w:val="auto"/>
              </w:rPr>
            </w:pPr>
            <w:r>
              <w:rPr>
                <w:rFonts w:ascii="Courier New" w:cs="Courier New" w:eastAsia="Courier New" w:hAnsi="Courier New"/>
                <w:sz w:val="17"/>
                <w:szCs w:val="17"/>
                <w:color w:val="auto"/>
              </w:rPr>
              <w:t>Current assets:</w:t>
            </w:r>
          </w:p>
        </w:tc>
        <w:tc>
          <w:tcPr>
            <w:tcW w:w="3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Cash and cash equivalents .....................</w:t>
            </w:r>
          </w:p>
        </w:tc>
        <w:tc>
          <w:tcPr>
            <w:tcW w:w="3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224,399</w:t>
            </w:r>
          </w:p>
        </w:tc>
        <w:tc>
          <w:tcPr>
            <w:tcW w:w="460" w:type="dxa"/>
            <w:vAlign w:val="bottom"/>
          </w:tcPr>
          <w:p>
            <w:pPr>
              <w:jc w:val="right"/>
              <w:ind w:right="14"/>
              <w:spacing w:after="0"/>
              <w:rPr>
                <w:sz w:val="20"/>
                <w:szCs w:val="20"/>
                <w:color w:val="auto"/>
              </w:rPr>
            </w:pPr>
            <w:r>
              <w:rPr>
                <w:rFonts w:ascii="Courier New" w:cs="Courier New" w:eastAsia="Courier New" w:hAnsi="Courier New"/>
                <w:sz w:val="17"/>
                <w:szCs w:val="17"/>
                <w:color w:val="auto"/>
              </w:rPr>
              <w:t>$</w:t>
            </w: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125,316</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Short-term investments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161,872</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139,912</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Accounts receivable, net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136,513</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86,175</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Inventory, net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91,785</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39,712</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Prepaid expenses and other current assets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18,713</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19,979</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Total current assets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633,282</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411,094</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Property and equipment, net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150,711</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64,207</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Goodwill and acquired intangible assets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w w:val="97"/>
              </w:rPr>
              <w:t>1,615,084</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1,570,643</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Other noncurrent assets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37,394</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49,313</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Total assets ...............................</w:t>
            </w: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$2,436,471</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$2,095,257</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396"/>
        </w:trPr>
        <w:tc>
          <w:tcPr>
            <w:tcW w:w="5560" w:type="dxa"/>
            <w:vAlign w:val="bottom"/>
          </w:tcPr>
          <w:p>
            <w:pPr>
              <w:spacing w:after="0"/>
              <w:rPr>
                <w:sz w:val="20"/>
                <w:szCs w:val="20"/>
                <w:color w:val="auto"/>
              </w:rPr>
            </w:pPr>
            <w:r>
              <w:rPr>
                <w:rFonts w:ascii="Courier New" w:cs="Courier New" w:eastAsia="Courier New" w:hAnsi="Courier New"/>
                <w:sz w:val="17"/>
                <w:szCs w:val="17"/>
                <w:color w:val="auto"/>
              </w:rPr>
              <w:t>LIABILITIES AND SHAREHOLDERS' EQUITY</w:t>
            </w:r>
          </w:p>
        </w:tc>
        <w:tc>
          <w:tcPr>
            <w:tcW w:w="3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98"/>
        </w:trPr>
        <w:tc>
          <w:tcPr>
            <w:tcW w:w="5560" w:type="dxa"/>
            <w:vAlign w:val="bottom"/>
          </w:tcPr>
          <w:p>
            <w:pPr>
              <w:spacing w:after="0"/>
              <w:rPr>
                <w:sz w:val="20"/>
                <w:szCs w:val="20"/>
                <w:color w:val="auto"/>
              </w:rPr>
            </w:pPr>
            <w:r>
              <w:rPr>
                <w:rFonts w:ascii="Courier New" w:cs="Courier New" w:eastAsia="Courier New" w:hAnsi="Courier New"/>
                <w:sz w:val="17"/>
                <w:szCs w:val="17"/>
                <w:color w:val="auto"/>
              </w:rPr>
              <w:t>Current liabilities:</w:t>
            </w:r>
          </w:p>
        </w:tc>
        <w:tc>
          <w:tcPr>
            <w:tcW w:w="3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040" w:type="dxa"/>
            <w:vAlign w:val="bottom"/>
          </w:tcPr>
          <w:p>
            <w:pPr>
              <w:spacing w:after="0"/>
              <w:rPr>
                <w:sz w:val="17"/>
                <w:szCs w:val="17"/>
                <w:color w:val="auto"/>
              </w:rPr>
            </w:pP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Accounts payable .............................</w:t>
            </w:r>
          </w:p>
        </w:tc>
        <w:tc>
          <w:tcPr>
            <w:tcW w:w="3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121,190</w:t>
            </w:r>
          </w:p>
        </w:tc>
        <w:tc>
          <w:tcPr>
            <w:tcW w:w="460" w:type="dxa"/>
            <w:vAlign w:val="bottom"/>
          </w:tcPr>
          <w:p>
            <w:pPr>
              <w:ind w:left="360"/>
              <w:spacing w:after="0"/>
              <w:rPr>
                <w:sz w:val="20"/>
                <w:szCs w:val="20"/>
                <w:color w:val="auto"/>
              </w:rPr>
            </w:pPr>
            <w:r>
              <w:rPr>
                <w:rFonts w:ascii="Courier New" w:cs="Courier New" w:eastAsia="Courier New" w:hAnsi="Courier New"/>
                <w:sz w:val="17"/>
                <w:szCs w:val="17"/>
                <w:color w:val="auto"/>
                <w:w w:val="77"/>
              </w:rPr>
              <w:t>$</w:t>
            </w: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47,672</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Accrued liabilities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36,823</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25,881</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Income taxes payable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2,155</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2,247</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Deferred income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12,996</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12,481</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Current portion of capital lease obligations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10,747</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5,019</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Total current liabilities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183,911</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93,300</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Capital lease obligations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20,950</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13,755</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Other long-term liabilities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40,769</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38,064</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Total liabilities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245,630</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145,119</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396"/>
        </w:trPr>
        <w:tc>
          <w:tcPr>
            <w:tcW w:w="5560" w:type="dxa"/>
            <w:vAlign w:val="bottom"/>
          </w:tcPr>
          <w:p>
            <w:pPr>
              <w:spacing w:after="0"/>
              <w:rPr>
                <w:sz w:val="20"/>
                <w:szCs w:val="20"/>
                <w:color w:val="auto"/>
              </w:rPr>
            </w:pPr>
            <w:r>
              <w:rPr>
                <w:rFonts w:ascii="Courier New" w:cs="Courier New" w:eastAsia="Courier New" w:hAnsi="Courier New"/>
                <w:sz w:val="17"/>
                <w:szCs w:val="17"/>
                <w:color w:val="auto"/>
              </w:rPr>
              <w:t>Shareholders' equity:</w:t>
            </w:r>
          </w:p>
        </w:tc>
        <w:tc>
          <w:tcPr>
            <w:tcW w:w="3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Common stock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263</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243</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Additional paid-in capital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w w:val="97"/>
              </w:rPr>
              <w:t>2,872,545</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2,674,095</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Deferred stock-based compensation ............</w:t>
            </w:r>
          </w:p>
        </w:tc>
        <w:tc>
          <w:tcPr>
            <w:tcW w:w="32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(7,945)</w:t>
            </w:r>
          </w:p>
        </w:tc>
        <w:tc>
          <w:tcPr>
            <w:tcW w:w="460" w:type="dxa"/>
            <w:vAlign w:val="bottom"/>
          </w:tcPr>
          <w:p>
            <w:pPr>
              <w:spacing w:after="0"/>
              <w:rPr>
                <w:sz w:val="17"/>
                <w:szCs w:val="17"/>
                <w:color w:val="auto"/>
              </w:rPr>
            </w:pPr>
          </w:p>
        </w:tc>
        <w:tc>
          <w:tcPr>
            <w:tcW w:w="1040" w:type="dxa"/>
            <w:vAlign w:val="bottom"/>
          </w:tcPr>
          <w:p>
            <w:pPr>
              <w:jc w:val="right"/>
              <w:ind w:right="14"/>
              <w:spacing w:after="0"/>
              <w:rPr>
                <w:sz w:val="20"/>
                <w:szCs w:val="20"/>
                <w:color w:val="auto"/>
              </w:rPr>
            </w:pPr>
            <w:r>
              <w:rPr>
                <w:rFonts w:ascii="Courier New" w:cs="Courier New" w:eastAsia="Courier New" w:hAnsi="Courier New"/>
                <w:sz w:val="17"/>
                <w:szCs w:val="17"/>
                <w:color w:val="auto"/>
              </w:rPr>
              <w:t>(5,899)</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Accumulated other comprehensive income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rPr>
              <w:t>757</w:t>
            </w:r>
          </w:p>
        </w:tc>
        <w:tc>
          <w:tcPr>
            <w:tcW w:w="460" w:type="dxa"/>
            <w:vAlign w:val="bottom"/>
          </w:tcPr>
          <w:p>
            <w:pPr>
              <w:spacing w:after="0"/>
              <w:rPr>
                <w:sz w:val="17"/>
                <w:szCs w:val="17"/>
                <w:color w:val="auto"/>
              </w:rPr>
            </w:pPr>
          </w:p>
        </w:tc>
        <w:tc>
          <w:tcPr>
            <w:tcW w:w="104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1,988</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Accumulated deficit ..........................</w:t>
            </w:r>
          </w:p>
        </w:tc>
        <w:tc>
          <w:tcPr>
            <w:tcW w:w="320" w:type="dxa"/>
            <w:vAlign w:val="bottom"/>
          </w:tcPr>
          <w:p>
            <w:pPr>
              <w:spacing w:after="0"/>
              <w:rPr>
                <w:sz w:val="17"/>
                <w:szCs w:val="17"/>
                <w:color w:val="auto"/>
              </w:rPr>
            </w:pPr>
          </w:p>
        </w:tc>
        <w:tc>
          <w:tcPr>
            <w:tcW w:w="1380" w:type="dxa"/>
            <w:vAlign w:val="bottom"/>
          </w:tcPr>
          <w:p>
            <w:pPr>
              <w:jc w:val="right"/>
              <w:ind w:right="274"/>
              <w:spacing w:after="0"/>
              <w:rPr>
                <w:sz w:val="20"/>
                <w:szCs w:val="20"/>
                <w:color w:val="auto"/>
              </w:rPr>
            </w:pPr>
            <w:r>
              <w:rPr>
                <w:rFonts w:ascii="Courier New" w:cs="Courier New" w:eastAsia="Courier New" w:hAnsi="Courier New"/>
                <w:sz w:val="17"/>
                <w:szCs w:val="17"/>
                <w:color w:val="auto"/>
              </w:rPr>
              <w:t>(674,779)</w:t>
            </w:r>
          </w:p>
        </w:tc>
        <w:tc>
          <w:tcPr>
            <w:tcW w:w="460" w:type="dxa"/>
            <w:vAlign w:val="bottom"/>
          </w:tcPr>
          <w:p>
            <w:pPr>
              <w:spacing w:after="0"/>
              <w:rPr>
                <w:sz w:val="17"/>
                <w:szCs w:val="17"/>
                <w:color w:val="auto"/>
              </w:rPr>
            </w:pPr>
          </w:p>
        </w:tc>
        <w:tc>
          <w:tcPr>
            <w:tcW w:w="1040" w:type="dxa"/>
            <w:vAlign w:val="bottom"/>
          </w:tcPr>
          <w:p>
            <w:pPr>
              <w:jc w:val="right"/>
              <w:ind w:right="14"/>
              <w:spacing w:after="0"/>
              <w:rPr>
                <w:sz w:val="20"/>
                <w:szCs w:val="20"/>
                <w:color w:val="auto"/>
              </w:rPr>
            </w:pPr>
            <w:r>
              <w:rPr>
                <w:rFonts w:ascii="Courier New" w:cs="Courier New" w:eastAsia="Courier New" w:hAnsi="Courier New"/>
                <w:sz w:val="17"/>
                <w:szCs w:val="17"/>
                <w:color w:val="auto"/>
              </w:rPr>
              <w:t>(720,289)</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Total shareholders' equity .................</w:t>
            </w:r>
          </w:p>
        </w:tc>
        <w:tc>
          <w:tcPr>
            <w:tcW w:w="320" w:type="dxa"/>
            <w:vAlign w:val="bottom"/>
          </w:tcPr>
          <w:p>
            <w:pPr>
              <w:spacing w:after="0"/>
              <w:rPr>
                <w:sz w:val="17"/>
                <w:szCs w:val="17"/>
                <w:color w:val="auto"/>
              </w:rPr>
            </w:pPr>
          </w:p>
        </w:tc>
        <w:tc>
          <w:tcPr>
            <w:tcW w:w="1380" w:type="dxa"/>
            <w:vAlign w:val="bottom"/>
          </w:tcPr>
          <w:p>
            <w:pPr>
              <w:jc w:val="right"/>
              <w:ind w:right="374"/>
              <w:spacing w:after="0"/>
              <w:rPr>
                <w:sz w:val="20"/>
                <w:szCs w:val="20"/>
                <w:color w:val="auto"/>
              </w:rPr>
            </w:pPr>
            <w:r>
              <w:rPr>
                <w:rFonts w:ascii="Courier New" w:cs="Courier New" w:eastAsia="Courier New" w:hAnsi="Courier New"/>
                <w:sz w:val="17"/>
                <w:szCs w:val="17"/>
                <w:color w:val="auto"/>
                <w:w w:val="97"/>
              </w:rPr>
              <w:t>2,190,841</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1,950,138</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r>
        <w:trPr>
          <w:trHeight w:val="198"/>
        </w:trPr>
        <w:tc>
          <w:tcPr>
            <w:tcW w:w="5560" w:type="dxa"/>
            <w:vAlign w:val="bottom"/>
          </w:tcPr>
          <w:p>
            <w:pPr>
              <w:jc w:val="right"/>
              <w:ind w:right="114"/>
              <w:spacing w:after="0"/>
              <w:rPr>
                <w:sz w:val="20"/>
                <w:szCs w:val="20"/>
                <w:color w:val="auto"/>
              </w:rPr>
            </w:pPr>
            <w:r>
              <w:rPr>
                <w:rFonts w:ascii="Courier New" w:cs="Courier New" w:eastAsia="Courier New" w:hAnsi="Courier New"/>
                <w:sz w:val="17"/>
                <w:szCs w:val="17"/>
                <w:color w:val="auto"/>
              </w:rPr>
              <w:t>Total liabilities and shareholders' equity .</w:t>
            </w: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$2,436,471</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$2,095,257</w:t>
            </w:r>
          </w:p>
        </w:tc>
      </w:tr>
      <w:tr>
        <w:trPr>
          <w:trHeight w:val="198"/>
        </w:trPr>
        <w:tc>
          <w:tcPr>
            <w:tcW w:w="5560" w:type="dxa"/>
            <w:vAlign w:val="bottom"/>
          </w:tcPr>
          <w:p>
            <w:pPr>
              <w:spacing w:after="0"/>
              <w:rPr>
                <w:sz w:val="17"/>
                <w:szCs w:val="17"/>
                <w:color w:val="auto"/>
              </w:rPr>
            </w:pPr>
          </w:p>
        </w:tc>
        <w:tc>
          <w:tcPr>
            <w:tcW w:w="1700" w:type="dxa"/>
            <w:vAlign w:val="bottom"/>
            <w:gridSpan w:val="2"/>
          </w:tcPr>
          <w:p>
            <w:pPr>
              <w:jc w:val="right"/>
              <w:ind w:right="374"/>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114"/>
              <w:spacing w:after="0"/>
              <w:rPr>
                <w:sz w:val="20"/>
                <w:szCs w:val="20"/>
                <w:color w:val="auto"/>
              </w:rPr>
            </w:pPr>
            <w:r>
              <w:rPr>
                <w:rFonts w:ascii="Courier New" w:cs="Courier New" w:eastAsia="Courier New" w:hAnsi="Courier New"/>
                <w:sz w:val="17"/>
                <w:szCs w:val="17"/>
                <w:color w:val="auto"/>
              </w:rPr>
              <w:t>==========</w:t>
            </w:r>
          </w:p>
        </w:tc>
      </w:tr>
    </w:tbl>
    <w:p>
      <w:pPr>
        <w:spacing w:after="0" w:line="1" w:lineRule="exact"/>
        <w:rPr>
          <w:sz w:val="20"/>
          <w:szCs w:val="20"/>
          <w:color w:val="auto"/>
        </w:rPr>
      </w:pPr>
    </w:p>
    <w:sectPr>
      <w:pgSz w:w="11900" w:h="16838" w:orient="portrait"/>
      <w:cols w:equalWidth="0" w:num="1">
        <w:col w:w="10219"/>
      </w:cols>
      <w:pgMar w:left="240" w:top="90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2019-12-14T19:24:22Z</dcterms:created>
  <dcterms:modified xsi:type="dcterms:W3CDTF">2019-12-14T19:24:22Z</dcterms:modified>
</cp:coreProperties>
</file>