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50850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5085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ALBA MANUEL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94089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01/07/2004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42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20" w:type="dxa"/>
            <w:vAlign w:val="bottom"/>
            <w:gridSpan w:val="5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0" w:type="dxa"/>
            <w:vAlign w:val="bottom"/>
            <w:gridSpan w:val="7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48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4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restart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</w:tcPr>
          <w:p>
            <w:pPr>
              <w:ind w:left="2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 Alba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  <w:vMerge w:val="restart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01/07/2004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3"/>
              </w:rPr>
              <w:t>50,000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right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41</w:t>
            </w:r>
          </w:p>
        </w:tc>
        <w:tc>
          <w:tcPr>
            <w:tcW w:w="126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161,264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2003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Living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34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2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80" w:type="dxa"/>
            <w:vAlign w:val="bottom"/>
            <w:gridSpan w:val="11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8"/>
              </w:rPr>
              <w:t>(e.g., puts, calls, warrants, options, convertible securities)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0" w:type="dxa"/>
            <w:vAlign w:val="bottom"/>
            <w:gridSpan w:val="4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0" w:type="dxa"/>
            <w:vAlign w:val="bottom"/>
            <w:gridSpan w:val="4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</w:tcPr>
          <w:p>
            <w:pPr>
              <w:ind w:left="4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ind w:left="4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 Shares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100" w:type="dxa"/>
            <w:vAlign w:val="bottom"/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8000"/>
                <w:w w:val="89"/>
              </w:rPr>
              <w:t>1. The Reporting Person disclaims beneficial ownership of these securities except to the extent of his pecuniary interest therein.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Remarks: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1"/>
              </w:rPr>
              <w:t>Manuel Alba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00" w:type="dxa"/>
            <w:vAlign w:val="bottom"/>
            <w:gridSpan w:val="4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01/09/2004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gridSpan w:val="4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6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360" w:type="dxa"/>
            <w:vAlign w:val="bottom"/>
            <w:gridSpan w:val="9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8"/>
              </w:rPr>
              <w:t>Reminder: Report on a separate line for each class of securities beneficially owned directly or indirectly.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74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4"/>
                <w:szCs w:val="14"/>
                <w:i w:val="1"/>
                <w:iCs w:val="1"/>
                <w:color w:val="auto"/>
                <w:w w:val="96"/>
              </w:rPr>
              <w:t>see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 xml:space="preserve"> Instruction 4 (b)(v).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3472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2019-12-17T03:16:53Z</dcterms:created>
  <dcterms:modified xsi:type="dcterms:W3CDTF">2019-12-17T03:16:53Z</dcterms:modified>
</cp:coreProperties>
</file>