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2" w:lineRule="exact"/>
        <w:rPr>
          <w:sz w:val="20"/>
          <w:szCs w:val="20"/>
          <w:color w:val="auto"/>
        </w:rPr>
      </w:pPr>
    </w:p>
    <w:p>
      <w:pPr>
        <w:jc w:val="center"/>
        <w:ind w:right="-39"/>
        <w:spacing w:after="0"/>
        <w:rPr>
          <w:sz w:val="20"/>
          <w:szCs w:val="20"/>
          <w:color w:val="auto"/>
        </w:rPr>
      </w:pPr>
      <w:r>
        <w:rPr>
          <w:rFonts w:ascii="Arial" w:cs="Arial" w:eastAsia="Arial" w:hAnsi="Arial"/>
          <w:sz w:val="29"/>
          <w:szCs w:val="29"/>
          <w:b w:val="1"/>
          <w:bCs w:val="1"/>
          <w:color w:val="auto"/>
        </w:rPr>
        <w:t>SCHEDULE 14A</w:t>
      </w:r>
    </w:p>
    <w:p>
      <w:pPr>
        <w:spacing w:after="0" w:line="31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(Rule 14a-101)</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REQUIRED IN PROXY STATEMENT</w:t>
      </w:r>
    </w:p>
    <w:p>
      <w:pPr>
        <w:spacing w:after="0" w:line="248" w:lineRule="exact"/>
        <w:rPr>
          <w:sz w:val="20"/>
          <w:szCs w:val="20"/>
          <w:color w:val="auto"/>
        </w:rPr>
      </w:pPr>
    </w:p>
    <w:p>
      <w:pPr>
        <w:jc w:val="center"/>
        <w:ind w:right="-39"/>
        <w:spacing w:after="0"/>
        <w:rPr>
          <w:sz w:val="20"/>
          <w:szCs w:val="20"/>
          <w:color w:val="auto"/>
        </w:rPr>
      </w:pPr>
      <w:r>
        <w:rPr>
          <w:rFonts w:ascii="Arial" w:cs="Arial" w:eastAsia="Arial" w:hAnsi="Arial"/>
          <w:sz w:val="25"/>
          <w:szCs w:val="25"/>
          <w:b w:val="1"/>
          <w:bCs w:val="1"/>
          <w:color w:val="auto"/>
        </w:rPr>
        <w:t>SCHEDULE 14A INFORMATION</w:t>
      </w:r>
    </w:p>
    <w:p>
      <w:pPr>
        <w:spacing w:after="0" w:line="262"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Proxy Statement Pursuant to Section 14(a) of the Securities</w:t>
      </w:r>
    </w:p>
    <w:p>
      <w:pPr>
        <w:spacing w:after="0" w:line="14" w:lineRule="exact"/>
        <w:rPr>
          <w:sz w:val="20"/>
          <w:szCs w:val="20"/>
          <w:color w:val="auto"/>
        </w:rPr>
      </w:pPr>
    </w:p>
    <w:p>
      <w:pPr>
        <w:ind w:left="3540"/>
        <w:spacing w:after="0"/>
        <w:tabs>
          <w:tab w:leader="none" w:pos="7800" w:val="left"/>
        </w:tabs>
        <w:rPr>
          <w:sz w:val="20"/>
          <w:szCs w:val="20"/>
          <w:color w:val="auto"/>
        </w:rPr>
      </w:pPr>
      <w:r>
        <w:rPr>
          <w:rFonts w:ascii="Arial" w:cs="Arial" w:eastAsia="Arial" w:hAnsi="Arial"/>
          <w:sz w:val="22"/>
          <w:szCs w:val="22"/>
          <w:b w:val="1"/>
          <w:bCs w:val="1"/>
          <w:color w:val="auto"/>
        </w:rPr>
        <w:t>Exchange Act of 1934 (Amendment No.</w:t>
      </w:r>
      <w:r>
        <w:rPr>
          <w:sz w:val="20"/>
          <w:szCs w:val="20"/>
          <w:color w:val="auto"/>
        </w:rPr>
        <w:tab/>
      </w:r>
      <w:r>
        <w:rPr>
          <w:rFonts w:ascii="Arial" w:cs="Arial" w:eastAsia="Arial" w:hAnsi="Arial"/>
          <w:sz w:val="22"/>
          <w:szCs w:val="22"/>
          <w:b w:val="1"/>
          <w:bCs w:val="1"/>
          <w:color w:val="auto"/>
        </w:rPr>
        <w:t>)</w:t>
      </w:r>
    </w:p>
    <w:p>
      <w:pPr>
        <w:spacing w:after="0" w:line="163" w:lineRule="exact"/>
        <w:rPr>
          <w:sz w:val="20"/>
          <w:szCs w:val="20"/>
          <w:color w:val="auto"/>
        </w:rPr>
      </w:pPr>
    </w:p>
    <w:p>
      <w:pPr>
        <w:ind w:left="560"/>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25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Filed by a Party other than the Registrant o</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Check the appropriate box:</w:t>
      </w:r>
    </w:p>
    <w:p>
      <w:pPr>
        <w:spacing w:after="0" w:line="225" w:lineRule="exact"/>
        <w:rPr>
          <w:sz w:val="20"/>
          <w:szCs w:val="20"/>
          <w:color w:val="auto"/>
        </w:rPr>
      </w:pPr>
    </w:p>
    <w:p>
      <w:pPr>
        <w:ind w:left="760" w:hanging="198"/>
        <w:spacing w:after="0"/>
        <w:tabs>
          <w:tab w:leader="none" w:pos="7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Confidential, for Use of the Commission Only (as permitted by Rule 14a-6(e)(2))</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Definitive Proxy Statement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Definitive Additional Materials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Soliciting Material Pursuant to §240.14a-12</w:t>
      </w:r>
    </w:p>
    <w:p>
      <w:pPr>
        <w:spacing w:after="0" w:line="200" w:lineRule="exact"/>
        <w:rPr>
          <w:sz w:val="20"/>
          <w:szCs w:val="20"/>
          <w:color w:val="auto"/>
        </w:rPr>
      </w:pPr>
    </w:p>
    <w:p>
      <w:pPr>
        <w:spacing w:after="0" w:line="354" w:lineRule="exact"/>
        <w:rPr>
          <w:sz w:val="20"/>
          <w:szCs w:val="20"/>
          <w:color w:val="auto"/>
        </w:rPr>
      </w:pPr>
    </w:p>
    <w:p>
      <w:pPr>
        <w:jc w:val="center"/>
        <w:ind w:right="-39"/>
        <w:spacing w:after="0"/>
        <w:rPr>
          <w:sz w:val="20"/>
          <w:szCs w:val="20"/>
          <w:color w:val="auto"/>
        </w:rPr>
      </w:pPr>
      <w:r>
        <w:rPr>
          <w:rFonts w:ascii="Arial" w:cs="Arial" w:eastAsia="Arial" w:hAnsi="Arial"/>
          <w:sz w:val="25"/>
          <w:szCs w:val="25"/>
          <w:b w:val="1"/>
          <w:bCs w:val="1"/>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175260</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34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(Name of Registrant as Specified in Its Charter)</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135255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73" w:lineRule="exact"/>
        <w:rPr>
          <w:sz w:val="20"/>
          <w:szCs w:val="20"/>
          <w:color w:val="auto"/>
        </w:rPr>
      </w:pPr>
    </w:p>
    <w:p>
      <w:pPr>
        <w:ind w:left="3060"/>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185" w:lineRule="exact"/>
        <w:rPr>
          <w:sz w:val="20"/>
          <w:szCs w:val="20"/>
          <w:color w:val="auto"/>
        </w:rPr>
      </w:pPr>
    </w:p>
    <w:p>
      <w:pPr>
        <w:ind w:left="940" w:hanging="212"/>
        <w:spacing w:after="0"/>
        <w:tabs>
          <w:tab w:leader="none" w:pos="9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18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o Fee computed on table below per Exchange Act Rules 14a-6(i)(1) and 0-11.</w:t>
      </w:r>
    </w:p>
    <w:p>
      <w:pPr>
        <w:spacing w:after="0" w:line="198" w:lineRule="exact"/>
        <w:rPr>
          <w:sz w:val="20"/>
          <w:szCs w:val="20"/>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306" w:lineRule="exact"/>
        <w:rPr>
          <w:rFonts w:ascii="Arial" w:cs="Arial" w:eastAsia="Arial" w:hAnsi="Arial"/>
          <w:sz w:val="18"/>
          <w:szCs w:val="18"/>
          <w:color w:val="auto"/>
        </w:rPr>
      </w:pPr>
    </w:p>
    <w:p>
      <w:pPr>
        <w:ind w:right="160" w:firstLine="728"/>
        <w:spacing w:after="0" w:line="277" w:lineRule="auto"/>
        <w:tabs>
          <w:tab w:leader="none" w:pos="975"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64" w:lineRule="exact"/>
        <w:rPr>
          <w:rFonts w:ascii="Arial" w:cs="Arial" w:eastAsia="Arial" w:hAnsi="Arial"/>
          <w:sz w:val="18"/>
          <w:szCs w:val="18"/>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-1322070</wp:posOffset>
            </wp:positionV>
            <wp:extent cx="726376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-996315</wp:posOffset>
            </wp:positionV>
            <wp:extent cx="726376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-524510</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-198755</wp:posOffset>
            </wp:positionV>
            <wp:extent cx="726376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126365</wp:posOffset>
            </wp:positionV>
            <wp:extent cx="726376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86" w:lineRule="exact"/>
        <w:rPr>
          <w:sz w:val="20"/>
          <w:szCs w:val="20"/>
          <w:color w:val="auto"/>
        </w:rPr>
      </w:pPr>
    </w:p>
    <w:p>
      <w:pPr>
        <w:ind w:left="720"/>
        <w:spacing w:after="0"/>
        <w:rPr>
          <w:sz w:val="20"/>
          <w:szCs w:val="20"/>
          <w:color w:val="auto"/>
        </w:rPr>
      </w:pPr>
      <w:r>
        <w:rPr>
          <w:rFonts w:ascii="Arial" w:cs="Arial" w:eastAsia="Arial" w:hAnsi="Arial"/>
          <w:sz w:val="18"/>
          <w:szCs w:val="18"/>
          <w:color w:val="auto"/>
        </w:rPr>
        <w:t>o Fee paid previously with preliminary materials.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135255</wp:posOffset>
            </wp:positionV>
            <wp:extent cx="72637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300" w:lineRule="exact"/>
        <w:rPr>
          <w:sz w:val="20"/>
          <w:szCs w:val="20"/>
          <w:color w:val="auto"/>
        </w:rPr>
      </w:pPr>
    </w:p>
    <w:p>
      <w:pPr>
        <w:ind w:firstLine="720"/>
        <w:spacing w:after="0" w:line="277" w:lineRule="auto"/>
        <w:rPr>
          <w:sz w:val="20"/>
          <w:szCs w:val="20"/>
          <w:color w:val="auto"/>
        </w:rPr>
      </w:pPr>
      <w:r>
        <w:rPr>
          <w:rFonts w:ascii="Arial" w:cs="Arial" w:eastAsia="Arial" w:hAnsi="Arial"/>
          <w:sz w:val="18"/>
          <w:szCs w:val="18"/>
          <w:color w:val="auto"/>
        </w:rPr>
        <w:t>o 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30" w:lineRule="exact"/>
        <w:rPr>
          <w:sz w:val="20"/>
          <w:szCs w:val="20"/>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319" w:lineRule="exact"/>
        <w:rPr>
          <w:rFonts w:ascii="Arial" w:cs="Arial" w:eastAsia="Arial" w:hAnsi="Arial"/>
          <w:sz w:val="18"/>
          <w:szCs w:val="18"/>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-859155</wp:posOffset>
            </wp:positionV>
            <wp:extent cx="72637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-524510</wp:posOffset>
            </wp:positionV>
            <wp:extent cx="726376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-198755</wp:posOffset>
            </wp:positionV>
            <wp:extent cx="72637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126365</wp:posOffset>
            </wp:positionV>
            <wp:extent cx="726376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269875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2" w:right="279" w:bottom="275"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1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April 26, 2004</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185" w:lineRule="exact"/>
        <w:rPr>
          <w:sz w:val="20"/>
          <w:szCs w:val="20"/>
          <w:color w:val="auto"/>
        </w:rPr>
      </w:pPr>
    </w:p>
    <w:p>
      <w:pPr>
        <w:ind w:right="400" w:firstLine="218"/>
        <w:spacing w:after="0" w:line="264" w:lineRule="auto"/>
        <w:rPr>
          <w:sz w:val="20"/>
          <w:szCs w:val="20"/>
          <w:color w:val="auto"/>
        </w:rPr>
      </w:pPr>
      <w:r>
        <w:rPr>
          <w:rFonts w:ascii="Arial" w:cs="Arial" w:eastAsia="Arial" w:hAnsi="Arial"/>
          <w:sz w:val="18"/>
          <w:szCs w:val="18"/>
          <w:color w:val="auto"/>
        </w:rPr>
        <w:t>You are cordially invited to attend the 2004 Annual General Meeting of Shareholders of Marvell Technology Group Ltd., a Bermuda corporation, scheduled to be held at the offices of the Company’s subsidiary, Marvell Semiconductor, Inc., 700 First Avenue, Sunnyvale, California 94089, on Friday, May 28, 2004 at 2:00 p.m. local time.</w:t>
      </w:r>
    </w:p>
    <w:p>
      <w:pPr>
        <w:spacing w:after="0" w:line="154" w:lineRule="exact"/>
        <w:rPr>
          <w:sz w:val="20"/>
          <w:szCs w:val="20"/>
          <w:color w:val="auto"/>
        </w:rPr>
      </w:pPr>
    </w:p>
    <w:p>
      <w:pPr>
        <w:ind w:right="40" w:firstLine="215"/>
        <w:spacing w:after="0" w:line="257" w:lineRule="auto"/>
        <w:rPr>
          <w:sz w:val="20"/>
          <w:szCs w:val="20"/>
          <w:color w:val="auto"/>
        </w:rPr>
      </w:pPr>
      <w:r>
        <w:rPr>
          <w:rFonts w:ascii="Arial" w:cs="Arial" w:eastAsia="Arial" w:hAnsi="Arial"/>
          <w:sz w:val="18"/>
          <w:szCs w:val="18"/>
          <w:color w:val="auto"/>
        </w:rPr>
        <w:t>As described in the accompanying Notice of Annual General Meeting of Shareholders and Proxy Statement, shareholders will be asked to vote on the election of Class 1 directors for the Company, to appoint PricewaterhouseCoopers LLP as the Company’s independent auditors for the Company’s 2005 fiscal year, to authorize the Board of Directors to fix the auditors’ remuneration, and to approve an amendment to the Company’s Memorandum of Association. Directors and executive officers of the Company will be present at the Annual General Meeting to respond to any questions that our shareholders may have regarding the business to be transacted.</w:t>
      </w:r>
    </w:p>
    <w:p>
      <w:pPr>
        <w:spacing w:after="0" w:line="144" w:lineRule="exact"/>
        <w:rPr>
          <w:sz w:val="20"/>
          <w:szCs w:val="20"/>
          <w:color w:val="auto"/>
        </w:rPr>
      </w:pPr>
    </w:p>
    <w:p>
      <w:pPr>
        <w:ind w:right="340" w:firstLine="225"/>
        <w:spacing w:after="0" w:line="314"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I urge you to vote your proxy as soon as possible. </w:t>
      </w:r>
      <w:r>
        <w:rPr>
          <w:rFonts w:ascii="Arial" w:cs="Arial" w:eastAsia="Arial" w:hAnsi="Arial"/>
          <w:sz w:val="16"/>
          <w:szCs w:val="16"/>
          <w:color w:val="auto"/>
        </w:rPr>
        <w:t>Whether or not you</w:t>
      </w:r>
      <w:r>
        <w:rPr>
          <w:rFonts w:ascii="Arial" w:cs="Arial" w:eastAsia="Arial" w:hAnsi="Arial"/>
          <w:sz w:val="16"/>
          <w:szCs w:val="16"/>
          <w:b w:val="1"/>
          <w:bCs w:val="1"/>
          <w:color w:val="auto"/>
        </w:rPr>
        <w:t xml:space="preserve"> </w:t>
      </w:r>
      <w:r>
        <w:rPr>
          <w:rFonts w:ascii="Arial" w:cs="Arial" w:eastAsia="Arial" w:hAnsi="Arial"/>
          <w:sz w:val="16"/>
          <w:szCs w:val="16"/>
          <w:color w:val="auto"/>
        </w:rPr>
        <w:t>plan 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106" w:lineRule="exact"/>
        <w:rPr>
          <w:sz w:val="20"/>
          <w:szCs w:val="20"/>
          <w:color w:val="auto"/>
        </w:rPr>
      </w:pPr>
    </w:p>
    <w:p>
      <w:pPr>
        <w:ind w:left="240"/>
        <w:spacing w:after="0"/>
        <w:rPr>
          <w:sz w:val="20"/>
          <w:szCs w:val="20"/>
          <w:color w:val="auto"/>
        </w:rPr>
      </w:pPr>
      <w:r>
        <w:rPr>
          <w:rFonts w:ascii="Arial" w:cs="Arial" w:eastAsia="Arial" w:hAnsi="Arial"/>
          <w:sz w:val="17"/>
          <w:szCs w:val="17"/>
          <w:color w:val="auto"/>
        </w:rPr>
        <w:t>On behalf of the Board of Directors and all of the employees of the Company, I wish to thank you for your continued support of the Company.</w:t>
      </w:r>
    </w:p>
    <w:p>
      <w:pPr>
        <w:spacing w:after="0" w:line="200" w:lineRule="exact"/>
        <w:rPr>
          <w:sz w:val="20"/>
          <w:szCs w:val="20"/>
          <w:color w:val="auto"/>
        </w:rPr>
      </w:pPr>
    </w:p>
    <w:p>
      <w:pPr>
        <w:spacing w:after="0" w:line="226"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2483485</wp:posOffset>
            </wp:positionH>
            <wp:positionV relativeFrom="paragraph">
              <wp:posOffset>152400</wp:posOffset>
            </wp:positionV>
            <wp:extent cx="1106170" cy="3517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106170" cy="3517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Dr. Sehat Sutardja, Ph.D.</w:t>
      </w:r>
    </w:p>
    <w:p>
      <w:pPr>
        <w:spacing w:after="0" w:line="23" w:lineRule="exact"/>
        <w:rPr>
          <w:sz w:val="20"/>
          <w:szCs w:val="20"/>
          <w:color w:val="auto"/>
        </w:rPr>
      </w:pPr>
    </w:p>
    <w:p>
      <w:pPr>
        <w:ind w:left="3900"/>
        <w:spacing w:after="0"/>
        <w:rPr>
          <w:sz w:val="20"/>
          <w:szCs w:val="20"/>
          <w:color w:val="auto"/>
        </w:rPr>
      </w:pPr>
      <w:r>
        <w:rPr>
          <w:rFonts w:ascii="Arial" w:cs="Arial" w:eastAsia="Arial" w:hAnsi="Arial"/>
          <w:sz w:val="18"/>
          <w:szCs w:val="18"/>
          <w:i w:val="1"/>
          <w:iCs w:val="1"/>
          <w:color w:val="auto"/>
        </w:rPr>
        <w:t>Chairman of the Board, President and</w:t>
      </w:r>
    </w:p>
    <w:p>
      <w:pPr>
        <w:spacing w:after="0" w:line="9" w:lineRule="exact"/>
        <w:rPr>
          <w:sz w:val="20"/>
          <w:szCs w:val="20"/>
          <w:color w:val="auto"/>
        </w:rPr>
      </w:pPr>
    </w:p>
    <w:p>
      <w:pPr>
        <w:ind w:left="390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389890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To Be Held on May 28, 2004</w:t>
      </w:r>
    </w:p>
    <w:p>
      <w:pPr>
        <w:spacing w:after="0" w:line="170" w:lineRule="exact"/>
        <w:rPr>
          <w:sz w:val="20"/>
          <w:szCs w:val="20"/>
          <w:color w:val="auto"/>
        </w:rPr>
      </w:pPr>
    </w:p>
    <w:p>
      <w:pPr>
        <w:ind w:right="60" w:firstLine="222"/>
        <w:spacing w:after="0" w:line="264" w:lineRule="auto"/>
        <w:rPr>
          <w:sz w:val="20"/>
          <w:szCs w:val="20"/>
          <w:color w:val="auto"/>
        </w:rPr>
      </w:pPr>
      <w:r>
        <w:rPr>
          <w:rFonts w:ascii="Arial" w:cs="Arial" w:eastAsia="Arial" w:hAnsi="Arial"/>
          <w:sz w:val="18"/>
          <w:szCs w:val="18"/>
          <w:color w:val="auto"/>
        </w:rPr>
        <w:t>The 2004 Annual General Meeting of Shareholders of Marvell Technology Group Ltd., a Bermuda corporation, will be held at the offices of the Company’s subsidiary, Marvell Semiconductor, Inc., 700 First Avenue, Sunnyvale, California 94089, Friday, May 28, 2004 at 2:00 p.m. local time, subject to adjournment or postponement by the Board of Directors, for the following purposes:</w:t>
      </w:r>
    </w:p>
    <w:p>
      <w:pPr>
        <w:spacing w:after="0" w:line="141" w:lineRule="exact"/>
        <w:rPr>
          <w:sz w:val="20"/>
          <w:szCs w:val="20"/>
          <w:color w:val="auto"/>
        </w:rPr>
      </w:pPr>
    </w:p>
    <w:p>
      <w:pPr>
        <w:ind w:right="80" w:firstLine="233"/>
        <w:spacing w:after="0" w:line="277" w:lineRule="auto"/>
        <w:tabs>
          <w:tab w:leader="none" w:pos="40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elect two directors constituting Class 1 of the Company’s Board of Directors, each to hold office for a three-year term and until his successor is duly elected and qualified;</w:t>
      </w:r>
    </w:p>
    <w:p>
      <w:pPr>
        <w:spacing w:after="0" w:line="143" w:lineRule="exact"/>
        <w:rPr>
          <w:rFonts w:ascii="Arial" w:cs="Arial" w:eastAsia="Arial" w:hAnsi="Arial"/>
          <w:sz w:val="18"/>
          <w:szCs w:val="18"/>
          <w:color w:val="auto"/>
        </w:rPr>
      </w:pPr>
    </w:p>
    <w:p>
      <w:pPr>
        <w:ind w:left="400" w:hanging="167"/>
        <w:spacing w:after="0"/>
        <w:tabs>
          <w:tab w:leader="none" w:pos="400"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re-appoint PricewaterhouseCoopers LLP as the independent auditors of the Company for the Company’s 2005 fiscal year ending January 29, 2005;</w:t>
      </w:r>
    </w:p>
    <w:p>
      <w:pPr>
        <w:spacing w:after="0" w:line="207" w:lineRule="exact"/>
        <w:rPr>
          <w:rFonts w:ascii="Arial" w:cs="Arial" w:eastAsia="Arial" w:hAnsi="Arial"/>
          <w:sz w:val="16"/>
          <w:szCs w:val="16"/>
          <w:color w:val="auto"/>
        </w:rPr>
      </w:pPr>
    </w:p>
    <w:p>
      <w:pPr>
        <w:ind w:left="400" w:hanging="167"/>
        <w:spacing w:after="0"/>
        <w:tabs>
          <w:tab w:leader="none" w:pos="4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authorize the Board of Directors to fix the auditors’ remuneration for the Company’s fiscal year ending January 29, 2005;</w:t>
      </w:r>
    </w:p>
    <w:p>
      <w:pPr>
        <w:spacing w:after="0" w:line="184" w:lineRule="exact"/>
        <w:rPr>
          <w:rFonts w:ascii="Arial" w:cs="Arial" w:eastAsia="Arial" w:hAnsi="Arial"/>
          <w:sz w:val="18"/>
          <w:szCs w:val="18"/>
          <w:color w:val="auto"/>
        </w:rPr>
      </w:pPr>
    </w:p>
    <w:p>
      <w:pPr>
        <w:ind w:firstLine="233"/>
        <w:spacing w:after="0" w:line="277" w:lineRule="auto"/>
        <w:tabs>
          <w:tab w:leader="none" w:pos="40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consider and approve an amendment to the Company’s Memorandum of Association that would increase the Company’s authorized capital to allow a bonus issue of shares resulting in a two for one stock split; and</w:t>
      </w:r>
    </w:p>
    <w:p>
      <w:pPr>
        <w:spacing w:after="0" w:line="143" w:lineRule="exact"/>
        <w:rPr>
          <w:rFonts w:ascii="Arial" w:cs="Arial" w:eastAsia="Arial" w:hAnsi="Arial"/>
          <w:sz w:val="18"/>
          <w:szCs w:val="18"/>
          <w:color w:val="auto"/>
        </w:rPr>
      </w:pPr>
    </w:p>
    <w:p>
      <w:pPr>
        <w:ind w:left="400" w:hanging="167"/>
        <w:spacing w:after="0"/>
        <w:tabs>
          <w:tab w:leader="none" w:pos="400" w:val="left"/>
        </w:tabs>
        <w:numPr>
          <w:ilvl w:val="0"/>
          <w:numId w:val="5"/>
        </w:numPr>
        <w:rPr>
          <w:rFonts w:ascii="Arial" w:cs="Arial" w:eastAsia="Arial" w:hAnsi="Arial"/>
          <w:sz w:val="17"/>
          <w:szCs w:val="17"/>
          <w:color w:val="auto"/>
        </w:rPr>
      </w:pPr>
      <w:r>
        <w:rPr>
          <w:rFonts w:ascii="Arial" w:cs="Arial" w:eastAsia="Arial" w:hAnsi="Arial"/>
          <w:sz w:val="17"/>
          <w:szCs w:val="17"/>
          <w:color w:val="auto"/>
        </w:rPr>
        <w:t>To transact such other business as may properly come before the Annual General Meeting or any or all adjournments or postponements thereof.</w:t>
      </w:r>
    </w:p>
    <w:p>
      <w:pPr>
        <w:spacing w:after="0" w:line="196" w:lineRule="exact"/>
        <w:rPr>
          <w:sz w:val="20"/>
          <w:szCs w:val="20"/>
          <w:color w:val="auto"/>
        </w:rPr>
      </w:pPr>
    </w:p>
    <w:p>
      <w:pPr>
        <w:ind w:right="700" w:firstLine="222"/>
        <w:spacing w:after="0" w:line="277" w:lineRule="auto"/>
        <w:rPr>
          <w:sz w:val="20"/>
          <w:szCs w:val="20"/>
          <w:color w:val="auto"/>
        </w:rPr>
      </w:pPr>
      <w:r>
        <w:rPr>
          <w:rFonts w:ascii="Arial" w:cs="Arial" w:eastAsia="Arial" w:hAnsi="Arial"/>
          <w:sz w:val="18"/>
          <w:szCs w:val="18"/>
          <w:color w:val="auto"/>
        </w:rPr>
        <w:t>The Company will also lay before the meeting the financial statements of the Company for the fiscal year ended January 31, 2004 pursuant to the provisions of the Bermuda Companies Act of 1981 and the Company’s Bye-Laws.</w:t>
      </w:r>
    </w:p>
    <w:p>
      <w:pPr>
        <w:spacing w:after="0" w:line="130" w:lineRule="exact"/>
        <w:rPr>
          <w:sz w:val="20"/>
          <w:szCs w:val="20"/>
          <w:color w:val="auto"/>
        </w:rPr>
      </w:pPr>
    </w:p>
    <w:p>
      <w:pPr>
        <w:ind w:right="160" w:firstLine="225"/>
        <w:spacing w:after="0" w:line="277" w:lineRule="auto"/>
        <w:rPr>
          <w:sz w:val="20"/>
          <w:szCs w:val="20"/>
          <w:color w:val="auto"/>
        </w:rPr>
      </w:pPr>
      <w:r>
        <w:rPr>
          <w:rFonts w:ascii="Arial" w:cs="Arial" w:eastAsia="Arial" w:hAnsi="Arial"/>
          <w:sz w:val="18"/>
          <w:szCs w:val="18"/>
          <w:color w:val="auto"/>
        </w:rPr>
        <w:t>Only holders of record of common stock of the Company on April 14, 2004, will be entitled to notice of, and to vote at, the Annual General Meeting and any adjournment or postponement thereof.</w:t>
      </w:r>
    </w:p>
    <w:p>
      <w:pPr>
        <w:spacing w:after="0" w:line="143" w:lineRule="exact"/>
        <w:rPr>
          <w:sz w:val="20"/>
          <w:szCs w:val="20"/>
          <w:color w:val="auto"/>
        </w:rPr>
      </w:pPr>
    </w:p>
    <w:p>
      <w:pPr>
        <w:ind w:right="220" w:firstLine="225"/>
        <w:spacing w:after="0" w:line="257" w:lineRule="auto"/>
        <w:rPr>
          <w:sz w:val="20"/>
          <w:szCs w:val="20"/>
          <w:color w:val="auto"/>
        </w:rPr>
      </w:pPr>
      <w:r>
        <w:rPr>
          <w:rFonts w:ascii="Arial" w:cs="Arial" w:eastAsia="Arial" w:hAnsi="Arial"/>
          <w:sz w:val="18"/>
          <w:szCs w:val="18"/>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364" w:lineRule="exact"/>
        <w:rPr>
          <w:sz w:val="20"/>
          <w:szCs w:val="20"/>
          <w:color w:val="auto"/>
        </w:rPr>
      </w:pPr>
    </w:p>
    <w:p>
      <w:pPr>
        <w:ind w:left="340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2157730</wp:posOffset>
            </wp:positionH>
            <wp:positionV relativeFrom="paragraph">
              <wp:posOffset>14605</wp:posOffset>
            </wp:positionV>
            <wp:extent cx="1071880" cy="4718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0"/>
        <w:spacing w:after="0"/>
        <w:rPr>
          <w:sz w:val="20"/>
          <w:szCs w:val="20"/>
          <w:color w:val="auto"/>
        </w:rPr>
      </w:pPr>
      <w:r>
        <w:rPr>
          <w:rFonts w:ascii="Arial" w:cs="Arial" w:eastAsia="Arial" w:hAnsi="Arial"/>
          <w:sz w:val="18"/>
          <w:szCs w:val="18"/>
          <w:color w:val="auto"/>
        </w:rPr>
        <w:t>WEILI DAI</w:t>
      </w:r>
    </w:p>
    <w:p>
      <w:pPr>
        <w:spacing w:after="0" w:line="23" w:lineRule="exact"/>
        <w:rPr>
          <w:sz w:val="20"/>
          <w:szCs w:val="20"/>
          <w:color w:val="auto"/>
        </w:rPr>
      </w:pPr>
    </w:p>
    <w:p>
      <w:pPr>
        <w:ind w:left="3400"/>
        <w:spacing w:after="0"/>
        <w:rPr>
          <w:sz w:val="20"/>
          <w:szCs w:val="20"/>
          <w:color w:val="auto"/>
        </w:rPr>
      </w:pPr>
      <w:r>
        <w:rPr>
          <w:rFonts w:ascii="Arial" w:cs="Arial" w:eastAsia="Arial" w:hAnsi="Arial"/>
          <w:sz w:val="18"/>
          <w:szCs w:val="18"/>
          <w:i w:val="1"/>
          <w:iCs w:val="1"/>
          <w:color w:val="auto"/>
        </w:rPr>
        <w:t>Secretary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April 26, 2004</w:t>
      </w:r>
    </w:p>
    <w:p>
      <w:pPr>
        <w:spacing w:after="0" w:line="180"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PLEASE SIGN, DATE AND RETURN THE ENCLOSED PROXY CARD PROMPTLY.</w:t>
      </w:r>
    </w:p>
    <w:p>
      <w:pPr>
        <w:spacing w:after="0" w:line="185"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NO POSTAGE IS REQUIRED IF MAILED IN THE UNITED STATES.</w:t>
      </w:r>
    </w:p>
    <w:p>
      <w:pPr>
        <w:spacing w:after="0" w:line="27" w:lineRule="exact"/>
        <w:rPr>
          <w:sz w:val="20"/>
          <w:szCs w:val="20"/>
          <w:color w:val="auto"/>
        </w:rPr>
      </w:pPr>
    </w:p>
    <w:p>
      <w:pPr>
        <w:jc w:val="center"/>
        <w:ind w:left="280" w:right="180"/>
        <w:spacing w:after="0" w:line="261" w:lineRule="auto"/>
        <w:rPr>
          <w:sz w:val="20"/>
          <w:szCs w:val="20"/>
          <w:color w:val="auto"/>
        </w:rPr>
      </w:pPr>
      <w:r>
        <w:rPr>
          <w:rFonts w:ascii="Arial" w:cs="Arial" w:eastAsia="Arial" w:hAnsi="Arial"/>
          <w:sz w:val="18"/>
          <w:szCs w:val="18"/>
          <w:color w:val="auto"/>
        </w:rPr>
        <w:t>If you have any questions, or have any difficulty voting your shares, please contact Matthew Gloss, Esq., Vice President of Business Affairs and General Counsel of Marvell Semiconductor, Inc.,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372110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10"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1680" w:type="dxa"/>
            <w:vAlign w:val="bottom"/>
          </w:tcPr>
          <w:p>
            <w:pPr>
              <w:spacing w:after="0"/>
              <w:rPr>
                <w:sz w:val="16"/>
                <w:szCs w:val="16"/>
                <w:color w:val="auto"/>
              </w:rPr>
            </w:pPr>
          </w:p>
        </w:tc>
        <w:tc>
          <w:tcPr>
            <w:tcW w:w="1640" w:type="dxa"/>
            <w:vAlign w:val="bottom"/>
          </w:tcPr>
          <w:p>
            <w:pPr>
              <w:spacing w:after="0"/>
              <w:rPr>
                <w:sz w:val="16"/>
                <w:szCs w:val="16"/>
                <w:color w:val="auto"/>
              </w:rPr>
            </w:pPr>
          </w:p>
        </w:tc>
        <w:tc>
          <w:tcPr>
            <w:tcW w:w="1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242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95"/>
              </w:rPr>
              <w:t>Page</w:t>
            </w:r>
          </w:p>
        </w:tc>
        <w:tc>
          <w:tcPr>
            <w:tcW w:w="0" w:type="dxa"/>
            <w:vAlign w:val="bottom"/>
          </w:tcPr>
          <w:p>
            <w:pPr>
              <w:spacing w:after="0"/>
              <w:rPr>
                <w:sz w:val="1"/>
                <w:szCs w:val="1"/>
                <w:color w:val="auto"/>
              </w:rPr>
            </w:pPr>
          </w:p>
        </w:tc>
      </w:tr>
      <w:tr>
        <w:trPr>
          <w:trHeight w:val="53"/>
        </w:trPr>
        <w:tc>
          <w:tcPr>
            <w:tcW w:w="10440" w:type="dxa"/>
            <w:vAlign w:val="bottom"/>
            <w:gridSpan w:val="7"/>
            <w:vMerge w:val="restart"/>
          </w:tcPr>
          <w:p>
            <w:pPr>
              <w:spacing w:after="0"/>
              <w:rPr>
                <w:sz w:val="20"/>
                <w:szCs w:val="20"/>
                <w:color w:val="auto"/>
              </w:rPr>
            </w:pPr>
            <w:r>
              <w:rPr>
                <w:rFonts w:ascii="Arial" w:cs="Arial" w:eastAsia="Arial" w:hAnsi="Arial"/>
                <w:sz w:val="18"/>
                <w:szCs w:val="18"/>
                <w:color w:val="auto"/>
              </w:rPr>
              <w:t>Notice of Annual General Meeting of Shareholders</w:t>
            </w:r>
          </w:p>
        </w:tc>
        <w:tc>
          <w:tcPr>
            <w:tcW w:w="4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91"/>
        </w:trPr>
        <w:tc>
          <w:tcPr>
            <w:tcW w:w="10440" w:type="dxa"/>
            <w:vAlign w:val="bottom"/>
            <w:gridSpan w:val="7"/>
            <w:vMerge w:val="continue"/>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0440" w:type="dxa"/>
            <w:vAlign w:val="bottom"/>
            <w:gridSpan w:val="7"/>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PROXY STATEMENT</w:t>
              </w:r>
            </w:hyperlink>
          </w:p>
        </w:tc>
        <w:tc>
          <w:tcPr>
            <w:tcW w:w="400" w:type="dxa"/>
            <w:vAlign w:val="bottom"/>
          </w:tcPr>
          <w:p>
            <w:pPr>
              <w:jc w:val="right"/>
              <w:ind w:right="33"/>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680" w:type="dxa"/>
            <w:vAlign w:val="bottom"/>
            <w:shd w:val="clear" w:color="auto" w:fill="0000EE"/>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3320" w:type="dxa"/>
            <w:vAlign w:val="bottom"/>
            <w:tcBorders>
              <w:bottom w:val="single" w:sz="8" w:color="0000EE"/>
            </w:tcBorders>
            <w:gridSpan w:val="2"/>
          </w:tcPr>
          <w:p>
            <w:pPr>
              <w:spacing w:after="0"/>
              <w:rPr>
                <w:rFonts w:ascii="Arial" w:cs="Arial" w:eastAsia="Arial" w:hAnsi="Arial"/>
                <w:sz w:val="18"/>
                <w:szCs w:val="18"/>
                <w:color w:val="0000EE"/>
                <w:w w:val="92"/>
              </w:rPr>
            </w:pPr>
            <w:hyperlink w:anchor="page9">
              <w:r>
                <w:rPr>
                  <w:rFonts w:ascii="Arial" w:cs="Arial" w:eastAsia="Arial" w:hAnsi="Arial"/>
                  <w:sz w:val="18"/>
                  <w:szCs w:val="18"/>
                  <w:color w:val="0000EE"/>
                  <w:w w:val="92"/>
                </w:rPr>
                <w:t>Proposal No. 1 ELECTION OF DIRECTORS</w:t>
              </w:r>
            </w:hyperlink>
          </w:p>
        </w:tc>
        <w:tc>
          <w:tcPr>
            <w:tcW w:w="7120" w:type="dxa"/>
            <w:vAlign w:val="bottom"/>
            <w:gridSpan w:val="5"/>
          </w:tcPr>
          <w:p>
            <w:pPr>
              <w:spacing w:after="0"/>
              <w:rPr>
                <w:sz w:val="24"/>
                <w:szCs w:val="24"/>
                <w:color w:val="auto"/>
              </w:rPr>
            </w:pPr>
          </w:p>
        </w:tc>
        <w:tc>
          <w:tcPr>
            <w:tcW w:w="400" w:type="dxa"/>
            <w:vAlign w:val="bottom"/>
          </w:tcPr>
          <w:p>
            <w:pPr>
              <w:jc w:val="right"/>
              <w:ind w:right="33"/>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412"/>
        </w:trPr>
        <w:tc>
          <w:tcPr>
            <w:tcW w:w="5200" w:type="dxa"/>
            <w:vAlign w:val="bottom"/>
            <w:tcBorders>
              <w:bottom w:val="single" w:sz="8" w:color="0000EE"/>
            </w:tcBorders>
            <w:gridSpan w:val="3"/>
          </w:tcPr>
          <w:p>
            <w:pPr>
              <w:spacing w:after="0"/>
              <w:rPr>
                <w:rFonts w:ascii="Arial" w:cs="Arial" w:eastAsia="Arial" w:hAnsi="Arial"/>
                <w:sz w:val="18"/>
                <w:szCs w:val="18"/>
                <w:color w:val="0000EE"/>
                <w:w w:val="94"/>
              </w:rPr>
            </w:pPr>
            <w:hyperlink w:anchor="page11">
              <w:r>
                <w:rPr>
                  <w:rFonts w:ascii="Arial" w:cs="Arial" w:eastAsia="Arial" w:hAnsi="Arial"/>
                  <w:sz w:val="18"/>
                  <w:szCs w:val="18"/>
                  <w:color w:val="0000EE"/>
                  <w:w w:val="94"/>
                </w:rPr>
                <w:t>Proposal No. 2 RE-APPOINTMENT OF INDEPENDENT AUDITORS</w:t>
              </w:r>
            </w:hyperlink>
          </w:p>
        </w:tc>
        <w:tc>
          <w:tcPr>
            <w:tcW w:w="5240" w:type="dxa"/>
            <w:vAlign w:val="bottom"/>
            <w:gridSpan w:val="4"/>
          </w:tcPr>
          <w:p>
            <w:pPr>
              <w:spacing w:after="0"/>
              <w:rPr>
                <w:sz w:val="24"/>
                <w:szCs w:val="24"/>
                <w:color w:val="auto"/>
              </w:rPr>
            </w:pPr>
          </w:p>
        </w:tc>
        <w:tc>
          <w:tcPr>
            <w:tcW w:w="400" w:type="dxa"/>
            <w:vAlign w:val="bottom"/>
          </w:tcPr>
          <w:p>
            <w:pPr>
              <w:jc w:val="right"/>
              <w:ind w:right="33"/>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412"/>
        </w:trPr>
        <w:tc>
          <w:tcPr>
            <w:tcW w:w="10440" w:type="dxa"/>
            <w:vAlign w:val="bottom"/>
            <w:gridSpan w:val="7"/>
          </w:tcPr>
          <w:p>
            <w:pPr>
              <w:spacing w:after="0"/>
              <w:rPr>
                <w:rFonts w:ascii="Arial" w:cs="Arial" w:eastAsia="Arial" w:hAnsi="Arial"/>
                <w:sz w:val="18"/>
                <w:szCs w:val="18"/>
                <w:color w:val="0000EE"/>
              </w:rPr>
            </w:pPr>
            <w:hyperlink w:anchor="page11">
              <w:r>
                <w:rPr>
                  <w:rFonts w:ascii="Arial" w:cs="Arial" w:eastAsia="Arial" w:hAnsi="Arial"/>
                  <w:sz w:val="18"/>
                  <w:szCs w:val="18"/>
                  <w:color w:val="0000EE"/>
                </w:rPr>
                <w:t>Proposal No. 3 AUTHORIZE THE BOARD OF DIRECTORS TO FIX THE AUDITORS’ REMUNERATION</w:t>
              </w:r>
            </w:hyperlink>
          </w:p>
        </w:tc>
        <w:tc>
          <w:tcPr>
            <w:tcW w:w="400" w:type="dxa"/>
            <w:vAlign w:val="bottom"/>
          </w:tcPr>
          <w:p>
            <w:pPr>
              <w:jc w:val="right"/>
              <w:ind w:right="33"/>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412"/>
        </w:trPr>
        <w:tc>
          <w:tcPr>
            <w:tcW w:w="616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94"/>
              </w:rPr>
            </w:pPr>
            <w:hyperlink w:anchor="page12">
              <w:r>
                <w:rPr>
                  <w:rFonts w:ascii="Arial" w:cs="Arial" w:eastAsia="Arial" w:hAnsi="Arial"/>
                  <w:sz w:val="18"/>
                  <w:szCs w:val="18"/>
                  <w:color w:val="0000EE"/>
                  <w:w w:val="94"/>
                </w:rPr>
                <w:t>Proposal No. 4 APPROVAL OF INCREASE OF AUTHORIZED SHARE CAPITAL</w:t>
              </w:r>
            </w:hyperlink>
          </w:p>
        </w:tc>
        <w:tc>
          <w:tcPr>
            <w:tcW w:w="1860" w:type="dxa"/>
            <w:vAlign w:val="bottom"/>
            <w:tcBorders>
              <w:top w:val="single" w:sz="8" w:color="0000EE"/>
            </w:tcBorders>
            <w:gridSpan w:val="2"/>
          </w:tcPr>
          <w:p>
            <w:pPr>
              <w:spacing w:after="0"/>
              <w:rPr>
                <w:sz w:val="24"/>
                <w:szCs w:val="24"/>
                <w:color w:val="auto"/>
              </w:rPr>
            </w:pPr>
          </w:p>
        </w:tc>
        <w:tc>
          <w:tcPr>
            <w:tcW w:w="2420" w:type="dxa"/>
            <w:vAlign w:val="bottom"/>
          </w:tcPr>
          <w:p>
            <w:pPr>
              <w:spacing w:after="0"/>
              <w:rPr>
                <w:sz w:val="24"/>
                <w:szCs w:val="24"/>
                <w:color w:val="auto"/>
              </w:rPr>
            </w:pPr>
          </w:p>
        </w:tc>
        <w:tc>
          <w:tcPr>
            <w:tcW w:w="400" w:type="dxa"/>
            <w:vAlign w:val="bottom"/>
          </w:tcPr>
          <w:p>
            <w:pPr>
              <w:jc w:val="right"/>
              <w:ind w:right="33"/>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412"/>
        </w:trPr>
        <w:tc>
          <w:tcPr>
            <w:tcW w:w="10440" w:type="dxa"/>
            <w:vAlign w:val="bottom"/>
            <w:gridSpan w:val="7"/>
          </w:tcPr>
          <w:p>
            <w:pPr>
              <w:spacing w:after="0"/>
              <w:rPr>
                <w:rFonts w:ascii="Arial" w:cs="Arial" w:eastAsia="Arial" w:hAnsi="Arial"/>
                <w:sz w:val="18"/>
                <w:szCs w:val="18"/>
                <w:color w:val="0000EE"/>
              </w:rPr>
            </w:pPr>
            <w:hyperlink w:anchor="page14">
              <w:r>
                <w:rPr>
                  <w:rFonts w:ascii="Arial" w:cs="Arial" w:eastAsia="Arial" w:hAnsi="Arial"/>
                  <w:sz w:val="18"/>
                  <w:szCs w:val="18"/>
                  <w:color w:val="0000EE"/>
                </w:rPr>
                <w:t>SECURITY OWNERSHIP OF CERTAIN BENEFICIAL OWNERS AND MANAGEMENT</w:t>
              </w:r>
            </w:hyperlink>
          </w:p>
        </w:tc>
        <w:tc>
          <w:tcPr>
            <w:tcW w:w="400" w:type="dxa"/>
            <w:vAlign w:val="bottom"/>
          </w:tcPr>
          <w:p>
            <w:pPr>
              <w:jc w:val="right"/>
              <w:ind w:right="33"/>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1680" w:type="dxa"/>
            <w:vAlign w:val="bottom"/>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1880" w:type="dxa"/>
            <w:vAlign w:val="bottom"/>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00"/>
          </w:cols>
          <w:pgMar w:left="240" w:top="419" w:right="259" w:bottom="0" w:gutter="0" w:footer="0" w:header="0"/>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00" w:type="dxa"/>
            <w:vAlign w:val="bottom"/>
          </w:tcPr>
          <w:p>
            <w:pPr>
              <w:spacing w:after="0"/>
              <w:rPr>
                <w:sz w:val="17"/>
                <w:szCs w:val="17"/>
                <w:color w:val="auto"/>
              </w:rPr>
            </w:pPr>
          </w:p>
        </w:tc>
        <w:tc>
          <w:tcPr>
            <w:tcW w:w="9440" w:type="dxa"/>
            <w:vAlign w:val="bottom"/>
            <w:gridSpan w:val="14"/>
          </w:tcPr>
          <w:p>
            <w:pPr>
              <w:spacing w:after="0"/>
              <w:rPr>
                <w:rFonts w:ascii="Arial" w:cs="Arial" w:eastAsia="Arial" w:hAnsi="Arial"/>
                <w:sz w:val="18"/>
                <w:szCs w:val="18"/>
                <w:color w:val="0000EE"/>
              </w:rPr>
            </w:pPr>
            <w:hyperlink w:anchor="page17">
              <w:r>
                <w:rPr>
                  <w:rFonts w:ascii="Arial" w:cs="Arial" w:eastAsia="Arial" w:hAnsi="Arial"/>
                  <w:sz w:val="18"/>
                  <w:szCs w:val="18"/>
                  <w:color w:val="0000EE"/>
                </w:rPr>
                <w:t>BOARD OF DIRECTORS AND COMMITTEES OF THE BOARD</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12</w:t>
            </w:r>
          </w:p>
        </w:tc>
      </w:tr>
      <w:tr>
        <w:trPr>
          <w:trHeight w:val="20"/>
        </w:trPr>
        <w:tc>
          <w:tcPr>
            <w:tcW w:w="300" w:type="dxa"/>
            <w:vAlign w:val="bottom"/>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980" w:type="dxa"/>
            <w:vAlign w:val="bottom"/>
            <w:shd w:val="clear" w:color="auto" w:fill="0000EE"/>
          </w:tcPr>
          <w:p>
            <w:pPr>
              <w:spacing w:after="0" w:line="20" w:lineRule="exact"/>
              <w:rPr>
                <w:sz w:val="1"/>
                <w:szCs w:val="1"/>
                <w:color w:val="auto"/>
              </w:rPr>
            </w:pPr>
          </w:p>
        </w:tc>
        <w:tc>
          <w:tcPr>
            <w:tcW w:w="380" w:type="dxa"/>
            <w:vAlign w:val="bottom"/>
            <w:tcBorders>
              <w:righ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12"/>
        </w:trPr>
        <w:tc>
          <w:tcPr>
            <w:tcW w:w="300" w:type="dxa"/>
            <w:vAlign w:val="bottom"/>
          </w:tcPr>
          <w:p>
            <w:pPr>
              <w:spacing w:after="0"/>
              <w:rPr>
                <w:sz w:val="24"/>
                <w:szCs w:val="24"/>
                <w:color w:val="auto"/>
              </w:rPr>
            </w:pPr>
          </w:p>
        </w:tc>
        <w:tc>
          <w:tcPr>
            <w:tcW w:w="7260" w:type="dxa"/>
            <w:vAlign w:val="bottom"/>
            <w:tcBorders>
              <w:bottom w:val="single" w:sz="8" w:color="0000EE"/>
            </w:tcBorders>
            <w:gridSpan w:val="11"/>
          </w:tcPr>
          <w:p>
            <w:pPr>
              <w:spacing w:after="0"/>
              <w:rPr>
                <w:rFonts w:ascii="Arial" w:cs="Arial" w:eastAsia="Arial" w:hAnsi="Arial"/>
                <w:sz w:val="18"/>
                <w:szCs w:val="18"/>
                <w:color w:val="0000EE"/>
                <w:w w:val="96"/>
              </w:rPr>
            </w:pPr>
            <w:hyperlink w:anchor="page19">
              <w:r>
                <w:rPr>
                  <w:rFonts w:ascii="Arial" w:cs="Arial" w:eastAsia="Arial" w:hAnsi="Arial"/>
                  <w:sz w:val="18"/>
                  <w:szCs w:val="18"/>
                  <w:color w:val="0000EE"/>
                  <w:w w:val="96"/>
                </w:rPr>
                <w:t>EXECUTIVE COMPENSATION COMMITTEE INTERLOCKS AND INSIDER PARTICIPATION</w:t>
              </w:r>
            </w:hyperlink>
          </w:p>
        </w:tc>
        <w:tc>
          <w:tcPr>
            <w:tcW w:w="2180" w:type="dxa"/>
            <w:vAlign w:val="bottom"/>
            <w:gridSpan w:val="3"/>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14</w:t>
            </w:r>
          </w:p>
        </w:tc>
      </w:tr>
      <w:tr>
        <w:trPr>
          <w:trHeight w:val="412"/>
        </w:trPr>
        <w:tc>
          <w:tcPr>
            <w:tcW w:w="300" w:type="dxa"/>
            <w:vAlign w:val="bottom"/>
          </w:tcPr>
          <w:p>
            <w:pPr>
              <w:spacing w:after="0"/>
              <w:rPr>
                <w:sz w:val="24"/>
                <w:szCs w:val="24"/>
                <w:color w:val="auto"/>
              </w:rPr>
            </w:pPr>
          </w:p>
        </w:tc>
        <w:tc>
          <w:tcPr>
            <w:tcW w:w="9440" w:type="dxa"/>
            <w:vAlign w:val="bottom"/>
            <w:gridSpan w:val="14"/>
          </w:tcPr>
          <w:p>
            <w:pPr>
              <w:spacing w:after="0"/>
              <w:rPr>
                <w:rFonts w:ascii="Arial" w:cs="Arial" w:eastAsia="Arial" w:hAnsi="Arial"/>
                <w:sz w:val="18"/>
                <w:szCs w:val="18"/>
                <w:color w:val="0000EE"/>
              </w:rPr>
            </w:pPr>
            <w:hyperlink w:anchor="page20">
              <w:r>
                <w:rPr>
                  <w:rFonts w:ascii="Arial" w:cs="Arial" w:eastAsia="Arial" w:hAnsi="Arial"/>
                  <w:sz w:val="18"/>
                  <w:szCs w:val="18"/>
                  <w:color w:val="0000EE"/>
                </w:rPr>
                <w:t>EXECUTIVE COMPENSATION</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15</w:t>
            </w:r>
          </w:p>
        </w:tc>
      </w:tr>
      <w:tr>
        <w:trPr>
          <w:trHeight w:val="20"/>
        </w:trPr>
        <w:tc>
          <w:tcPr>
            <w:tcW w:w="300" w:type="dxa"/>
            <w:vAlign w:val="bottom"/>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980" w:type="dxa"/>
            <w:vAlign w:val="bottom"/>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12"/>
        </w:trPr>
        <w:tc>
          <w:tcPr>
            <w:tcW w:w="300" w:type="dxa"/>
            <w:vAlign w:val="bottom"/>
          </w:tcPr>
          <w:p>
            <w:pPr>
              <w:spacing w:after="0"/>
              <w:rPr>
                <w:sz w:val="24"/>
                <w:szCs w:val="24"/>
                <w:color w:val="auto"/>
              </w:rPr>
            </w:pPr>
          </w:p>
        </w:tc>
        <w:tc>
          <w:tcPr>
            <w:tcW w:w="3360" w:type="dxa"/>
            <w:vAlign w:val="bottom"/>
            <w:tcBorders>
              <w:bottom w:val="single" w:sz="8" w:color="0000EE"/>
            </w:tcBorders>
            <w:gridSpan w:val="6"/>
          </w:tcPr>
          <w:p>
            <w:pPr>
              <w:spacing w:after="0"/>
              <w:rPr>
                <w:rFonts w:ascii="Arial" w:cs="Arial" w:eastAsia="Arial" w:hAnsi="Arial"/>
                <w:sz w:val="18"/>
                <w:szCs w:val="18"/>
                <w:color w:val="0000EE"/>
                <w:w w:val="97"/>
              </w:rPr>
            </w:pPr>
            <w:hyperlink w:anchor="page21">
              <w:r>
                <w:rPr>
                  <w:rFonts w:ascii="Arial" w:cs="Arial" w:eastAsia="Arial" w:hAnsi="Arial"/>
                  <w:sz w:val="18"/>
                  <w:szCs w:val="18"/>
                  <w:color w:val="0000EE"/>
                  <w:w w:val="97"/>
                </w:rPr>
                <w:t>OPTION GRANTS IN LAST FISCAL YEAR</w:t>
              </w:r>
            </w:hyperlink>
          </w:p>
        </w:tc>
        <w:tc>
          <w:tcPr>
            <w:tcW w:w="6080" w:type="dxa"/>
            <w:vAlign w:val="bottom"/>
            <w:gridSpan w:val="8"/>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16</w:t>
            </w:r>
          </w:p>
        </w:tc>
      </w:tr>
      <w:tr>
        <w:trPr>
          <w:trHeight w:val="412"/>
        </w:trPr>
        <w:tc>
          <w:tcPr>
            <w:tcW w:w="300" w:type="dxa"/>
            <w:vAlign w:val="bottom"/>
          </w:tcPr>
          <w:p>
            <w:pPr>
              <w:spacing w:after="0"/>
              <w:rPr>
                <w:sz w:val="24"/>
                <w:szCs w:val="24"/>
                <w:color w:val="auto"/>
              </w:rPr>
            </w:pPr>
          </w:p>
        </w:tc>
        <w:tc>
          <w:tcPr>
            <w:tcW w:w="8360" w:type="dxa"/>
            <w:vAlign w:val="bottom"/>
            <w:tcBorders>
              <w:bottom w:val="single" w:sz="8" w:color="0000EE"/>
            </w:tcBorders>
            <w:gridSpan w:val="13"/>
          </w:tcPr>
          <w:p>
            <w:pPr>
              <w:spacing w:after="0"/>
              <w:rPr>
                <w:rFonts w:ascii="Arial" w:cs="Arial" w:eastAsia="Arial" w:hAnsi="Arial"/>
                <w:sz w:val="18"/>
                <w:szCs w:val="18"/>
                <w:color w:val="0000EE"/>
                <w:w w:val="96"/>
              </w:rPr>
            </w:pPr>
            <w:hyperlink w:anchor="page22">
              <w:r>
                <w:rPr>
                  <w:rFonts w:ascii="Arial" w:cs="Arial" w:eastAsia="Arial" w:hAnsi="Arial"/>
                  <w:sz w:val="18"/>
                  <w:szCs w:val="18"/>
                  <w:color w:val="0000EE"/>
                  <w:w w:val="96"/>
                </w:rPr>
                <w:t>AGGREGATED OPTION EXERCISES IN LAST FISCAL YEAR AND FISCAL YEAR-END OPTION VALUES</w:t>
              </w:r>
            </w:hyperlink>
          </w:p>
        </w:tc>
        <w:tc>
          <w:tcPr>
            <w:tcW w:w="1080" w:type="dxa"/>
            <w:vAlign w:val="bottom"/>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17</w:t>
            </w:r>
          </w:p>
        </w:tc>
      </w:tr>
      <w:tr>
        <w:trPr>
          <w:trHeight w:val="412"/>
        </w:trPr>
        <w:tc>
          <w:tcPr>
            <w:tcW w:w="300" w:type="dxa"/>
            <w:vAlign w:val="bottom"/>
          </w:tcPr>
          <w:p>
            <w:pPr>
              <w:spacing w:after="0"/>
              <w:rPr>
                <w:sz w:val="24"/>
                <w:szCs w:val="24"/>
                <w:color w:val="auto"/>
              </w:rPr>
            </w:pPr>
          </w:p>
        </w:tc>
        <w:tc>
          <w:tcPr>
            <w:tcW w:w="9440" w:type="dxa"/>
            <w:vAlign w:val="bottom"/>
            <w:gridSpan w:val="14"/>
          </w:tcPr>
          <w:p>
            <w:pPr>
              <w:spacing w:after="0"/>
              <w:rPr>
                <w:rFonts w:ascii="Arial" w:cs="Arial" w:eastAsia="Arial" w:hAnsi="Arial"/>
                <w:sz w:val="18"/>
                <w:szCs w:val="18"/>
                <w:color w:val="0000EE"/>
              </w:rPr>
            </w:pPr>
            <w:hyperlink w:anchor="page22">
              <w:r>
                <w:rPr>
                  <w:rFonts w:ascii="Arial" w:cs="Arial" w:eastAsia="Arial" w:hAnsi="Arial"/>
                  <w:sz w:val="18"/>
                  <w:szCs w:val="18"/>
                  <w:color w:val="0000EE"/>
                </w:rPr>
                <w:t>JOINT REPORT OF THE EXECUTIVE COMPENSATION AND STOCK OPTION COMMITTEES</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17</w:t>
            </w:r>
          </w:p>
        </w:tc>
      </w:tr>
      <w:tr>
        <w:trPr>
          <w:trHeight w:val="412"/>
        </w:trPr>
        <w:tc>
          <w:tcPr>
            <w:tcW w:w="300" w:type="dxa"/>
            <w:vAlign w:val="bottom"/>
          </w:tcPr>
          <w:p>
            <w:pPr>
              <w:spacing w:after="0"/>
              <w:rPr>
                <w:sz w:val="24"/>
                <w:szCs w:val="24"/>
                <w:color w:val="auto"/>
              </w:rPr>
            </w:pPr>
          </w:p>
        </w:tc>
        <w:tc>
          <w:tcPr>
            <w:tcW w:w="7360" w:type="dxa"/>
            <w:vAlign w:val="bottom"/>
            <w:tcBorders>
              <w:top w:val="single" w:sz="8" w:color="0000EE"/>
            </w:tcBorders>
            <w:gridSpan w:val="12"/>
          </w:tcPr>
          <w:p>
            <w:pPr>
              <w:spacing w:after="0"/>
              <w:rPr>
                <w:rFonts w:ascii="Arial" w:cs="Arial" w:eastAsia="Arial" w:hAnsi="Arial"/>
                <w:sz w:val="18"/>
                <w:szCs w:val="18"/>
                <w:color w:val="0000EE"/>
              </w:rPr>
            </w:pPr>
            <w:hyperlink w:anchor="page25">
              <w:r>
                <w:rPr>
                  <w:rFonts w:ascii="Arial" w:cs="Arial" w:eastAsia="Arial" w:hAnsi="Arial"/>
                  <w:sz w:val="18"/>
                  <w:szCs w:val="18"/>
                  <w:color w:val="0000EE"/>
                </w:rPr>
                <w:t>REPORT OF THE AUDIT COMMITTEE</w:t>
              </w:r>
            </w:hyperlink>
          </w:p>
        </w:tc>
        <w:tc>
          <w:tcPr>
            <w:tcW w:w="2080" w:type="dxa"/>
            <w:vAlign w:val="bottom"/>
            <w:gridSpan w:val="2"/>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20</w:t>
            </w:r>
          </w:p>
        </w:tc>
      </w:tr>
      <w:tr>
        <w:trPr>
          <w:trHeight w:val="20"/>
        </w:trPr>
        <w:tc>
          <w:tcPr>
            <w:tcW w:w="300" w:type="dxa"/>
            <w:vAlign w:val="bottom"/>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1360" w:type="dxa"/>
            <w:vAlign w:val="bottom"/>
            <w:tcBorders>
              <w:right w:val="single" w:sz="8" w:color="0000EE"/>
            </w:tcBorders>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320" w:type="dxa"/>
            <w:vAlign w:val="bottom"/>
            <w:gridSpan w:val="4"/>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12"/>
        </w:trPr>
        <w:tc>
          <w:tcPr>
            <w:tcW w:w="300" w:type="dxa"/>
            <w:vAlign w:val="bottom"/>
          </w:tcPr>
          <w:p>
            <w:pPr>
              <w:spacing w:after="0"/>
              <w:rPr>
                <w:sz w:val="24"/>
                <w:szCs w:val="24"/>
                <w:color w:val="auto"/>
              </w:rPr>
            </w:pPr>
          </w:p>
        </w:tc>
        <w:tc>
          <w:tcPr>
            <w:tcW w:w="9440" w:type="dxa"/>
            <w:vAlign w:val="bottom"/>
            <w:gridSpan w:val="14"/>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INFORMATION CONCERNING INDEPENDENT AUDITORS</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21</w:t>
            </w:r>
          </w:p>
        </w:tc>
      </w:tr>
      <w:tr>
        <w:trPr>
          <w:trHeight w:val="412"/>
        </w:trPr>
        <w:tc>
          <w:tcPr>
            <w:tcW w:w="300" w:type="dxa"/>
            <w:vAlign w:val="bottom"/>
          </w:tcPr>
          <w:p>
            <w:pPr>
              <w:spacing w:after="0"/>
              <w:rPr>
                <w:sz w:val="24"/>
                <w:szCs w:val="24"/>
                <w:color w:val="auto"/>
              </w:rPr>
            </w:pPr>
          </w:p>
        </w:tc>
        <w:tc>
          <w:tcPr>
            <w:tcW w:w="318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94"/>
              </w:rPr>
            </w:pPr>
            <w:hyperlink w:anchor="page27">
              <w:r>
                <w:rPr>
                  <w:rFonts w:ascii="Arial" w:cs="Arial" w:eastAsia="Arial" w:hAnsi="Arial"/>
                  <w:sz w:val="18"/>
                  <w:szCs w:val="18"/>
                  <w:color w:val="0000EE"/>
                  <w:w w:val="94"/>
                </w:rPr>
                <w:t>STOCK PRICE PERFORMANCE GRAPH</w:t>
              </w:r>
            </w:hyperlink>
          </w:p>
        </w:tc>
        <w:tc>
          <w:tcPr>
            <w:tcW w:w="1520" w:type="dxa"/>
            <w:vAlign w:val="bottom"/>
            <w:tcBorders>
              <w:top w:val="single" w:sz="8" w:color="0000EE"/>
            </w:tcBorders>
            <w:gridSpan w:val="2"/>
          </w:tcPr>
          <w:p>
            <w:pPr>
              <w:spacing w:after="0"/>
              <w:rPr>
                <w:sz w:val="24"/>
                <w:szCs w:val="24"/>
                <w:color w:val="auto"/>
              </w:rPr>
            </w:pPr>
          </w:p>
        </w:tc>
        <w:tc>
          <w:tcPr>
            <w:tcW w:w="4740" w:type="dxa"/>
            <w:vAlign w:val="bottom"/>
            <w:gridSpan w:val="7"/>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22</w:t>
            </w:r>
          </w:p>
        </w:tc>
      </w:tr>
      <w:tr>
        <w:trPr>
          <w:trHeight w:val="412"/>
        </w:trPr>
        <w:tc>
          <w:tcPr>
            <w:tcW w:w="300" w:type="dxa"/>
            <w:vAlign w:val="bottom"/>
          </w:tcPr>
          <w:p>
            <w:pPr>
              <w:spacing w:after="0"/>
              <w:rPr>
                <w:sz w:val="24"/>
                <w:szCs w:val="24"/>
                <w:color w:val="auto"/>
              </w:rPr>
            </w:pPr>
          </w:p>
        </w:tc>
        <w:tc>
          <w:tcPr>
            <w:tcW w:w="9440" w:type="dxa"/>
            <w:vAlign w:val="bottom"/>
            <w:gridSpan w:val="14"/>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RELATED PARTY TRANSACTIONS</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23</w:t>
            </w:r>
          </w:p>
        </w:tc>
      </w:tr>
      <w:tr>
        <w:trPr>
          <w:trHeight w:val="20"/>
        </w:trPr>
        <w:tc>
          <w:tcPr>
            <w:tcW w:w="300" w:type="dxa"/>
            <w:vAlign w:val="bottom"/>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1360" w:type="dxa"/>
            <w:vAlign w:val="bottom"/>
            <w:tcBorders>
              <w:right w:val="single" w:sz="8" w:color="0000EE"/>
            </w:tcBorders>
            <w:gridSpan w:val="2"/>
            <w:shd w:val="clear" w:color="auto" w:fill="0000EE"/>
          </w:tcPr>
          <w:p>
            <w:pPr>
              <w:spacing w:after="0" w:line="20" w:lineRule="exact"/>
              <w:rPr>
                <w:sz w:val="1"/>
                <w:szCs w:val="1"/>
                <w:color w:val="auto"/>
              </w:rPr>
            </w:pPr>
          </w:p>
        </w:tc>
        <w:tc>
          <w:tcPr>
            <w:tcW w:w="2820" w:type="dxa"/>
            <w:vAlign w:val="bottom"/>
            <w:gridSpan w:val="6"/>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320" w:type="dxa"/>
            <w:vAlign w:val="bottom"/>
            <w:gridSpan w:val="4"/>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12"/>
        </w:trPr>
        <w:tc>
          <w:tcPr>
            <w:tcW w:w="300" w:type="dxa"/>
            <w:vAlign w:val="bottom"/>
          </w:tcPr>
          <w:p>
            <w:pPr>
              <w:spacing w:after="0"/>
              <w:rPr>
                <w:sz w:val="24"/>
                <w:szCs w:val="24"/>
                <w:color w:val="auto"/>
              </w:rPr>
            </w:pPr>
          </w:p>
        </w:tc>
        <w:tc>
          <w:tcPr>
            <w:tcW w:w="9440" w:type="dxa"/>
            <w:vAlign w:val="bottom"/>
            <w:gridSpan w:val="14"/>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SHAREHOLDER PROPOSALS FOR THE 2005 ANNUAL GENERAL MEETING</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23</w:t>
            </w:r>
          </w:p>
        </w:tc>
      </w:tr>
      <w:tr>
        <w:trPr>
          <w:trHeight w:val="412"/>
        </w:trPr>
        <w:tc>
          <w:tcPr>
            <w:tcW w:w="300" w:type="dxa"/>
            <w:vAlign w:val="bottom"/>
          </w:tcPr>
          <w:p>
            <w:pPr>
              <w:spacing w:after="0"/>
              <w:rPr>
                <w:sz w:val="24"/>
                <w:szCs w:val="24"/>
                <w:color w:val="auto"/>
              </w:rPr>
            </w:pPr>
          </w:p>
        </w:tc>
        <w:tc>
          <w:tcPr>
            <w:tcW w:w="6120" w:type="dxa"/>
            <w:vAlign w:val="bottom"/>
            <w:tcBorders>
              <w:top w:val="single" w:sz="8" w:color="0000EE"/>
            </w:tcBorders>
            <w:gridSpan w:val="10"/>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OTHER MATTERS</w:t>
              </w:r>
            </w:hyperlink>
          </w:p>
        </w:tc>
        <w:tc>
          <w:tcPr>
            <w:tcW w:w="3320" w:type="dxa"/>
            <w:vAlign w:val="bottom"/>
            <w:gridSpan w:val="4"/>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24</w:t>
            </w:r>
          </w:p>
        </w:tc>
      </w:tr>
      <w:tr>
        <w:trPr>
          <w:trHeight w:val="20"/>
        </w:trPr>
        <w:tc>
          <w:tcPr>
            <w:tcW w:w="300" w:type="dxa"/>
            <w:vAlign w:val="bottom"/>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1360" w:type="dxa"/>
            <w:vAlign w:val="bottom"/>
            <w:gridSpan w:val="2"/>
          </w:tcPr>
          <w:p>
            <w:pPr>
              <w:spacing w:after="0" w:line="20" w:lineRule="exact"/>
              <w:rPr>
                <w:sz w:val="1"/>
                <w:szCs w:val="1"/>
                <w:color w:val="auto"/>
              </w:rPr>
            </w:pPr>
          </w:p>
        </w:tc>
        <w:tc>
          <w:tcPr>
            <w:tcW w:w="2820" w:type="dxa"/>
            <w:vAlign w:val="bottom"/>
            <w:gridSpan w:val="6"/>
          </w:tcPr>
          <w:p>
            <w:pPr>
              <w:spacing w:after="0" w:line="20" w:lineRule="exact"/>
              <w:rPr>
                <w:sz w:val="1"/>
                <w:szCs w:val="1"/>
                <w:color w:val="auto"/>
              </w:rPr>
            </w:pPr>
          </w:p>
        </w:tc>
        <w:tc>
          <w:tcPr>
            <w:tcW w:w="3800" w:type="dxa"/>
            <w:vAlign w:val="bottom"/>
            <w:gridSpan w:val="5"/>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12"/>
        </w:trPr>
        <w:tc>
          <w:tcPr>
            <w:tcW w:w="300" w:type="dxa"/>
            <w:vAlign w:val="bottom"/>
          </w:tcPr>
          <w:p>
            <w:pPr>
              <w:spacing w:after="0"/>
              <w:rPr>
                <w:sz w:val="24"/>
                <w:szCs w:val="24"/>
                <w:color w:val="auto"/>
              </w:rPr>
            </w:pPr>
          </w:p>
        </w:tc>
        <w:tc>
          <w:tcPr>
            <w:tcW w:w="5640" w:type="dxa"/>
            <w:vAlign w:val="bottom"/>
            <w:tcBorders>
              <w:bottom w:val="single" w:sz="8" w:color="0000EE"/>
            </w:tcBorders>
            <w:gridSpan w:val="9"/>
          </w:tcPr>
          <w:p>
            <w:pPr>
              <w:spacing w:after="0"/>
              <w:rPr>
                <w:rFonts w:ascii="Arial" w:cs="Arial" w:eastAsia="Arial" w:hAnsi="Arial"/>
                <w:sz w:val="18"/>
                <w:szCs w:val="18"/>
                <w:color w:val="0000EE"/>
                <w:w w:val="95"/>
              </w:rPr>
            </w:pPr>
            <w:hyperlink w:anchor="page29">
              <w:r>
                <w:rPr>
                  <w:rFonts w:ascii="Arial" w:cs="Arial" w:eastAsia="Arial" w:hAnsi="Arial"/>
                  <w:sz w:val="18"/>
                  <w:szCs w:val="18"/>
                  <w:color w:val="0000EE"/>
                  <w:w w:val="95"/>
                </w:rPr>
                <w:t>SECTION 16(a) BENEFICIAL OWNERSHIP REPORTING COMPLIANCE</w:t>
              </w:r>
            </w:hyperlink>
          </w:p>
        </w:tc>
        <w:tc>
          <w:tcPr>
            <w:tcW w:w="3800" w:type="dxa"/>
            <w:vAlign w:val="bottom"/>
            <w:gridSpan w:val="5"/>
          </w:tcPr>
          <w:p>
            <w:pPr>
              <w:spacing w:after="0"/>
              <w:rPr>
                <w:sz w:val="24"/>
                <w:szCs w:val="24"/>
                <w:color w:val="auto"/>
              </w:rPr>
            </w:pPr>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24</w:t>
            </w:r>
          </w:p>
        </w:tc>
      </w:tr>
      <w:tr>
        <w:trPr>
          <w:trHeight w:val="412"/>
        </w:trPr>
        <w:tc>
          <w:tcPr>
            <w:tcW w:w="300" w:type="dxa"/>
            <w:vAlign w:val="bottom"/>
          </w:tcPr>
          <w:p>
            <w:pPr>
              <w:spacing w:after="0"/>
              <w:rPr>
                <w:sz w:val="24"/>
                <w:szCs w:val="24"/>
                <w:color w:val="auto"/>
              </w:rPr>
            </w:pPr>
          </w:p>
        </w:tc>
        <w:tc>
          <w:tcPr>
            <w:tcW w:w="9440" w:type="dxa"/>
            <w:vAlign w:val="bottom"/>
            <w:gridSpan w:val="14"/>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ANNUAL REPORT ON FORM 10-K</w:t>
              </w:r>
            </w:hyperlink>
          </w:p>
        </w:tc>
        <w:tc>
          <w:tcPr>
            <w:tcW w:w="1680" w:type="dxa"/>
            <w:vAlign w:val="bottom"/>
          </w:tcPr>
          <w:p>
            <w:pPr>
              <w:jc w:val="right"/>
              <w:ind w:right="310"/>
              <w:spacing w:after="0"/>
              <w:rPr>
                <w:sz w:val="20"/>
                <w:szCs w:val="20"/>
                <w:color w:val="auto"/>
              </w:rPr>
            </w:pPr>
            <w:r>
              <w:rPr>
                <w:rFonts w:ascii="Arial" w:cs="Arial" w:eastAsia="Arial" w:hAnsi="Arial"/>
                <w:sz w:val="18"/>
                <w:szCs w:val="18"/>
                <w:color w:val="auto"/>
              </w:rPr>
              <w:t>25</w:t>
            </w:r>
          </w:p>
        </w:tc>
      </w:tr>
      <w:tr>
        <w:trPr>
          <w:trHeight w:val="412"/>
        </w:trPr>
        <w:tc>
          <w:tcPr>
            <w:tcW w:w="300" w:type="dxa"/>
            <w:vAlign w:val="bottom"/>
          </w:tcPr>
          <w:p>
            <w:pPr>
              <w:spacing w:after="0"/>
              <w:rPr>
                <w:sz w:val="24"/>
                <w:szCs w:val="24"/>
                <w:color w:val="auto"/>
              </w:rPr>
            </w:pPr>
          </w:p>
        </w:tc>
        <w:tc>
          <w:tcPr>
            <w:tcW w:w="1460" w:type="dxa"/>
            <w:vAlign w:val="bottom"/>
            <w:tcBorders>
              <w:top w:val="single" w:sz="8" w:color="0000EE"/>
            </w:tcBorders>
          </w:tcPr>
          <w:p>
            <w:pPr>
              <w:spacing w:after="0"/>
              <w:rPr>
                <w:sz w:val="24"/>
                <w:szCs w:val="24"/>
                <w:color w:val="auto"/>
              </w:rPr>
            </w:pPr>
          </w:p>
        </w:tc>
        <w:tc>
          <w:tcPr>
            <w:tcW w:w="98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500" w:type="dxa"/>
            <w:vAlign w:val="bottom"/>
            <w:gridSpan w:val="6"/>
          </w:tcPr>
          <w:p>
            <w:pPr>
              <w:ind w:left="440"/>
              <w:spacing w:after="0"/>
              <w:rPr>
                <w:sz w:val="20"/>
                <w:szCs w:val="20"/>
                <w:color w:val="auto"/>
              </w:rPr>
            </w:pPr>
            <w:r>
              <w:rPr>
                <w:rFonts w:ascii="Arial" w:cs="Arial" w:eastAsia="Arial" w:hAnsi="Arial"/>
                <w:sz w:val="18"/>
                <w:szCs w:val="18"/>
                <w:color w:val="auto"/>
              </w:rPr>
              <w:t>i</w:t>
            </w:r>
          </w:p>
        </w:tc>
        <w:tc>
          <w:tcPr>
            <w:tcW w:w="1680" w:type="dxa"/>
            <w:vAlign w:val="bottom"/>
          </w:tcPr>
          <w:p>
            <w:pPr>
              <w:spacing w:after="0"/>
              <w:rPr>
                <w:sz w:val="24"/>
                <w:szCs w:val="24"/>
                <w:color w:val="auto"/>
              </w:rPr>
            </w:pPr>
          </w:p>
        </w:tc>
      </w:tr>
      <w:tr>
        <w:trPr>
          <w:trHeight w:val="226"/>
        </w:trPr>
        <w:tc>
          <w:tcPr>
            <w:tcW w:w="300" w:type="dxa"/>
            <w:vAlign w:val="bottom"/>
            <w:tcBorders>
              <w:bottom w:val="single" w:sz="8" w:color="808080"/>
            </w:tcBorders>
          </w:tcPr>
          <w:p>
            <w:pPr>
              <w:spacing w:after="0"/>
              <w:rPr>
                <w:sz w:val="19"/>
                <w:szCs w:val="19"/>
                <w:color w:val="auto"/>
              </w:rPr>
            </w:pPr>
          </w:p>
        </w:tc>
        <w:tc>
          <w:tcPr>
            <w:tcW w:w="146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134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1080" w:type="dxa"/>
            <w:vAlign w:val="bottom"/>
            <w:tcBorders>
              <w:bottom w:val="single" w:sz="8" w:color="808080"/>
            </w:tcBorders>
          </w:tcPr>
          <w:p>
            <w:pPr>
              <w:spacing w:after="0"/>
              <w:rPr>
                <w:sz w:val="19"/>
                <w:szCs w:val="19"/>
                <w:color w:val="auto"/>
              </w:rPr>
            </w:pPr>
          </w:p>
        </w:tc>
        <w:tc>
          <w:tcPr>
            <w:tcW w:w="16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24"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18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May 28, 2004</w:t>
      </w:r>
    </w:p>
    <w:p>
      <w:pPr>
        <w:spacing w:after="0" w:line="16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INTRODUCTION</w:t>
      </w:r>
    </w:p>
    <w:p>
      <w:pPr>
        <w:spacing w:after="0" w:line="189" w:lineRule="exact"/>
        <w:rPr>
          <w:sz w:val="20"/>
          <w:szCs w:val="20"/>
          <w:color w:val="auto"/>
        </w:rPr>
      </w:pPr>
    </w:p>
    <w:p>
      <w:pPr>
        <w:jc w:val="both"/>
        <w:ind w:right="40" w:firstLine="222"/>
        <w:spacing w:after="0" w:line="259"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corporation (“Marvell” or the “Company”), of proxies for use at the 2004 Annual General Meeting of Shareholders of the Company scheduled to be held at the offices of the Company’s subsidiary, Marvell Semiconductor, Inc., 700 First Avenue, Sunnyvale, California 94089, on Friday, May 28, 2004 at 2:00 p.m local time, and at any and all postponements and adjournments thereof.</w:t>
      </w:r>
    </w:p>
    <w:p>
      <w:pPr>
        <w:spacing w:after="0" w:line="15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189" w:lineRule="exact"/>
        <w:rPr>
          <w:sz w:val="20"/>
          <w:szCs w:val="20"/>
          <w:color w:val="auto"/>
        </w:rPr>
      </w:pPr>
    </w:p>
    <w:p>
      <w:pPr>
        <w:ind w:firstLine="215"/>
        <w:spacing w:after="0" w:line="286" w:lineRule="auto"/>
        <w:rPr>
          <w:sz w:val="20"/>
          <w:szCs w:val="20"/>
          <w:color w:val="auto"/>
        </w:rPr>
      </w:pPr>
      <w:r>
        <w:rPr>
          <w:rFonts w:ascii="Arial" w:cs="Arial" w:eastAsia="Arial" w:hAnsi="Arial"/>
          <w:sz w:val="16"/>
          <w:szCs w:val="16"/>
          <w:color w:val="auto"/>
        </w:rPr>
        <w:t>At the Annual General Meeting, the shareholders of the Company are being asked to consider and to vote upon (1) the election of the two directors constituting Class 1 of the Board of Directors nominated by the Company’s Board of Directors to serve until the Annual General Meeting of Shareholders to be held in calendar year 2007 (see “Election of Directors” at page 4 of this proxy statement); (2) the appointment of PricewaterhouseCoopers LLP as the Company’s independent auditors for its 2005 fiscal year (see “Re-appointment of Independent Auditors” at page 6 of this proxy statement); (3) the authorization of the Board of Directors to fix the auditors’ remuneration for the Company’s 2005 fiscal year ending February 1, 2005 (see “Authorize the Board of Directors to Fix the Auditors’ Remuneration” at page 6 of this proxy statement); and (4) the amendment of the Company’s Memorandum of Association to increase the Company’s authorized capital to allow a bonus issue of shares resulting in a two for one stock split (see “Approval of Increase of Authorized Share Capital” at page 7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FOR the re-appointment of PricewaterhouseCoopers LLP as the Company’s independent auditors for the Company’s 2005 fiscal year, FOR authorizing the Board of Directors to fix the auditors’ remuneration and FOR the amendment of the Company’s Memorandum of Association.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145" w:lineRule="exact"/>
        <w:rPr>
          <w:sz w:val="20"/>
          <w:szCs w:val="20"/>
          <w:color w:val="auto"/>
        </w:rPr>
      </w:pPr>
    </w:p>
    <w:p>
      <w:pPr>
        <w:ind w:right="1480" w:firstLine="222"/>
        <w:spacing w:after="0" w:line="454" w:lineRule="auto"/>
        <w:rPr>
          <w:sz w:val="20"/>
          <w:szCs w:val="20"/>
          <w:color w:val="auto"/>
        </w:rPr>
      </w:pPr>
      <w:r>
        <w:rPr>
          <w:rFonts w:ascii="Arial" w:cs="Arial" w:eastAsia="Arial" w:hAnsi="Arial"/>
          <w:sz w:val="18"/>
          <w:szCs w:val="18"/>
          <w:color w:val="auto"/>
        </w:rPr>
        <w:t xml:space="preserve">The approximate date on which this proxy statement and the enclosed proxy card are first being sent to shareholders is April 26, 2004. </w:t>
      </w:r>
      <w:r>
        <w:rPr>
          <w:rFonts w:ascii="Arial" w:cs="Arial" w:eastAsia="Arial" w:hAnsi="Arial"/>
          <w:sz w:val="18"/>
          <w:szCs w:val="18"/>
          <w:b w:val="1"/>
          <w:bCs w:val="1"/>
          <w:color w:val="auto"/>
        </w:rPr>
        <w:t>Principal Executive Office</w:t>
      </w:r>
    </w:p>
    <w:p>
      <w:pPr>
        <w:ind w:firstLine="222"/>
        <w:spacing w:after="0" w:line="277" w:lineRule="auto"/>
        <w:rPr>
          <w:sz w:val="20"/>
          <w:szCs w:val="20"/>
          <w:color w:val="auto"/>
        </w:rPr>
      </w:pPr>
      <w:r>
        <w:rPr>
          <w:rFonts w:ascii="Arial" w:cs="Arial" w:eastAsia="Arial" w:hAnsi="Arial"/>
          <w:sz w:val="18"/>
          <w:szCs w:val="18"/>
          <w:color w:val="auto"/>
        </w:rPr>
        <w:t>The mailing address of the principal executive offices of the Company is Canon’s Court, 22 Victoria Street, Hamilton HM 12, Bermuda, and our telephone number there is (441) 296-6395.</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April 14, 2004 has been set as the record date for the Annual General Meeting. Only shareholders of record on Wednesday, April 14, 2004, will be entitled</w:t>
      </w:r>
    </w:p>
    <w:p>
      <w:pPr>
        <w:spacing w:after="0" w:line="46"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to notice of and to vote at the Annual General Meeting. On the record date, shares of the Company’s common stock, par value $0.002 per share (the “Common Stock”), were outstanding. Each share of outstanding Common Stock is entitled to one vote on each matter to be voted on at the Annual General Meeting. There is no cumulative voting in the election of directors.</w:t>
      </w:r>
    </w:p>
    <w:p>
      <w:pPr>
        <w:spacing w:after="0" w:line="150" w:lineRule="exact"/>
        <w:rPr>
          <w:sz w:val="20"/>
          <w:szCs w:val="20"/>
          <w:color w:val="auto"/>
        </w:rPr>
      </w:pPr>
    </w:p>
    <w:p>
      <w:pPr>
        <w:jc w:val="both"/>
        <w:ind w:right="260" w:firstLine="222"/>
        <w:spacing w:after="0" w:line="286" w:lineRule="auto"/>
        <w:rPr>
          <w:sz w:val="20"/>
          <w:szCs w:val="20"/>
          <w:color w:val="auto"/>
        </w:rPr>
      </w:pPr>
      <w:r>
        <w:rPr>
          <w:rFonts w:ascii="Arial" w:cs="Arial" w:eastAsia="Arial" w:hAnsi="Arial"/>
          <w:sz w:val="17"/>
          <w:szCs w:val="17"/>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25" w:lineRule="exact"/>
        <w:rPr>
          <w:sz w:val="20"/>
          <w:szCs w:val="20"/>
          <w:color w:val="auto"/>
        </w:rPr>
      </w:pPr>
    </w:p>
    <w:p>
      <w:pPr>
        <w:ind w:right="20" w:firstLine="215"/>
        <w:spacing w:after="0" w:line="291" w:lineRule="auto"/>
        <w:rPr>
          <w:sz w:val="20"/>
          <w:szCs w:val="20"/>
          <w:color w:val="auto"/>
        </w:rPr>
      </w:pPr>
      <w:r>
        <w:rPr>
          <w:rFonts w:ascii="Arial" w:cs="Arial" w:eastAsia="Arial" w:hAnsi="Arial"/>
          <w:sz w:val="16"/>
          <w:szCs w:val="16"/>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140" w:lineRule="exact"/>
        <w:rPr>
          <w:sz w:val="20"/>
          <w:szCs w:val="20"/>
          <w:color w:val="auto"/>
        </w:rPr>
      </w:pPr>
    </w:p>
    <w:p>
      <w:pPr>
        <w:ind w:right="600" w:firstLine="225"/>
        <w:spacing w:after="0" w:line="277" w:lineRule="auto"/>
        <w:rPr>
          <w:sz w:val="20"/>
          <w:szCs w:val="20"/>
          <w:color w:val="auto"/>
        </w:rPr>
      </w:pPr>
      <w:r>
        <w:rPr>
          <w:rFonts w:ascii="Arial" w:cs="Arial" w:eastAsia="Arial" w:hAnsi="Arial"/>
          <w:sz w:val="18"/>
          <w:szCs w:val="18"/>
          <w:color w:val="auto"/>
        </w:rPr>
        <w:t>Shareholders should complete and return the proxy card as soon as possible. To be valid, the proxy card must be completed in accordance with the instructions on it and received at the address set forth below by 5:00 p.m., local time, on May 27, 2004:</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c/o Wachovia Bank</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Attn: Proxy Tabulation NC-1153</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P.O. Box 217950</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Charlotte, NC 28254-3555</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U.S.A.</w:t>
      </w:r>
    </w:p>
    <w:p>
      <w:pPr>
        <w:spacing w:after="0" w:line="170"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 postage is required if the proxy is mailed in the enclosed envelope within the United States to the address set forth above.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189" w:lineRule="exact"/>
        <w:rPr>
          <w:sz w:val="20"/>
          <w:szCs w:val="20"/>
          <w:color w:val="auto"/>
        </w:rPr>
      </w:pPr>
    </w:p>
    <w:p>
      <w:pPr>
        <w:ind w:right="280" w:firstLine="225"/>
        <w:spacing w:after="0" w:line="277"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70" w:lineRule="exact"/>
        <w:rPr>
          <w:sz w:val="20"/>
          <w:szCs w:val="20"/>
          <w:color w:val="auto"/>
        </w:rPr>
      </w:pPr>
    </w:p>
    <w:p>
      <w:pPr>
        <w:ind w:left="560" w:hanging="169"/>
        <w:spacing w:after="0" w:line="277" w:lineRule="auto"/>
        <w:tabs>
          <w:tab w:leader="none" w:pos="5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170" w:lineRule="exact"/>
        <w:rPr>
          <w:rFonts w:ascii="Arial" w:cs="Arial" w:eastAsia="Arial" w:hAnsi="Arial"/>
          <w:sz w:val="18"/>
          <w:szCs w:val="18"/>
          <w:color w:val="auto"/>
        </w:rPr>
      </w:pPr>
    </w:p>
    <w:p>
      <w:pPr>
        <w:ind w:left="560" w:hanging="169"/>
        <w:spacing w:after="0"/>
        <w:tabs>
          <w:tab w:leader="none" w:pos="560" w:val="left"/>
        </w:tabs>
        <w:numPr>
          <w:ilvl w:val="0"/>
          <w:numId w:val="6"/>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202" w:lineRule="exact"/>
        <w:rPr>
          <w:sz w:val="20"/>
          <w:szCs w:val="20"/>
          <w:color w:val="auto"/>
        </w:rPr>
      </w:pPr>
    </w:p>
    <w:p>
      <w:pPr>
        <w:ind w:firstLine="222"/>
        <w:spacing w:after="0" w:line="291" w:lineRule="auto"/>
        <w:rPr>
          <w:sz w:val="20"/>
          <w:szCs w:val="20"/>
          <w:color w:val="auto"/>
        </w:rPr>
      </w:pPr>
      <w:r>
        <w:rPr>
          <w:rFonts w:ascii="Arial" w:cs="Arial" w:eastAsia="Arial" w:hAnsi="Arial"/>
          <w:sz w:val="16"/>
          <w:szCs w:val="16"/>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The Company has retained Georgeson Shareholder to assist the Company in the solicitation of proxies. Georgeson Shareholder will receive a fee of $10,000 for such services plus out-of-pocket expenses, which fees and expenses will be paid by the Company. Brokerage houses and other nominees, 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12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89"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color w:val="auto"/>
        </w:rPr>
        <w:t>In accordance with Section 84 of the Companies Act 1981 of Bermuda and Bye-Law 73 of the Company, the Company’s audited consolidated financial statements for the fiscal year ended January 31, 2004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16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DIRECTORS</w:t>
      </w:r>
    </w:p>
    <w:p>
      <w:pPr>
        <w:spacing w:after="0" w:line="189" w:lineRule="exact"/>
        <w:rPr>
          <w:sz w:val="20"/>
          <w:szCs w:val="20"/>
          <w:color w:val="auto"/>
        </w:rPr>
      </w:pPr>
    </w:p>
    <w:p>
      <w:pPr>
        <w:ind w:right="60" w:firstLine="222"/>
        <w:spacing w:after="0" w:line="259" w:lineRule="auto"/>
        <w:rPr>
          <w:sz w:val="20"/>
          <w:szCs w:val="20"/>
          <w:color w:val="auto"/>
        </w:rPr>
      </w:pPr>
      <w:r>
        <w:rPr>
          <w:rFonts w:ascii="Arial" w:cs="Arial" w:eastAsia="Arial" w:hAnsi="Arial"/>
          <w:sz w:val="18"/>
          <w:szCs w:val="18"/>
          <w:color w:val="auto"/>
        </w:rPr>
        <w:t>The number of directors of the Company is currently seven. The Board of Directors is divided into three classes with two classes having two members and one class having three members. One class of the Board of Directors is elected each year. At the Annual General Meeting, shareholders of the Company will be asked to vote on the election of two directors as Class 1 directors. All directors elected at the Annual General Meeting will be elected to three year terms and will serve until their successors have been duly elected and qualified.</w:t>
      </w:r>
    </w:p>
    <w:p>
      <w:pPr>
        <w:spacing w:after="0" w:line="1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 for Election</w:t>
      </w:r>
    </w:p>
    <w:p>
      <w:pPr>
        <w:spacing w:after="0" w:line="202" w:lineRule="exact"/>
        <w:rPr>
          <w:sz w:val="20"/>
          <w:szCs w:val="20"/>
          <w:color w:val="auto"/>
        </w:rPr>
      </w:pPr>
    </w:p>
    <w:p>
      <w:pPr>
        <w:ind w:right="500" w:firstLine="225"/>
        <w:spacing w:after="0" w:line="277" w:lineRule="auto"/>
        <w:rPr>
          <w:sz w:val="20"/>
          <w:szCs w:val="20"/>
          <w:color w:val="auto"/>
        </w:rPr>
      </w:pPr>
      <w:r>
        <w:rPr>
          <w:rFonts w:ascii="Arial" w:cs="Arial" w:eastAsia="Arial" w:hAnsi="Arial"/>
          <w:sz w:val="18"/>
          <w:szCs w:val="18"/>
          <w:color w:val="auto"/>
        </w:rPr>
        <w:t>Set forth below are the names of the persons nominated by the Company’s Board of Directors for election as Class 1 directors at the Annual General Meeting. The information set forth below as to the nominees has been furnished by the nominees.</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40" w:type="dxa"/>
            <w:vAlign w:val="bottom"/>
            <w:vMerge w:val="restart"/>
          </w:tcPr>
          <w:p>
            <w:pPr>
              <w:ind w:left="1600"/>
              <w:spacing w:after="0"/>
              <w:rPr>
                <w:sz w:val="20"/>
                <w:szCs w:val="20"/>
                <w:color w:val="auto"/>
              </w:rPr>
            </w:pPr>
            <w:r>
              <w:rPr>
                <w:rFonts w:ascii="Arial" w:cs="Arial" w:eastAsia="Arial" w:hAnsi="Arial"/>
                <w:sz w:val="14"/>
                <w:szCs w:val="14"/>
                <w:b w:val="1"/>
                <w:bCs w:val="1"/>
                <w:color w:val="auto"/>
              </w:rPr>
              <w:t>Name</w:t>
            </w:r>
          </w:p>
        </w:tc>
        <w:tc>
          <w:tcPr>
            <w:tcW w:w="520" w:type="dxa"/>
            <w:vAlign w:val="bottom"/>
          </w:tcPr>
          <w:p>
            <w:pPr>
              <w:spacing w:after="0"/>
              <w:rPr>
                <w:sz w:val="14"/>
                <w:szCs w:val="14"/>
                <w:color w:val="auto"/>
              </w:rPr>
            </w:pPr>
          </w:p>
        </w:tc>
        <w:tc>
          <w:tcPr>
            <w:tcW w:w="4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Age</w:t>
            </w:r>
          </w:p>
        </w:tc>
        <w:tc>
          <w:tcPr>
            <w:tcW w:w="5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b w:val="1"/>
                <w:bCs w:val="1"/>
                <w:color w:val="auto"/>
                <w:w w:val="88"/>
              </w:rPr>
              <w:t>Class of</w:t>
            </w:r>
          </w:p>
        </w:tc>
        <w:tc>
          <w:tcPr>
            <w:tcW w:w="520" w:type="dxa"/>
            <w:vAlign w:val="bottom"/>
          </w:tcPr>
          <w:p>
            <w:pPr>
              <w:spacing w:after="0"/>
              <w:rPr>
                <w:sz w:val="14"/>
                <w:szCs w:val="14"/>
                <w:color w:val="auto"/>
              </w:rPr>
            </w:pPr>
          </w:p>
        </w:tc>
        <w:tc>
          <w:tcPr>
            <w:tcW w:w="9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Term Expires</w:t>
            </w:r>
          </w:p>
        </w:tc>
        <w:tc>
          <w:tcPr>
            <w:tcW w:w="540" w:type="dxa"/>
            <w:vAlign w:val="bottom"/>
          </w:tcPr>
          <w:p>
            <w:pPr>
              <w:spacing w:after="0"/>
              <w:rPr>
                <w:sz w:val="14"/>
                <w:szCs w:val="14"/>
                <w:color w:val="auto"/>
              </w:rPr>
            </w:pPr>
          </w:p>
        </w:tc>
        <w:tc>
          <w:tcPr>
            <w:tcW w:w="3940" w:type="dxa"/>
            <w:vAlign w:val="bottom"/>
            <w:vMerge w:val="restart"/>
          </w:tcPr>
          <w:p>
            <w:pPr>
              <w:ind w:left="15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86"/>
        </w:trPr>
        <w:tc>
          <w:tcPr>
            <w:tcW w:w="3540" w:type="dxa"/>
            <w:vAlign w:val="bottom"/>
            <w:vMerge w:val="continue"/>
          </w:tcPr>
          <w:p>
            <w:pPr>
              <w:spacing w:after="0"/>
              <w:rPr>
                <w:sz w:val="16"/>
                <w:szCs w:val="16"/>
                <w:color w:val="auto"/>
              </w:rPr>
            </w:pPr>
          </w:p>
        </w:tc>
        <w:tc>
          <w:tcPr>
            <w:tcW w:w="520" w:type="dxa"/>
            <w:vAlign w:val="bottom"/>
          </w:tcPr>
          <w:p>
            <w:pPr>
              <w:spacing w:after="0"/>
              <w:rPr>
                <w:sz w:val="16"/>
                <w:szCs w:val="16"/>
                <w:color w:val="auto"/>
              </w:rPr>
            </w:pPr>
          </w:p>
        </w:tc>
        <w:tc>
          <w:tcPr>
            <w:tcW w:w="400" w:type="dxa"/>
            <w:vAlign w:val="bottom"/>
            <w:vMerge w:val="continue"/>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jc w:val="right"/>
              <w:spacing w:after="0"/>
              <w:rPr>
                <w:sz w:val="20"/>
                <w:szCs w:val="20"/>
                <w:color w:val="auto"/>
              </w:rPr>
            </w:pPr>
            <w:r>
              <w:rPr>
                <w:rFonts w:ascii="Arial" w:cs="Arial" w:eastAsia="Arial" w:hAnsi="Arial"/>
                <w:sz w:val="14"/>
                <w:szCs w:val="14"/>
                <w:b w:val="1"/>
                <w:bCs w:val="1"/>
                <w:color w:val="auto"/>
                <w:w w:val="93"/>
              </w:rPr>
              <w:t>Director</w:t>
            </w:r>
          </w:p>
        </w:tc>
        <w:tc>
          <w:tcPr>
            <w:tcW w:w="520" w:type="dxa"/>
            <w:vAlign w:val="bottom"/>
          </w:tcPr>
          <w:p>
            <w:pPr>
              <w:spacing w:after="0"/>
              <w:rPr>
                <w:sz w:val="16"/>
                <w:szCs w:val="16"/>
                <w:color w:val="auto"/>
              </w:rPr>
            </w:pPr>
          </w:p>
        </w:tc>
        <w:tc>
          <w:tcPr>
            <w:tcW w:w="900" w:type="dxa"/>
            <w:vAlign w:val="bottom"/>
            <w:vMerge w:val="continue"/>
          </w:tcPr>
          <w:p>
            <w:pPr>
              <w:spacing w:after="0"/>
              <w:rPr>
                <w:sz w:val="16"/>
                <w:szCs w:val="16"/>
                <w:color w:val="auto"/>
              </w:rPr>
            </w:pPr>
          </w:p>
        </w:tc>
        <w:tc>
          <w:tcPr>
            <w:tcW w:w="540" w:type="dxa"/>
            <w:vAlign w:val="bottom"/>
          </w:tcPr>
          <w:p>
            <w:pPr>
              <w:spacing w:after="0"/>
              <w:rPr>
                <w:sz w:val="16"/>
                <w:szCs w:val="16"/>
                <w:color w:val="auto"/>
              </w:rPr>
            </w:pPr>
          </w:p>
        </w:tc>
        <w:tc>
          <w:tcPr>
            <w:tcW w:w="3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354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540" w:type="dxa"/>
            <w:vAlign w:val="bottom"/>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540" w:type="dxa"/>
            <w:vAlign w:val="bottom"/>
          </w:tcPr>
          <w:p>
            <w:pPr>
              <w:spacing w:after="0"/>
              <w:rPr>
                <w:sz w:val="4"/>
                <w:szCs w:val="4"/>
                <w:color w:val="auto"/>
              </w:rPr>
            </w:pPr>
          </w:p>
        </w:tc>
        <w:tc>
          <w:tcPr>
            <w:tcW w:w="39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3540" w:type="dxa"/>
            <w:vAlign w:val="bottom"/>
          </w:tcPr>
          <w:p>
            <w:pPr>
              <w:spacing w:after="0"/>
              <w:rPr>
                <w:sz w:val="20"/>
                <w:szCs w:val="20"/>
                <w:color w:val="auto"/>
              </w:rPr>
            </w:pPr>
            <w:r>
              <w:rPr>
                <w:rFonts w:ascii="Arial" w:cs="Arial" w:eastAsia="Arial" w:hAnsi="Arial"/>
                <w:sz w:val="18"/>
                <w:szCs w:val="18"/>
                <w:color w:val="auto"/>
              </w:rPr>
              <w:t>Dr. John M. Cioffi, Ph.D.(1)</w:t>
            </w:r>
          </w:p>
        </w:tc>
        <w:tc>
          <w:tcPr>
            <w:tcW w:w="920" w:type="dxa"/>
            <w:vAlign w:val="bottom"/>
            <w:gridSpan w:val="2"/>
          </w:tcPr>
          <w:p>
            <w:pPr>
              <w:jc w:val="center"/>
              <w:ind w:left="450"/>
              <w:spacing w:after="0"/>
              <w:rPr>
                <w:sz w:val="20"/>
                <w:szCs w:val="20"/>
                <w:color w:val="auto"/>
              </w:rPr>
            </w:pPr>
            <w:r>
              <w:rPr>
                <w:rFonts w:ascii="Arial" w:cs="Arial" w:eastAsia="Arial" w:hAnsi="Arial"/>
                <w:sz w:val="18"/>
                <w:szCs w:val="18"/>
                <w:color w:val="auto"/>
                <w:w w:val="89"/>
              </w:rPr>
              <w:t>47</w:t>
            </w:r>
          </w:p>
        </w:tc>
        <w:tc>
          <w:tcPr>
            <w:tcW w:w="1060" w:type="dxa"/>
            <w:vAlign w:val="bottom"/>
            <w:gridSpan w:val="2"/>
          </w:tcPr>
          <w:p>
            <w:pPr>
              <w:jc w:val="right"/>
              <w:ind w:right="108"/>
              <w:spacing w:after="0"/>
              <w:rPr>
                <w:sz w:val="20"/>
                <w:szCs w:val="20"/>
                <w:color w:val="auto"/>
              </w:rPr>
            </w:pPr>
            <w:r>
              <w:rPr>
                <w:rFonts w:ascii="Arial" w:cs="Arial" w:eastAsia="Arial" w:hAnsi="Arial"/>
                <w:sz w:val="18"/>
                <w:szCs w:val="18"/>
                <w:color w:val="auto"/>
              </w:rPr>
              <w:t>1</w:t>
            </w:r>
          </w:p>
        </w:tc>
        <w:tc>
          <w:tcPr>
            <w:tcW w:w="1420" w:type="dxa"/>
            <w:vAlign w:val="bottom"/>
            <w:gridSpan w:val="2"/>
          </w:tcPr>
          <w:p>
            <w:pPr>
              <w:jc w:val="center"/>
              <w:ind w:left="450"/>
              <w:spacing w:after="0"/>
              <w:rPr>
                <w:sz w:val="20"/>
                <w:szCs w:val="20"/>
                <w:color w:val="auto"/>
              </w:rPr>
            </w:pPr>
            <w:r>
              <w:rPr>
                <w:rFonts w:ascii="Arial" w:cs="Arial" w:eastAsia="Arial" w:hAnsi="Arial"/>
                <w:sz w:val="18"/>
                <w:szCs w:val="18"/>
                <w:color w:val="auto"/>
                <w:w w:val="89"/>
              </w:rPr>
              <w:t>2007</w:t>
            </w: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8"/>
              </w:rPr>
              <w:t>A director since March 2000. Dr. Cioffi has been a</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professor of Electrical Engineering at Stanford</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9"/>
              </w:rPr>
              <w:t>University since 1986. In 1991, he founded Amati</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Communications Corporation, which designs and</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manufactures modems for Asymmetric Digital</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0"/>
              </w:rPr>
              <w:t>Subscriber Lines, and served as the Chief Technology</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Officer and Vice President until the company’s</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acquisition by Texas Instruments, Inc. in 1998.</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6"/>
              </w:rPr>
              <w:t>Dr. Cioffi is an IEEE fellow and serves as a director</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4"/>
              </w:rPr>
              <w:t>for ITEX. Dr. Cioffi holds a Bachelor of Science from</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7"/>
              </w:rPr>
              <w:t>the University of Illinois and Master of Science and</w:t>
            </w:r>
          </w:p>
        </w:tc>
        <w:tc>
          <w:tcPr>
            <w:tcW w:w="0" w:type="dxa"/>
            <w:vAlign w:val="bottom"/>
          </w:tcPr>
          <w:p>
            <w:pPr>
              <w:spacing w:after="0"/>
              <w:rPr>
                <w:sz w:val="1"/>
                <w:szCs w:val="1"/>
                <w:color w:val="auto"/>
              </w:rPr>
            </w:pPr>
          </w:p>
        </w:tc>
      </w:tr>
      <w:tr>
        <w:trPr>
          <w:trHeight w:val="230"/>
        </w:trPr>
        <w:tc>
          <w:tcPr>
            <w:tcW w:w="3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Ph.D. degrees from Stanford University.</w:t>
            </w:r>
          </w:p>
        </w:tc>
        <w:tc>
          <w:tcPr>
            <w:tcW w:w="0" w:type="dxa"/>
            <w:vAlign w:val="bottom"/>
          </w:tcPr>
          <w:p>
            <w:pPr>
              <w:spacing w:after="0"/>
              <w:rPr>
                <w:sz w:val="1"/>
                <w:szCs w:val="1"/>
                <w:color w:val="auto"/>
              </w:rPr>
            </w:pPr>
          </w:p>
        </w:tc>
      </w:tr>
      <w:tr>
        <w:trPr>
          <w:trHeight w:val="418"/>
        </w:trPr>
        <w:tc>
          <w:tcPr>
            <w:tcW w:w="3540" w:type="dxa"/>
            <w:vAlign w:val="bottom"/>
          </w:tcPr>
          <w:p>
            <w:pPr>
              <w:spacing w:after="0"/>
              <w:rPr>
                <w:sz w:val="20"/>
                <w:szCs w:val="20"/>
                <w:color w:val="auto"/>
              </w:rPr>
            </w:pPr>
            <w:r>
              <w:rPr>
                <w:rFonts w:ascii="Arial" w:cs="Arial" w:eastAsia="Arial" w:hAnsi="Arial"/>
                <w:sz w:val="18"/>
                <w:szCs w:val="18"/>
                <w:color w:val="auto"/>
              </w:rPr>
              <w:t>Dr. Paul R. Gray, Ph.D.(1)(2)</w:t>
            </w:r>
          </w:p>
        </w:tc>
        <w:tc>
          <w:tcPr>
            <w:tcW w:w="920" w:type="dxa"/>
            <w:vAlign w:val="bottom"/>
            <w:gridSpan w:val="2"/>
          </w:tcPr>
          <w:p>
            <w:pPr>
              <w:jc w:val="center"/>
              <w:ind w:left="450"/>
              <w:spacing w:after="0"/>
              <w:rPr>
                <w:sz w:val="20"/>
                <w:szCs w:val="20"/>
                <w:color w:val="auto"/>
              </w:rPr>
            </w:pPr>
            <w:r>
              <w:rPr>
                <w:rFonts w:ascii="Arial" w:cs="Arial" w:eastAsia="Arial" w:hAnsi="Arial"/>
                <w:sz w:val="18"/>
                <w:szCs w:val="18"/>
                <w:color w:val="auto"/>
                <w:w w:val="89"/>
              </w:rPr>
              <w:t>61</w:t>
            </w:r>
          </w:p>
        </w:tc>
        <w:tc>
          <w:tcPr>
            <w:tcW w:w="1060" w:type="dxa"/>
            <w:vAlign w:val="bottom"/>
            <w:gridSpan w:val="2"/>
          </w:tcPr>
          <w:p>
            <w:pPr>
              <w:jc w:val="right"/>
              <w:ind w:right="108"/>
              <w:spacing w:after="0"/>
              <w:rPr>
                <w:sz w:val="20"/>
                <w:szCs w:val="20"/>
                <w:color w:val="auto"/>
              </w:rPr>
            </w:pPr>
            <w:r>
              <w:rPr>
                <w:rFonts w:ascii="Arial" w:cs="Arial" w:eastAsia="Arial" w:hAnsi="Arial"/>
                <w:sz w:val="18"/>
                <w:szCs w:val="18"/>
                <w:color w:val="auto"/>
              </w:rPr>
              <w:t>1</w:t>
            </w:r>
          </w:p>
        </w:tc>
        <w:tc>
          <w:tcPr>
            <w:tcW w:w="1420" w:type="dxa"/>
            <w:vAlign w:val="bottom"/>
            <w:gridSpan w:val="2"/>
          </w:tcPr>
          <w:p>
            <w:pPr>
              <w:jc w:val="center"/>
              <w:ind w:left="450"/>
              <w:spacing w:after="0"/>
              <w:rPr>
                <w:sz w:val="20"/>
                <w:szCs w:val="20"/>
                <w:color w:val="auto"/>
              </w:rPr>
            </w:pPr>
            <w:r>
              <w:rPr>
                <w:rFonts w:ascii="Arial" w:cs="Arial" w:eastAsia="Arial" w:hAnsi="Arial"/>
                <w:sz w:val="18"/>
                <w:szCs w:val="18"/>
                <w:color w:val="auto"/>
                <w:w w:val="89"/>
              </w:rPr>
              <w:t>2007</w:t>
            </w: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rPr>
              <w:t>A director since March 2000. Since July 2000,</w:t>
            </w:r>
          </w:p>
        </w:tc>
        <w:tc>
          <w:tcPr>
            <w:tcW w:w="0" w:type="dxa"/>
            <w:vAlign w:val="bottom"/>
          </w:tcPr>
          <w:p>
            <w:pPr>
              <w:spacing w:after="0"/>
              <w:rPr>
                <w:sz w:val="1"/>
                <w:szCs w:val="1"/>
                <w:color w:val="auto"/>
              </w:rPr>
            </w:pPr>
          </w:p>
        </w:tc>
      </w:tr>
      <w:tr>
        <w:trPr>
          <w:trHeight w:val="230"/>
        </w:trPr>
        <w:tc>
          <w:tcPr>
            <w:tcW w:w="3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4480" w:type="dxa"/>
            <w:vAlign w:val="bottom"/>
            <w:gridSpan w:val="2"/>
          </w:tcPr>
          <w:p>
            <w:pPr>
              <w:ind w:left="540"/>
              <w:spacing w:after="0"/>
              <w:rPr>
                <w:sz w:val="20"/>
                <w:szCs w:val="20"/>
                <w:color w:val="auto"/>
              </w:rPr>
            </w:pPr>
            <w:r>
              <w:rPr>
                <w:rFonts w:ascii="Arial" w:cs="Arial" w:eastAsia="Arial" w:hAnsi="Arial"/>
                <w:sz w:val="18"/>
                <w:szCs w:val="18"/>
                <w:color w:val="auto"/>
                <w:w w:val="90"/>
              </w:rPr>
              <w:t>Dr. Gray has served as Executive Vice Chancellor and</w:t>
            </w:r>
          </w:p>
        </w:tc>
        <w:tc>
          <w:tcPr>
            <w:tcW w:w="0" w:type="dxa"/>
            <w:vAlign w:val="bottom"/>
          </w:tcPr>
          <w:p>
            <w:pPr>
              <w:spacing w:after="0"/>
              <w:rPr>
                <w:sz w:val="1"/>
                <w:szCs w:val="1"/>
                <w:color w:val="auto"/>
              </w:rPr>
            </w:pPr>
          </w:p>
        </w:tc>
      </w:tr>
    </w:tbl>
    <w:p>
      <w:pPr>
        <w:ind w:left="7480"/>
        <w:spacing w:after="0"/>
        <w:rPr>
          <w:sz w:val="20"/>
          <w:szCs w:val="20"/>
          <w:color w:val="auto"/>
        </w:rPr>
      </w:pPr>
      <w:r>
        <w:rPr>
          <w:rFonts w:ascii="Arial" w:cs="Arial" w:eastAsia="Arial" w:hAnsi="Arial"/>
          <w:sz w:val="17"/>
          <w:szCs w:val="17"/>
          <w:color w:val="auto"/>
        </w:rPr>
        <w:t>Provost at the University of California at Berkeley.</w:t>
      </w:r>
    </w:p>
    <w:p>
      <w:pPr>
        <w:spacing w:after="0" w:line="21"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During his 28-year tenure with the University,</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7"/>
          <w:szCs w:val="17"/>
          <w:color w:val="auto"/>
        </w:rPr>
        <w:t>Dr. Gray has held numerous administrative posts,</w:t>
      </w:r>
    </w:p>
    <w:p>
      <w:pPr>
        <w:spacing w:after="0" w:line="21"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including Director of the Electronics Research</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Laboratory, Vice Chairman of the EECS Department</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for Computer Resources, Dean of the College of</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Engineering and Chairman of the Department of</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Electrical Engineering and Computer Sciences.</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Dr. Gray holds Bachelor of Science, Master of</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Science and Ph.D. degrees in Electrical Engineering</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from the University of Arizona, Tuscon.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13208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12" w:lineRule="exact"/>
        <w:rPr>
          <w:sz w:val="20"/>
          <w:szCs w:val="20"/>
          <w:color w:val="auto"/>
        </w:rPr>
      </w:pPr>
    </w:p>
    <w:p>
      <w:pPr>
        <w:ind w:left="540" w:hanging="526"/>
        <w:spacing w:after="0"/>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Executive Compensation Committee.</w:t>
      </w:r>
    </w:p>
    <w:p>
      <w:pPr>
        <w:spacing w:after="0" w:line="225" w:lineRule="exact"/>
        <w:rPr>
          <w:rFonts w:ascii="Arial" w:cs="Arial" w:eastAsia="Arial" w:hAnsi="Arial"/>
          <w:sz w:val="18"/>
          <w:szCs w:val="18"/>
          <w:color w:val="auto"/>
        </w:rPr>
      </w:pPr>
    </w:p>
    <w:p>
      <w:pPr>
        <w:ind w:left="540" w:hanging="526"/>
        <w:spacing w:after="0"/>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the Governance Committee.</w:t>
      </w:r>
    </w:p>
    <w:p>
      <w:pPr>
        <w:spacing w:after="0" w:line="185" w:lineRule="exact"/>
        <w:rPr>
          <w:sz w:val="20"/>
          <w:szCs w:val="20"/>
          <w:color w:val="auto"/>
        </w:rPr>
      </w:pPr>
    </w:p>
    <w:p>
      <w:pPr>
        <w:ind w:right="20" w:firstLine="222"/>
        <w:spacing w:after="0" w:line="312" w:lineRule="auto"/>
        <w:rPr>
          <w:sz w:val="20"/>
          <w:szCs w:val="20"/>
          <w:color w:val="auto"/>
        </w:rPr>
      </w:pPr>
      <w:r>
        <w:rPr>
          <w:rFonts w:ascii="Arial" w:cs="Arial" w:eastAsia="Arial" w:hAnsi="Arial"/>
          <w:sz w:val="16"/>
          <w:szCs w:val="16"/>
          <w:color w:val="auto"/>
        </w:rPr>
        <w:t>The Company has been advised by each nominee named in this proxy statement that 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89" w:lineRule="exact"/>
        <w:rPr>
          <w:sz w:val="20"/>
          <w:szCs w:val="20"/>
          <w:color w:val="auto"/>
        </w:rPr>
      </w:pPr>
    </w:p>
    <w:p>
      <w:pPr>
        <w:ind w:right="180" w:firstLine="222"/>
        <w:spacing w:after="0" w:line="302" w:lineRule="auto"/>
        <w:rPr>
          <w:sz w:val="20"/>
          <w:szCs w:val="20"/>
          <w:color w:val="auto"/>
        </w:rPr>
      </w:pPr>
      <w:r>
        <w:rPr>
          <w:rFonts w:ascii="Arial" w:cs="Arial" w:eastAsia="Arial" w:hAnsi="Arial"/>
          <w:sz w:val="16"/>
          <w:szCs w:val="16"/>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ectPr>
          <w:pgSz w:w="11900" w:h="16838" w:orient="portrait"/>
          <w:cols w:equalWidth="0" w:num="1">
            <w:col w:w="11420"/>
          </w:cols>
          <w:pgMar w:left="240" w:top="419" w:right="239" w:bottom="1440" w:gutter="0" w:footer="0" w:header="0"/>
        </w:sectPr>
      </w:pP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Directors</w:t>
      </w:r>
    </w:p>
    <w:p>
      <w:pPr>
        <w:spacing w:after="0" w:line="202" w:lineRule="exact"/>
        <w:rPr>
          <w:sz w:val="20"/>
          <w:szCs w:val="20"/>
          <w:color w:val="auto"/>
        </w:rPr>
      </w:pPr>
    </w:p>
    <w:p>
      <w:pPr>
        <w:ind w:firstLine="222"/>
        <w:spacing w:after="0" w:line="277" w:lineRule="auto"/>
        <w:rPr>
          <w:sz w:val="20"/>
          <w:szCs w:val="20"/>
          <w:color w:val="auto"/>
        </w:rPr>
      </w:pPr>
      <w:r>
        <w:rPr>
          <w:rFonts w:ascii="Arial" w:cs="Arial" w:eastAsia="Arial" w:hAnsi="Arial"/>
          <w:sz w:val="18"/>
          <w:szCs w:val="18"/>
          <w:color w:val="auto"/>
        </w:rPr>
        <w:t>The following table sets forth information with respect to the other directors of the Company. The information as to each director has been furnished by the director.</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80" w:type="dxa"/>
            <w:vAlign w:val="bottom"/>
            <w:vMerge w:val="restart"/>
          </w:tcPr>
          <w:p>
            <w:pPr>
              <w:ind w:left="1160"/>
              <w:spacing w:after="0"/>
              <w:rPr>
                <w:sz w:val="20"/>
                <w:szCs w:val="20"/>
                <w:color w:val="auto"/>
              </w:rPr>
            </w:pPr>
            <w:r>
              <w:rPr>
                <w:rFonts w:ascii="Arial" w:cs="Arial" w:eastAsia="Arial" w:hAnsi="Arial"/>
                <w:sz w:val="14"/>
                <w:szCs w:val="14"/>
                <w:b w:val="1"/>
                <w:bCs w:val="1"/>
                <w:color w:val="auto"/>
              </w:rPr>
              <w:t>Name of Director</w:t>
            </w:r>
          </w:p>
        </w:tc>
        <w:tc>
          <w:tcPr>
            <w:tcW w:w="300" w:type="dxa"/>
            <w:vAlign w:val="bottom"/>
          </w:tcPr>
          <w:p>
            <w:pPr>
              <w:spacing w:after="0"/>
              <w:rPr>
                <w:sz w:val="14"/>
                <w:szCs w:val="14"/>
                <w:color w:val="auto"/>
              </w:rPr>
            </w:pPr>
          </w:p>
        </w:tc>
        <w:tc>
          <w:tcPr>
            <w:tcW w:w="4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Age</w:t>
            </w:r>
          </w:p>
        </w:tc>
        <w:tc>
          <w:tcPr>
            <w:tcW w:w="32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b w:val="1"/>
                <w:bCs w:val="1"/>
                <w:color w:val="auto"/>
                <w:w w:val="88"/>
              </w:rPr>
              <w:t>Class of</w:t>
            </w:r>
          </w:p>
        </w:tc>
        <w:tc>
          <w:tcPr>
            <w:tcW w:w="320" w:type="dxa"/>
            <w:vAlign w:val="bottom"/>
          </w:tcPr>
          <w:p>
            <w:pPr>
              <w:spacing w:after="0"/>
              <w:rPr>
                <w:sz w:val="14"/>
                <w:szCs w:val="14"/>
                <w:color w:val="auto"/>
              </w:rPr>
            </w:pPr>
          </w:p>
        </w:tc>
        <w:tc>
          <w:tcPr>
            <w:tcW w:w="9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Term Expires</w:t>
            </w:r>
          </w:p>
        </w:tc>
        <w:tc>
          <w:tcPr>
            <w:tcW w:w="320" w:type="dxa"/>
            <w:vAlign w:val="bottom"/>
          </w:tcPr>
          <w:p>
            <w:pPr>
              <w:spacing w:after="0"/>
              <w:rPr>
                <w:sz w:val="14"/>
                <w:szCs w:val="14"/>
                <w:color w:val="auto"/>
              </w:rPr>
            </w:pPr>
          </w:p>
        </w:tc>
        <w:tc>
          <w:tcPr>
            <w:tcW w:w="4960" w:type="dxa"/>
            <w:vAlign w:val="bottom"/>
            <w:vMerge w:val="restart"/>
          </w:tcPr>
          <w:p>
            <w:pPr>
              <w:ind w:left="210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86"/>
        </w:trPr>
        <w:tc>
          <w:tcPr>
            <w:tcW w:w="3380" w:type="dxa"/>
            <w:vAlign w:val="bottom"/>
            <w:vMerge w:val="continue"/>
          </w:tcPr>
          <w:p>
            <w:pPr>
              <w:spacing w:after="0"/>
              <w:rPr>
                <w:sz w:val="16"/>
                <w:szCs w:val="16"/>
                <w:color w:val="auto"/>
              </w:rPr>
            </w:pPr>
          </w:p>
        </w:tc>
        <w:tc>
          <w:tcPr>
            <w:tcW w:w="300" w:type="dxa"/>
            <w:vAlign w:val="bottom"/>
          </w:tcPr>
          <w:p>
            <w:pPr>
              <w:spacing w:after="0"/>
              <w:rPr>
                <w:sz w:val="16"/>
                <w:szCs w:val="16"/>
                <w:color w:val="auto"/>
              </w:rPr>
            </w:pPr>
          </w:p>
        </w:tc>
        <w:tc>
          <w:tcPr>
            <w:tcW w:w="400" w:type="dxa"/>
            <w:vAlign w:val="bottom"/>
            <w:vMerge w:val="continue"/>
          </w:tcPr>
          <w:p>
            <w:pPr>
              <w:spacing w:after="0"/>
              <w:rPr>
                <w:sz w:val="16"/>
                <w:szCs w:val="16"/>
                <w:color w:val="auto"/>
              </w:rPr>
            </w:pPr>
          </w:p>
        </w:tc>
        <w:tc>
          <w:tcPr>
            <w:tcW w:w="320" w:type="dxa"/>
            <w:vAlign w:val="bottom"/>
          </w:tcPr>
          <w:p>
            <w:pPr>
              <w:spacing w:after="0"/>
              <w:rPr>
                <w:sz w:val="16"/>
                <w:szCs w:val="16"/>
                <w:color w:val="auto"/>
              </w:rPr>
            </w:pPr>
          </w:p>
        </w:tc>
        <w:tc>
          <w:tcPr>
            <w:tcW w:w="520" w:type="dxa"/>
            <w:vAlign w:val="bottom"/>
          </w:tcPr>
          <w:p>
            <w:pPr>
              <w:jc w:val="right"/>
              <w:spacing w:after="0"/>
              <w:rPr>
                <w:sz w:val="20"/>
                <w:szCs w:val="20"/>
                <w:color w:val="auto"/>
              </w:rPr>
            </w:pPr>
            <w:r>
              <w:rPr>
                <w:rFonts w:ascii="Arial" w:cs="Arial" w:eastAsia="Arial" w:hAnsi="Arial"/>
                <w:sz w:val="14"/>
                <w:szCs w:val="14"/>
                <w:b w:val="1"/>
                <w:bCs w:val="1"/>
                <w:color w:val="auto"/>
                <w:w w:val="93"/>
              </w:rPr>
              <w:t>Director</w:t>
            </w:r>
          </w:p>
        </w:tc>
        <w:tc>
          <w:tcPr>
            <w:tcW w:w="320" w:type="dxa"/>
            <w:vAlign w:val="bottom"/>
          </w:tcPr>
          <w:p>
            <w:pPr>
              <w:spacing w:after="0"/>
              <w:rPr>
                <w:sz w:val="16"/>
                <w:szCs w:val="16"/>
                <w:color w:val="auto"/>
              </w:rPr>
            </w:pPr>
          </w:p>
        </w:tc>
        <w:tc>
          <w:tcPr>
            <w:tcW w:w="900" w:type="dxa"/>
            <w:vAlign w:val="bottom"/>
            <w:vMerge w:val="continue"/>
          </w:tcPr>
          <w:p>
            <w:pPr>
              <w:spacing w:after="0"/>
              <w:rPr>
                <w:sz w:val="16"/>
                <w:szCs w:val="16"/>
                <w:color w:val="auto"/>
              </w:rPr>
            </w:pPr>
          </w:p>
        </w:tc>
        <w:tc>
          <w:tcPr>
            <w:tcW w:w="320" w:type="dxa"/>
            <w:vAlign w:val="bottom"/>
          </w:tcPr>
          <w:p>
            <w:pPr>
              <w:spacing w:after="0"/>
              <w:rPr>
                <w:sz w:val="16"/>
                <w:szCs w:val="16"/>
                <w:color w:val="auto"/>
              </w:rPr>
            </w:pPr>
          </w:p>
        </w:tc>
        <w:tc>
          <w:tcPr>
            <w:tcW w:w="49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338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49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3380" w:type="dxa"/>
            <w:vAlign w:val="bottom"/>
          </w:tcPr>
          <w:p>
            <w:pPr>
              <w:spacing w:after="0"/>
              <w:rPr>
                <w:sz w:val="20"/>
                <w:szCs w:val="20"/>
                <w:color w:val="auto"/>
              </w:rPr>
            </w:pPr>
            <w:r>
              <w:rPr>
                <w:rFonts w:ascii="Arial" w:cs="Arial" w:eastAsia="Arial" w:hAnsi="Arial"/>
                <w:sz w:val="18"/>
                <w:szCs w:val="18"/>
                <w:color w:val="auto"/>
              </w:rPr>
              <w:t>Dr. Sehat Sutardja, Ph.D.(2)(4)</w:t>
            </w:r>
          </w:p>
        </w:tc>
        <w:tc>
          <w:tcPr>
            <w:tcW w:w="700" w:type="dxa"/>
            <w:vAlign w:val="bottom"/>
            <w:gridSpan w:val="2"/>
          </w:tcPr>
          <w:p>
            <w:pPr>
              <w:jc w:val="center"/>
              <w:ind w:left="230"/>
              <w:spacing w:after="0"/>
              <w:rPr>
                <w:sz w:val="20"/>
                <w:szCs w:val="20"/>
                <w:color w:val="auto"/>
              </w:rPr>
            </w:pPr>
            <w:r>
              <w:rPr>
                <w:rFonts w:ascii="Arial" w:cs="Arial" w:eastAsia="Arial" w:hAnsi="Arial"/>
                <w:sz w:val="18"/>
                <w:szCs w:val="18"/>
                <w:color w:val="auto"/>
                <w:w w:val="89"/>
              </w:rPr>
              <w:t>42</w:t>
            </w:r>
          </w:p>
        </w:tc>
        <w:tc>
          <w:tcPr>
            <w:tcW w:w="840" w:type="dxa"/>
            <w:vAlign w:val="bottom"/>
            <w:gridSpan w:val="2"/>
          </w:tcPr>
          <w:p>
            <w:pPr>
              <w:jc w:val="right"/>
              <w:ind w:right="108"/>
              <w:spacing w:after="0"/>
              <w:rPr>
                <w:sz w:val="20"/>
                <w:szCs w:val="20"/>
                <w:color w:val="auto"/>
              </w:rPr>
            </w:pPr>
            <w:r>
              <w:rPr>
                <w:rFonts w:ascii="Arial" w:cs="Arial" w:eastAsia="Arial" w:hAnsi="Arial"/>
                <w:sz w:val="18"/>
                <w:szCs w:val="18"/>
                <w:color w:val="auto"/>
              </w:rPr>
              <w:t>3</w:t>
            </w:r>
          </w:p>
        </w:tc>
        <w:tc>
          <w:tcPr>
            <w:tcW w:w="1220" w:type="dxa"/>
            <w:vAlign w:val="bottom"/>
            <w:gridSpan w:val="2"/>
          </w:tcPr>
          <w:p>
            <w:pPr>
              <w:jc w:val="center"/>
              <w:ind w:left="210"/>
              <w:spacing w:after="0"/>
              <w:rPr>
                <w:sz w:val="20"/>
                <w:szCs w:val="20"/>
                <w:color w:val="auto"/>
              </w:rPr>
            </w:pPr>
            <w:r>
              <w:rPr>
                <w:rFonts w:ascii="Arial" w:cs="Arial" w:eastAsia="Arial" w:hAnsi="Arial"/>
                <w:sz w:val="18"/>
                <w:szCs w:val="18"/>
                <w:color w:val="auto"/>
                <w:w w:val="89"/>
              </w:rPr>
              <w:t>2006</w:t>
            </w: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Dr. Sehat Sutardja, one of our co-founders, has served as President</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of Marvell Technology Group Ltd. since its inception and as our Co-</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7"/>
              </w:rPr>
              <w:t>Chairman of the Board (until December 2003, when he became</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3"/>
              </w:rPr>
              <w:t>Chairman of the Board) and Chief Executive Officer since 1995. In</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2"/>
              </w:rPr>
              <w:t>addition, he has served as President, Chief Executive Officer and a</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7"/>
              </w:rPr>
              <w:t>director of Marvell Semiconductor, Inc. since its inception. From</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1989 until 1995, Dr. Sutardja served as a manager and principal</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2"/>
              </w:rPr>
              <w:t>project engineer at 8x8, Inc., a designer and manufacturer of digital</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communications products. Dr. Sutardja holds Master of Science and</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Ph.D. degrees in Electrical Engineering and Computer Science from</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2"/>
              </w:rPr>
              <w:t>the University of California at Berkeley. Dr. Sutardja is the husband</w:t>
            </w:r>
          </w:p>
        </w:tc>
        <w:tc>
          <w:tcPr>
            <w:tcW w:w="0" w:type="dxa"/>
            <w:vAlign w:val="bottom"/>
          </w:tcPr>
          <w:p>
            <w:pPr>
              <w:spacing w:after="0"/>
              <w:rPr>
                <w:sz w:val="1"/>
                <w:szCs w:val="1"/>
                <w:color w:val="auto"/>
              </w:rPr>
            </w:pPr>
          </w:p>
        </w:tc>
      </w:tr>
      <w:tr>
        <w:trPr>
          <w:trHeight w:val="230"/>
        </w:trPr>
        <w:tc>
          <w:tcPr>
            <w:tcW w:w="33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of Weili Dai and the brother of Dr. Pantas Sutardja.</w:t>
            </w:r>
          </w:p>
        </w:tc>
        <w:tc>
          <w:tcPr>
            <w:tcW w:w="0" w:type="dxa"/>
            <w:vAlign w:val="bottom"/>
          </w:tcPr>
          <w:p>
            <w:pPr>
              <w:spacing w:after="0"/>
              <w:rPr>
                <w:sz w:val="1"/>
                <w:szCs w:val="1"/>
                <w:color w:val="auto"/>
              </w:rPr>
            </w:pPr>
          </w:p>
        </w:tc>
      </w:tr>
      <w:tr>
        <w:trPr>
          <w:trHeight w:val="418"/>
        </w:trPr>
        <w:tc>
          <w:tcPr>
            <w:tcW w:w="3380" w:type="dxa"/>
            <w:vAlign w:val="bottom"/>
          </w:tcPr>
          <w:p>
            <w:pPr>
              <w:spacing w:after="0"/>
              <w:rPr>
                <w:sz w:val="20"/>
                <w:szCs w:val="20"/>
                <w:color w:val="auto"/>
              </w:rPr>
            </w:pPr>
            <w:r>
              <w:rPr>
                <w:rFonts w:ascii="Arial" w:cs="Arial" w:eastAsia="Arial" w:hAnsi="Arial"/>
                <w:sz w:val="18"/>
                <w:szCs w:val="18"/>
                <w:color w:val="auto"/>
              </w:rPr>
              <w:t>Weili Dai(4)</w:t>
            </w:r>
          </w:p>
        </w:tc>
        <w:tc>
          <w:tcPr>
            <w:tcW w:w="700" w:type="dxa"/>
            <w:vAlign w:val="bottom"/>
            <w:gridSpan w:val="2"/>
          </w:tcPr>
          <w:p>
            <w:pPr>
              <w:jc w:val="center"/>
              <w:ind w:left="230"/>
              <w:spacing w:after="0"/>
              <w:rPr>
                <w:sz w:val="20"/>
                <w:szCs w:val="20"/>
                <w:color w:val="auto"/>
              </w:rPr>
            </w:pPr>
            <w:r>
              <w:rPr>
                <w:rFonts w:ascii="Arial" w:cs="Arial" w:eastAsia="Arial" w:hAnsi="Arial"/>
                <w:sz w:val="18"/>
                <w:szCs w:val="18"/>
                <w:color w:val="auto"/>
                <w:w w:val="89"/>
              </w:rPr>
              <w:t>42</w:t>
            </w:r>
          </w:p>
        </w:tc>
        <w:tc>
          <w:tcPr>
            <w:tcW w:w="840" w:type="dxa"/>
            <w:vAlign w:val="bottom"/>
            <w:gridSpan w:val="2"/>
          </w:tcPr>
          <w:p>
            <w:pPr>
              <w:jc w:val="right"/>
              <w:ind w:right="108"/>
              <w:spacing w:after="0"/>
              <w:rPr>
                <w:sz w:val="20"/>
                <w:szCs w:val="20"/>
                <w:color w:val="auto"/>
              </w:rPr>
            </w:pPr>
            <w:r>
              <w:rPr>
                <w:rFonts w:ascii="Arial" w:cs="Arial" w:eastAsia="Arial" w:hAnsi="Arial"/>
                <w:sz w:val="18"/>
                <w:szCs w:val="18"/>
                <w:color w:val="auto"/>
              </w:rPr>
              <w:t>3</w:t>
            </w:r>
          </w:p>
        </w:tc>
        <w:tc>
          <w:tcPr>
            <w:tcW w:w="1220" w:type="dxa"/>
            <w:vAlign w:val="bottom"/>
            <w:gridSpan w:val="2"/>
          </w:tcPr>
          <w:p>
            <w:pPr>
              <w:jc w:val="center"/>
              <w:ind w:left="210"/>
              <w:spacing w:after="0"/>
              <w:rPr>
                <w:sz w:val="20"/>
                <w:szCs w:val="20"/>
                <w:color w:val="auto"/>
              </w:rPr>
            </w:pPr>
            <w:r>
              <w:rPr>
                <w:rFonts w:ascii="Arial" w:cs="Arial" w:eastAsia="Arial" w:hAnsi="Arial"/>
                <w:sz w:val="18"/>
                <w:szCs w:val="18"/>
                <w:color w:val="auto"/>
                <w:w w:val="89"/>
              </w:rPr>
              <w:t>2006</w:t>
            </w: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Weili Dai, one of our co-founders, has served as Vice President,</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Corporate Secretary and a director of Marvell Technology Group</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3"/>
              </w:rPr>
              <w:t>Ltd. since its inception in 1995. Since 1999, Ms. Dai has served as</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Executive Vice President and General Manager of the</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Communications Business Group. In this role, she is responsible for</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9"/>
              </w:rPr>
              <w:t>managing all of the Company’s communications product lines.</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Ms. Dai has also served as Executive Vice President and a Director</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4"/>
              </w:rPr>
              <w:t>of Marvell Semiconductor, Inc. since its inception. From 1992 until</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1995, Ms. Dai was involved in software development and project</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0"/>
              </w:rPr>
              <w:t>management at Canon Research Center America, Inc. Ms. Dai holds</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a Bachelor of Science degree in Computer Science from the</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2"/>
              </w:rPr>
              <w:t>University of California at Berkeley. Ms. Dai is the wife of Dr. Sehat</w:t>
            </w:r>
          </w:p>
        </w:tc>
        <w:tc>
          <w:tcPr>
            <w:tcW w:w="0" w:type="dxa"/>
            <w:vAlign w:val="bottom"/>
          </w:tcPr>
          <w:p>
            <w:pPr>
              <w:spacing w:after="0"/>
              <w:rPr>
                <w:sz w:val="1"/>
                <w:szCs w:val="1"/>
                <w:color w:val="auto"/>
              </w:rPr>
            </w:pPr>
          </w:p>
        </w:tc>
      </w:tr>
      <w:tr>
        <w:trPr>
          <w:trHeight w:val="230"/>
        </w:trPr>
        <w:tc>
          <w:tcPr>
            <w:tcW w:w="33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Sutardja.</w:t>
            </w:r>
          </w:p>
        </w:tc>
        <w:tc>
          <w:tcPr>
            <w:tcW w:w="0" w:type="dxa"/>
            <w:vAlign w:val="bottom"/>
          </w:tcPr>
          <w:p>
            <w:pPr>
              <w:spacing w:after="0"/>
              <w:rPr>
                <w:sz w:val="1"/>
                <w:szCs w:val="1"/>
                <w:color w:val="auto"/>
              </w:rPr>
            </w:pPr>
          </w:p>
        </w:tc>
      </w:tr>
      <w:tr>
        <w:trPr>
          <w:trHeight w:val="418"/>
        </w:trPr>
        <w:tc>
          <w:tcPr>
            <w:tcW w:w="3380" w:type="dxa"/>
            <w:vAlign w:val="bottom"/>
          </w:tcPr>
          <w:p>
            <w:pPr>
              <w:spacing w:after="0"/>
              <w:rPr>
                <w:sz w:val="20"/>
                <w:szCs w:val="20"/>
                <w:color w:val="auto"/>
              </w:rPr>
            </w:pPr>
            <w:r>
              <w:rPr>
                <w:rFonts w:ascii="Arial" w:cs="Arial" w:eastAsia="Arial" w:hAnsi="Arial"/>
                <w:sz w:val="18"/>
                <w:szCs w:val="18"/>
                <w:color w:val="auto"/>
              </w:rPr>
              <w:t>Dr. Pantas Sutardja, Ph.D.</w:t>
            </w:r>
          </w:p>
        </w:tc>
        <w:tc>
          <w:tcPr>
            <w:tcW w:w="700" w:type="dxa"/>
            <w:vAlign w:val="bottom"/>
            <w:gridSpan w:val="2"/>
          </w:tcPr>
          <w:p>
            <w:pPr>
              <w:jc w:val="center"/>
              <w:ind w:left="230"/>
              <w:spacing w:after="0"/>
              <w:rPr>
                <w:sz w:val="20"/>
                <w:szCs w:val="20"/>
                <w:color w:val="auto"/>
              </w:rPr>
            </w:pPr>
            <w:r>
              <w:rPr>
                <w:rFonts w:ascii="Arial" w:cs="Arial" w:eastAsia="Arial" w:hAnsi="Arial"/>
                <w:sz w:val="18"/>
                <w:szCs w:val="18"/>
                <w:color w:val="auto"/>
                <w:w w:val="89"/>
              </w:rPr>
              <w:t>41</w:t>
            </w:r>
          </w:p>
        </w:tc>
        <w:tc>
          <w:tcPr>
            <w:tcW w:w="840" w:type="dxa"/>
            <w:vAlign w:val="bottom"/>
            <w:gridSpan w:val="2"/>
          </w:tcPr>
          <w:p>
            <w:pPr>
              <w:jc w:val="right"/>
              <w:ind w:right="108"/>
              <w:spacing w:after="0"/>
              <w:rPr>
                <w:sz w:val="20"/>
                <w:szCs w:val="20"/>
                <w:color w:val="auto"/>
              </w:rPr>
            </w:pPr>
            <w:r>
              <w:rPr>
                <w:rFonts w:ascii="Arial" w:cs="Arial" w:eastAsia="Arial" w:hAnsi="Arial"/>
                <w:sz w:val="18"/>
                <w:szCs w:val="18"/>
                <w:color w:val="auto"/>
              </w:rPr>
              <w:t>3</w:t>
            </w:r>
          </w:p>
        </w:tc>
        <w:tc>
          <w:tcPr>
            <w:tcW w:w="1220" w:type="dxa"/>
            <w:vAlign w:val="bottom"/>
            <w:gridSpan w:val="2"/>
          </w:tcPr>
          <w:p>
            <w:pPr>
              <w:jc w:val="center"/>
              <w:ind w:left="210"/>
              <w:spacing w:after="0"/>
              <w:rPr>
                <w:sz w:val="20"/>
                <w:szCs w:val="20"/>
                <w:color w:val="auto"/>
              </w:rPr>
            </w:pPr>
            <w:r>
              <w:rPr>
                <w:rFonts w:ascii="Arial" w:cs="Arial" w:eastAsia="Arial" w:hAnsi="Arial"/>
                <w:sz w:val="18"/>
                <w:szCs w:val="18"/>
                <w:color w:val="auto"/>
                <w:w w:val="89"/>
              </w:rPr>
              <w:t>2006</w:t>
            </w: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89"/>
              </w:rPr>
              <w:t>Dr. Pantas Sutardja, one of our co-founders, has served as a director</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7"/>
              </w:rPr>
              <w:t>of Marvell Technology Group Ltd. since its inception in 1995, as</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4"/>
              </w:rPr>
              <w:t>Vice President of Marvell Technology Group Ltd. until 1999, when</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4"/>
              </w:rPr>
              <w:t>he was named Chief Technology Officer, and as Vice President of</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3"/>
              </w:rPr>
              <w:t>Engineering for Marvell Semiconductor, Inc. from its inception until</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1"/>
              </w:rPr>
              <w:t>1999, when he was appointed Chief Technology Officer. Dr. Pantas</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Sutardja has also been a director of Marvell Semiconductor, Inc.</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3"/>
              </w:rPr>
              <w:t>since its inception. Dr. Pantas Sutardja holds Bachelor of Science,</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2"/>
              </w:rPr>
              <w:t>Master of Science and Ph.D. degrees in Electrical Engineering and</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7"/>
              </w:rPr>
              <w:t>Computer Science from the University of California at Berkeley.</w:t>
            </w:r>
          </w:p>
        </w:tc>
        <w:tc>
          <w:tcPr>
            <w:tcW w:w="0" w:type="dxa"/>
            <w:vAlign w:val="bottom"/>
          </w:tcPr>
          <w:p>
            <w:pPr>
              <w:spacing w:after="0"/>
              <w:rPr>
                <w:sz w:val="1"/>
                <w:szCs w:val="1"/>
                <w:color w:val="auto"/>
              </w:rPr>
            </w:pPr>
          </w:p>
        </w:tc>
      </w:tr>
      <w:tr>
        <w:trPr>
          <w:trHeight w:val="230"/>
        </w:trPr>
        <w:tc>
          <w:tcPr>
            <w:tcW w:w="33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Dr. Pantas Sutardja is the brother of Dr. Sehat Sutardja.</w:t>
            </w:r>
          </w:p>
        </w:tc>
        <w:tc>
          <w:tcPr>
            <w:tcW w:w="0" w:type="dxa"/>
            <w:vAlign w:val="bottom"/>
          </w:tcPr>
          <w:p>
            <w:pPr>
              <w:spacing w:after="0"/>
              <w:rPr>
                <w:sz w:val="1"/>
                <w:szCs w:val="1"/>
                <w:color w:val="auto"/>
              </w:rPr>
            </w:pPr>
          </w:p>
        </w:tc>
      </w:tr>
      <w:tr>
        <w:trPr>
          <w:trHeight w:val="418"/>
        </w:trPr>
        <w:tc>
          <w:tcPr>
            <w:tcW w:w="3380" w:type="dxa"/>
            <w:vAlign w:val="bottom"/>
          </w:tcPr>
          <w:p>
            <w:pPr>
              <w:spacing w:after="0"/>
              <w:rPr>
                <w:sz w:val="20"/>
                <w:szCs w:val="20"/>
                <w:color w:val="auto"/>
              </w:rPr>
            </w:pPr>
            <w:r>
              <w:rPr>
                <w:rFonts w:ascii="Arial" w:cs="Arial" w:eastAsia="Arial" w:hAnsi="Arial"/>
                <w:sz w:val="18"/>
                <w:szCs w:val="18"/>
                <w:color w:val="auto"/>
              </w:rPr>
              <w:t>Kuo Wei (Herbert) Chang(1)(3)</w:t>
            </w:r>
          </w:p>
        </w:tc>
        <w:tc>
          <w:tcPr>
            <w:tcW w:w="700" w:type="dxa"/>
            <w:vAlign w:val="bottom"/>
            <w:gridSpan w:val="2"/>
          </w:tcPr>
          <w:p>
            <w:pPr>
              <w:jc w:val="center"/>
              <w:ind w:left="230"/>
              <w:spacing w:after="0"/>
              <w:rPr>
                <w:sz w:val="20"/>
                <w:szCs w:val="20"/>
                <w:color w:val="auto"/>
              </w:rPr>
            </w:pPr>
            <w:r>
              <w:rPr>
                <w:rFonts w:ascii="Arial" w:cs="Arial" w:eastAsia="Arial" w:hAnsi="Arial"/>
                <w:sz w:val="18"/>
                <w:szCs w:val="18"/>
                <w:color w:val="auto"/>
                <w:w w:val="89"/>
              </w:rPr>
              <w:t>42</w:t>
            </w:r>
          </w:p>
        </w:tc>
        <w:tc>
          <w:tcPr>
            <w:tcW w:w="840" w:type="dxa"/>
            <w:vAlign w:val="bottom"/>
            <w:gridSpan w:val="2"/>
          </w:tcPr>
          <w:p>
            <w:pPr>
              <w:jc w:val="right"/>
              <w:ind w:right="108"/>
              <w:spacing w:after="0"/>
              <w:rPr>
                <w:sz w:val="20"/>
                <w:szCs w:val="20"/>
                <w:color w:val="auto"/>
              </w:rPr>
            </w:pPr>
            <w:r>
              <w:rPr>
                <w:rFonts w:ascii="Arial" w:cs="Arial" w:eastAsia="Arial" w:hAnsi="Arial"/>
                <w:sz w:val="18"/>
                <w:szCs w:val="18"/>
                <w:color w:val="auto"/>
              </w:rPr>
              <w:t>2</w:t>
            </w:r>
          </w:p>
        </w:tc>
        <w:tc>
          <w:tcPr>
            <w:tcW w:w="1220" w:type="dxa"/>
            <w:vAlign w:val="bottom"/>
            <w:gridSpan w:val="2"/>
          </w:tcPr>
          <w:p>
            <w:pPr>
              <w:jc w:val="center"/>
              <w:ind w:left="210"/>
              <w:spacing w:after="0"/>
              <w:rPr>
                <w:sz w:val="20"/>
                <w:szCs w:val="20"/>
                <w:color w:val="auto"/>
              </w:rPr>
            </w:pPr>
            <w:r>
              <w:rPr>
                <w:rFonts w:ascii="Arial" w:cs="Arial" w:eastAsia="Arial" w:hAnsi="Arial"/>
                <w:sz w:val="18"/>
                <w:szCs w:val="18"/>
                <w:color w:val="auto"/>
                <w:w w:val="89"/>
              </w:rPr>
              <w:t>2005</w:t>
            </w: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4"/>
              </w:rPr>
              <w:t>A director since November 1996. Since January 2004, Mr. Chang</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has been Chairman, President and Chief Executive Officer of</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5"/>
              </w:rPr>
              <w:t>MagnetoX Ltd., a semiconductor development company based in</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0"/>
              </w:rPr>
              <w:t>Taiwan. Since April 1996, Mr. Chang has been President of InveStar</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0"/>
              </w:rPr>
              <w:t>Capital, Inc., a technology venture capital management firm based in</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Taiwan. Since February 1998, Mr. Chang has also been the</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managing member of Forefront Associates LLC, which is the</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5"/>
              </w:rPr>
              <w:t>general partner of Forefront Venture Partners, L.P. From 1994 to</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8"/>
              </w:rPr>
              <w:t>1996, Mr. Chang was Senior Vice President of WK Technology</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7"/>
              </w:rPr>
              <w:t>Fund, a venture capital fund. Mr. Chang serves as a director for</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Oplink Communications, Inc. Mr. Chang holds a Bachelor of</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Science degree from National Taiwan University and a Master of</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Business Administration degree from National Chiao-Tung</w:t>
            </w:r>
          </w:p>
        </w:tc>
        <w:tc>
          <w:tcPr>
            <w:tcW w:w="0" w:type="dxa"/>
            <w:vAlign w:val="bottom"/>
          </w:tcPr>
          <w:p>
            <w:pPr>
              <w:spacing w:after="0"/>
              <w:rPr>
                <w:sz w:val="1"/>
                <w:szCs w:val="1"/>
                <w:color w:val="auto"/>
              </w:rPr>
            </w:pPr>
          </w:p>
        </w:tc>
      </w:tr>
      <w:tr>
        <w:trPr>
          <w:trHeight w:val="230"/>
        </w:trPr>
        <w:tc>
          <w:tcPr>
            <w:tcW w:w="33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University in Taiwan.</w:t>
            </w:r>
          </w:p>
        </w:tc>
        <w:tc>
          <w:tcPr>
            <w:tcW w:w="0" w:type="dxa"/>
            <w:vAlign w:val="bottom"/>
          </w:tcPr>
          <w:p>
            <w:pPr>
              <w:spacing w:after="0"/>
              <w:rPr>
                <w:sz w:val="1"/>
                <w:szCs w:val="1"/>
                <w:color w:val="auto"/>
              </w:rPr>
            </w:pPr>
          </w:p>
        </w:tc>
      </w:tr>
      <w:tr>
        <w:trPr>
          <w:trHeight w:val="418"/>
        </w:trPr>
        <w:tc>
          <w:tcPr>
            <w:tcW w:w="3380" w:type="dxa"/>
            <w:vAlign w:val="bottom"/>
          </w:tcPr>
          <w:p>
            <w:pPr>
              <w:spacing w:after="0"/>
              <w:rPr>
                <w:sz w:val="20"/>
                <w:szCs w:val="20"/>
                <w:color w:val="auto"/>
              </w:rPr>
            </w:pPr>
            <w:r>
              <w:rPr>
                <w:rFonts w:ascii="Arial" w:cs="Arial" w:eastAsia="Arial" w:hAnsi="Arial"/>
                <w:sz w:val="18"/>
                <w:szCs w:val="18"/>
                <w:color w:val="auto"/>
              </w:rPr>
              <w:t>Ronald D. Verdoorn(2)(3)</w:t>
            </w:r>
          </w:p>
        </w:tc>
        <w:tc>
          <w:tcPr>
            <w:tcW w:w="700" w:type="dxa"/>
            <w:vAlign w:val="bottom"/>
            <w:gridSpan w:val="2"/>
          </w:tcPr>
          <w:p>
            <w:pPr>
              <w:jc w:val="center"/>
              <w:ind w:left="230"/>
              <w:spacing w:after="0"/>
              <w:rPr>
                <w:sz w:val="20"/>
                <w:szCs w:val="20"/>
                <w:color w:val="auto"/>
              </w:rPr>
            </w:pPr>
            <w:r>
              <w:rPr>
                <w:rFonts w:ascii="Arial" w:cs="Arial" w:eastAsia="Arial" w:hAnsi="Arial"/>
                <w:sz w:val="18"/>
                <w:szCs w:val="18"/>
                <w:color w:val="auto"/>
                <w:w w:val="89"/>
              </w:rPr>
              <w:t>53</w:t>
            </w:r>
          </w:p>
        </w:tc>
        <w:tc>
          <w:tcPr>
            <w:tcW w:w="840" w:type="dxa"/>
            <w:vAlign w:val="bottom"/>
            <w:gridSpan w:val="2"/>
          </w:tcPr>
          <w:p>
            <w:pPr>
              <w:jc w:val="right"/>
              <w:ind w:right="108"/>
              <w:spacing w:after="0"/>
              <w:rPr>
                <w:sz w:val="20"/>
                <w:szCs w:val="20"/>
                <w:color w:val="auto"/>
              </w:rPr>
            </w:pPr>
            <w:r>
              <w:rPr>
                <w:rFonts w:ascii="Arial" w:cs="Arial" w:eastAsia="Arial" w:hAnsi="Arial"/>
                <w:sz w:val="18"/>
                <w:szCs w:val="18"/>
                <w:color w:val="auto"/>
              </w:rPr>
              <w:t>2</w:t>
            </w:r>
          </w:p>
        </w:tc>
        <w:tc>
          <w:tcPr>
            <w:tcW w:w="1220" w:type="dxa"/>
            <w:vAlign w:val="bottom"/>
            <w:gridSpan w:val="2"/>
          </w:tcPr>
          <w:p>
            <w:pPr>
              <w:jc w:val="center"/>
              <w:ind w:left="210"/>
              <w:spacing w:after="0"/>
              <w:rPr>
                <w:sz w:val="20"/>
                <w:szCs w:val="20"/>
                <w:color w:val="auto"/>
              </w:rPr>
            </w:pPr>
            <w:r>
              <w:rPr>
                <w:rFonts w:ascii="Arial" w:cs="Arial" w:eastAsia="Arial" w:hAnsi="Arial"/>
                <w:sz w:val="18"/>
                <w:szCs w:val="18"/>
                <w:color w:val="auto"/>
                <w:w w:val="89"/>
              </w:rPr>
              <w:t>2005</w:t>
            </w: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A director since January 1998. From January 1999 to 2002,</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Mr. Verdoorn served as Executive Vice President of Global</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rPr>
              <w:t>Operations for Affymetrix, Inc., a company specializing in the</w:t>
            </w:r>
          </w:p>
        </w:tc>
        <w:tc>
          <w:tcPr>
            <w:tcW w:w="0" w:type="dxa"/>
            <w:vAlign w:val="bottom"/>
          </w:tcPr>
          <w:p>
            <w:pPr>
              <w:spacing w:after="0"/>
              <w:rPr>
                <w:sz w:val="1"/>
                <w:szCs w:val="1"/>
                <w:color w:val="auto"/>
              </w:rPr>
            </w:pPr>
          </w:p>
        </w:tc>
      </w:tr>
      <w:tr>
        <w:trPr>
          <w:trHeight w:val="230"/>
        </w:trPr>
        <w:tc>
          <w:tcPr>
            <w:tcW w:w="33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5280" w:type="dxa"/>
            <w:vAlign w:val="bottom"/>
            <w:gridSpan w:val="2"/>
          </w:tcPr>
          <w:p>
            <w:pPr>
              <w:ind w:left="320"/>
              <w:spacing w:after="0"/>
              <w:rPr>
                <w:sz w:val="20"/>
                <w:szCs w:val="20"/>
                <w:color w:val="auto"/>
              </w:rPr>
            </w:pPr>
            <w:r>
              <w:rPr>
                <w:rFonts w:ascii="Arial" w:cs="Arial" w:eastAsia="Arial" w:hAnsi="Arial"/>
                <w:sz w:val="18"/>
                <w:szCs w:val="18"/>
                <w:color w:val="auto"/>
                <w:w w:val="96"/>
              </w:rPr>
              <w:t>development of technology for acquiring and managing complex</w:t>
            </w:r>
          </w:p>
        </w:tc>
        <w:tc>
          <w:tcPr>
            <w:tcW w:w="0" w:type="dxa"/>
            <w:vAlign w:val="bottom"/>
          </w:tcPr>
          <w:p>
            <w:pPr>
              <w:spacing w:after="0"/>
              <w:rPr>
                <w:sz w:val="1"/>
                <w:szCs w:val="1"/>
                <w:color w:val="auto"/>
              </w:rPr>
            </w:pPr>
          </w:p>
        </w:tc>
      </w:tr>
    </w:tbl>
    <w:p>
      <w:pPr>
        <w:spacing w:after="0" w:line="161" w:lineRule="exact"/>
        <w:rPr>
          <w:sz w:val="20"/>
          <w:szCs w:val="20"/>
          <w:color w:val="auto"/>
        </w:rPr>
      </w:pPr>
    </w:p>
    <w:p>
      <w:pPr>
        <w:sectPr>
          <w:pgSz w:w="11900" w:h="16838" w:orient="portrait"/>
          <w:cols w:equalWidth="0" w:num="1">
            <w:col w:w="11420"/>
          </w:cols>
          <w:pgMar w:left="240" w:top="419" w:right="239" w:bottom="746" w:gutter="0" w:footer="0" w:header="0"/>
        </w:sectPr>
      </w:pPr>
    </w:p>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746" w:gutter="0" w:footer="0" w:header="0"/>
          <w:type w:val="continuous"/>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20" w:type="dxa"/>
            <w:vAlign w:val="bottom"/>
            <w:vMerge w:val="restart"/>
          </w:tcPr>
          <w:p>
            <w:pPr>
              <w:ind w:left="1180"/>
              <w:spacing w:after="0"/>
              <w:rPr>
                <w:sz w:val="20"/>
                <w:szCs w:val="20"/>
                <w:color w:val="auto"/>
              </w:rPr>
            </w:pPr>
            <w:r>
              <w:rPr>
                <w:rFonts w:ascii="Arial" w:cs="Arial" w:eastAsia="Arial" w:hAnsi="Arial"/>
                <w:sz w:val="14"/>
                <w:szCs w:val="14"/>
                <w:b w:val="1"/>
                <w:bCs w:val="1"/>
                <w:color w:val="auto"/>
              </w:rPr>
              <w:t>Name of Director</w:t>
            </w:r>
          </w:p>
        </w:tc>
        <w:tc>
          <w:tcPr>
            <w:tcW w:w="320" w:type="dxa"/>
            <w:vAlign w:val="bottom"/>
          </w:tcPr>
          <w:p>
            <w:pPr>
              <w:spacing w:after="0"/>
              <w:rPr>
                <w:sz w:val="14"/>
                <w:szCs w:val="14"/>
                <w:color w:val="auto"/>
              </w:rPr>
            </w:pPr>
          </w:p>
        </w:tc>
        <w:tc>
          <w:tcPr>
            <w:tcW w:w="340" w:type="dxa"/>
            <w:vAlign w:val="bottom"/>
            <w:vMerge w:val="restart"/>
          </w:tcPr>
          <w:p>
            <w:pPr>
              <w:ind w:left="60"/>
              <w:spacing w:after="0"/>
              <w:rPr>
                <w:sz w:val="20"/>
                <w:szCs w:val="20"/>
                <w:color w:val="auto"/>
              </w:rPr>
            </w:pPr>
            <w:r>
              <w:rPr>
                <w:rFonts w:ascii="Arial" w:cs="Arial" w:eastAsia="Arial" w:hAnsi="Arial"/>
                <w:sz w:val="14"/>
                <w:szCs w:val="14"/>
                <w:b w:val="1"/>
                <w:bCs w:val="1"/>
                <w:color w:val="auto"/>
                <w:w w:val="98"/>
              </w:rPr>
              <w:t>Age</w:t>
            </w:r>
          </w:p>
        </w:tc>
        <w:tc>
          <w:tcPr>
            <w:tcW w:w="540" w:type="dxa"/>
            <w:vAlign w:val="bottom"/>
          </w:tcPr>
          <w:p>
            <w:pPr>
              <w:spacing w:after="0"/>
              <w:rPr>
                <w:sz w:val="14"/>
                <w:szCs w:val="14"/>
                <w:color w:val="auto"/>
              </w:rPr>
            </w:pPr>
          </w:p>
        </w:tc>
        <w:tc>
          <w:tcPr>
            <w:tcW w:w="520" w:type="dxa"/>
            <w:vAlign w:val="bottom"/>
          </w:tcPr>
          <w:p>
            <w:pPr>
              <w:ind w:left="20"/>
              <w:spacing w:after="0"/>
              <w:rPr>
                <w:sz w:val="20"/>
                <w:szCs w:val="20"/>
                <w:color w:val="auto"/>
              </w:rPr>
            </w:pPr>
            <w:r>
              <w:rPr>
                <w:rFonts w:ascii="Arial" w:cs="Arial" w:eastAsia="Arial" w:hAnsi="Arial"/>
                <w:sz w:val="14"/>
                <w:szCs w:val="14"/>
                <w:b w:val="1"/>
                <w:bCs w:val="1"/>
                <w:color w:val="auto"/>
                <w:w w:val="88"/>
              </w:rPr>
              <w:t>Class of</w:t>
            </w:r>
          </w:p>
        </w:tc>
        <w:tc>
          <w:tcPr>
            <w:tcW w:w="320" w:type="dxa"/>
            <w:vAlign w:val="bottom"/>
          </w:tcPr>
          <w:p>
            <w:pPr>
              <w:spacing w:after="0"/>
              <w:rPr>
                <w:sz w:val="14"/>
                <w:szCs w:val="14"/>
                <w:color w:val="auto"/>
              </w:rPr>
            </w:pPr>
          </w:p>
        </w:tc>
        <w:tc>
          <w:tcPr>
            <w:tcW w:w="11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Term Expires</w:t>
            </w:r>
          </w:p>
        </w:tc>
        <w:tc>
          <w:tcPr>
            <w:tcW w:w="4820" w:type="dxa"/>
            <w:vAlign w:val="bottom"/>
            <w:vMerge w:val="restart"/>
          </w:tcPr>
          <w:p>
            <w:pPr>
              <w:ind w:left="204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86"/>
        </w:trPr>
        <w:tc>
          <w:tcPr>
            <w:tcW w:w="3420" w:type="dxa"/>
            <w:vAlign w:val="bottom"/>
            <w:vMerge w:val="continue"/>
          </w:tcPr>
          <w:p>
            <w:pPr>
              <w:spacing w:after="0"/>
              <w:rPr>
                <w:sz w:val="16"/>
                <w:szCs w:val="16"/>
                <w:color w:val="auto"/>
              </w:rPr>
            </w:pPr>
          </w:p>
        </w:tc>
        <w:tc>
          <w:tcPr>
            <w:tcW w:w="320" w:type="dxa"/>
            <w:vAlign w:val="bottom"/>
          </w:tcPr>
          <w:p>
            <w:pPr>
              <w:spacing w:after="0"/>
              <w:rPr>
                <w:sz w:val="16"/>
                <w:szCs w:val="16"/>
                <w:color w:val="auto"/>
              </w:rPr>
            </w:pPr>
          </w:p>
        </w:tc>
        <w:tc>
          <w:tcPr>
            <w:tcW w:w="340" w:type="dxa"/>
            <w:vAlign w:val="bottom"/>
            <w:vMerge w:val="continue"/>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20"/>
                <w:szCs w:val="20"/>
                <w:color w:val="auto"/>
              </w:rPr>
            </w:pPr>
            <w:r>
              <w:rPr>
                <w:rFonts w:ascii="Arial" w:cs="Arial" w:eastAsia="Arial" w:hAnsi="Arial"/>
                <w:sz w:val="14"/>
                <w:szCs w:val="14"/>
                <w:b w:val="1"/>
                <w:bCs w:val="1"/>
                <w:color w:val="auto"/>
                <w:w w:val="93"/>
              </w:rPr>
              <w:t>Director</w:t>
            </w:r>
          </w:p>
        </w:tc>
        <w:tc>
          <w:tcPr>
            <w:tcW w:w="320" w:type="dxa"/>
            <w:vAlign w:val="bottom"/>
          </w:tcPr>
          <w:p>
            <w:pPr>
              <w:spacing w:after="0"/>
              <w:rPr>
                <w:sz w:val="16"/>
                <w:szCs w:val="16"/>
                <w:color w:val="auto"/>
              </w:rPr>
            </w:pPr>
          </w:p>
        </w:tc>
        <w:tc>
          <w:tcPr>
            <w:tcW w:w="1140" w:type="dxa"/>
            <w:vAlign w:val="bottom"/>
            <w:gridSpan w:val="2"/>
            <w:vMerge w:val="continue"/>
          </w:tcPr>
          <w:p>
            <w:pPr>
              <w:spacing w:after="0"/>
              <w:rPr>
                <w:sz w:val="16"/>
                <w:szCs w:val="16"/>
                <w:color w:val="auto"/>
              </w:rPr>
            </w:pPr>
          </w:p>
        </w:tc>
        <w:tc>
          <w:tcPr>
            <w:tcW w:w="48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3420" w:type="dxa"/>
            <w:vAlign w:val="bottom"/>
            <w:tcBorders>
              <w:bottom w:val="single" w:sz="8" w:color="808080"/>
            </w:tcBorders>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540" w:type="dxa"/>
            <w:vAlign w:val="bottom"/>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320" w:type="dxa"/>
            <w:vAlign w:val="bottom"/>
          </w:tcPr>
          <w:p>
            <w:pPr>
              <w:spacing w:after="0"/>
              <w:rPr>
                <w:sz w:val="5"/>
                <w:szCs w:val="5"/>
                <w:color w:val="auto"/>
              </w:rPr>
            </w:pPr>
          </w:p>
        </w:tc>
        <w:tc>
          <w:tcPr>
            <w:tcW w:w="820" w:type="dxa"/>
            <w:vAlign w:val="bottom"/>
            <w:tcBorders>
              <w:bottom w:val="single" w:sz="8" w:color="808080"/>
            </w:tcBorders>
          </w:tcPr>
          <w:p>
            <w:pPr>
              <w:spacing w:after="0"/>
              <w:rPr>
                <w:sz w:val="5"/>
                <w:szCs w:val="5"/>
                <w:color w:val="auto"/>
              </w:rPr>
            </w:pPr>
          </w:p>
        </w:tc>
        <w:tc>
          <w:tcPr>
            <w:tcW w:w="320" w:type="dxa"/>
            <w:vAlign w:val="bottom"/>
          </w:tcPr>
          <w:p>
            <w:pPr>
              <w:spacing w:after="0"/>
              <w:rPr>
                <w:sz w:val="5"/>
                <w:szCs w:val="5"/>
                <w:color w:val="auto"/>
              </w:rPr>
            </w:pPr>
          </w:p>
        </w:tc>
        <w:tc>
          <w:tcPr>
            <w:tcW w:w="48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34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820" w:type="dxa"/>
            <w:vAlign w:val="bottom"/>
          </w:tcPr>
          <w:p>
            <w:pPr>
              <w:spacing w:after="0"/>
              <w:rPr>
                <w:sz w:val="20"/>
                <w:szCs w:val="20"/>
                <w:color w:val="auto"/>
              </w:rPr>
            </w:pPr>
            <w:r>
              <w:rPr>
                <w:rFonts w:ascii="Arial" w:cs="Arial" w:eastAsia="Arial" w:hAnsi="Arial"/>
                <w:sz w:val="18"/>
                <w:szCs w:val="18"/>
                <w:color w:val="auto"/>
                <w:w w:val="92"/>
              </w:rPr>
              <w:t>genetic information for use in biomedical research, genomics and</w:t>
            </w:r>
          </w:p>
        </w:tc>
        <w:tc>
          <w:tcPr>
            <w:tcW w:w="0" w:type="dxa"/>
            <w:vAlign w:val="bottom"/>
          </w:tcPr>
          <w:p>
            <w:pPr>
              <w:spacing w:after="0"/>
              <w:rPr>
                <w:sz w:val="1"/>
                <w:szCs w:val="1"/>
                <w:color w:val="auto"/>
              </w:rPr>
            </w:pPr>
          </w:p>
        </w:tc>
      </w:tr>
      <w:tr>
        <w:trPr>
          <w:trHeight w:val="216"/>
        </w:trPr>
        <w:tc>
          <w:tcPr>
            <w:tcW w:w="3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w w:val="94"/>
              </w:rPr>
              <w:t>clinical diagnostics. From 1997 to 1999, Mr. Verdoorn served as</w:t>
            </w:r>
          </w:p>
        </w:tc>
        <w:tc>
          <w:tcPr>
            <w:tcW w:w="0" w:type="dxa"/>
            <w:vAlign w:val="bottom"/>
          </w:tcPr>
          <w:p>
            <w:pPr>
              <w:spacing w:after="0"/>
              <w:rPr>
                <w:sz w:val="1"/>
                <w:szCs w:val="1"/>
                <w:color w:val="auto"/>
              </w:rPr>
            </w:pPr>
          </w:p>
        </w:tc>
      </w:tr>
      <w:tr>
        <w:trPr>
          <w:trHeight w:val="216"/>
        </w:trPr>
        <w:tc>
          <w:tcPr>
            <w:tcW w:w="3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w w:val="95"/>
              </w:rPr>
              <w:t>an independent consultant to the hard disk drive industry. From</w:t>
            </w:r>
          </w:p>
        </w:tc>
        <w:tc>
          <w:tcPr>
            <w:tcW w:w="0" w:type="dxa"/>
            <w:vAlign w:val="bottom"/>
          </w:tcPr>
          <w:p>
            <w:pPr>
              <w:spacing w:after="0"/>
              <w:rPr>
                <w:sz w:val="1"/>
                <w:szCs w:val="1"/>
                <w:color w:val="auto"/>
              </w:rPr>
            </w:pPr>
          </w:p>
        </w:tc>
      </w:tr>
      <w:tr>
        <w:trPr>
          <w:trHeight w:val="216"/>
        </w:trPr>
        <w:tc>
          <w:tcPr>
            <w:tcW w:w="3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1983 to 1997, Mr. Verdoorn held a number of positions with</w:t>
            </w:r>
          </w:p>
        </w:tc>
        <w:tc>
          <w:tcPr>
            <w:tcW w:w="0" w:type="dxa"/>
            <w:vAlign w:val="bottom"/>
          </w:tcPr>
          <w:p>
            <w:pPr>
              <w:spacing w:after="0"/>
              <w:rPr>
                <w:sz w:val="1"/>
                <w:szCs w:val="1"/>
                <w:color w:val="auto"/>
              </w:rPr>
            </w:pPr>
          </w:p>
        </w:tc>
      </w:tr>
      <w:tr>
        <w:trPr>
          <w:trHeight w:val="216"/>
        </w:trPr>
        <w:tc>
          <w:tcPr>
            <w:tcW w:w="3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Seagate Technology, Inc., most recently as Executive Vice</w:t>
            </w:r>
          </w:p>
        </w:tc>
        <w:tc>
          <w:tcPr>
            <w:tcW w:w="0" w:type="dxa"/>
            <w:vAlign w:val="bottom"/>
          </w:tcPr>
          <w:p>
            <w:pPr>
              <w:spacing w:after="0"/>
              <w:rPr>
                <w:sz w:val="1"/>
                <w:szCs w:val="1"/>
                <w:color w:val="auto"/>
              </w:rPr>
            </w:pPr>
          </w:p>
        </w:tc>
      </w:tr>
      <w:tr>
        <w:trPr>
          <w:trHeight w:val="216"/>
        </w:trPr>
        <w:tc>
          <w:tcPr>
            <w:tcW w:w="3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w w:val="95"/>
              </w:rPr>
              <w:t>President and Chief Operating Officer of Storage Products. Mr.</w:t>
            </w:r>
          </w:p>
        </w:tc>
        <w:tc>
          <w:tcPr>
            <w:tcW w:w="0" w:type="dxa"/>
            <w:vAlign w:val="bottom"/>
          </w:tcPr>
          <w:p>
            <w:pPr>
              <w:spacing w:after="0"/>
              <w:rPr>
                <w:sz w:val="1"/>
                <w:szCs w:val="1"/>
                <w:color w:val="auto"/>
              </w:rPr>
            </w:pPr>
          </w:p>
        </w:tc>
      </w:tr>
      <w:tr>
        <w:trPr>
          <w:trHeight w:val="216"/>
        </w:trPr>
        <w:tc>
          <w:tcPr>
            <w:tcW w:w="3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Verdoorn holds a Bachelor of Arts degree in Sociology from</w:t>
            </w:r>
          </w:p>
        </w:tc>
        <w:tc>
          <w:tcPr>
            <w:tcW w:w="0" w:type="dxa"/>
            <w:vAlign w:val="bottom"/>
          </w:tcPr>
          <w:p>
            <w:pPr>
              <w:spacing w:after="0"/>
              <w:rPr>
                <w:sz w:val="1"/>
                <w:szCs w:val="1"/>
                <w:color w:val="auto"/>
              </w:rPr>
            </w:pPr>
          </w:p>
        </w:tc>
      </w:tr>
      <w:tr>
        <w:trPr>
          <w:trHeight w:val="230"/>
        </w:trPr>
        <w:tc>
          <w:tcPr>
            <w:tcW w:w="34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Linfield College.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137160</wp:posOffset>
            </wp:positionV>
            <wp:extent cx="13208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540" w:hanging="526"/>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225" w:lineRule="exact"/>
        <w:rPr>
          <w:rFonts w:ascii="Arial" w:cs="Arial" w:eastAsia="Arial" w:hAnsi="Arial"/>
          <w:sz w:val="18"/>
          <w:szCs w:val="18"/>
          <w:color w:val="auto"/>
        </w:rPr>
      </w:pPr>
    </w:p>
    <w:p>
      <w:pPr>
        <w:ind w:left="540" w:hanging="526"/>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Governance Committee.</w:t>
      </w:r>
    </w:p>
    <w:p>
      <w:pPr>
        <w:spacing w:after="0" w:line="225" w:lineRule="exact"/>
        <w:rPr>
          <w:rFonts w:ascii="Arial" w:cs="Arial" w:eastAsia="Arial" w:hAnsi="Arial"/>
          <w:sz w:val="18"/>
          <w:szCs w:val="18"/>
          <w:color w:val="auto"/>
        </w:rPr>
      </w:pPr>
    </w:p>
    <w:p>
      <w:pPr>
        <w:ind w:left="540" w:hanging="526"/>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25" w:lineRule="exact"/>
        <w:rPr>
          <w:rFonts w:ascii="Arial" w:cs="Arial" w:eastAsia="Arial" w:hAnsi="Arial"/>
          <w:sz w:val="18"/>
          <w:szCs w:val="18"/>
          <w:color w:val="auto"/>
        </w:rPr>
      </w:pPr>
    </w:p>
    <w:p>
      <w:pPr>
        <w:ind w:left="540" w:hanging="526"/>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Stock Option Committee.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2</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RE-APPOINTMENT OF INDEPENDENT AUDITORS</w:t>
      </w:r>
    </w:p>
    <w:p>
      <w:pPr>
        <w:spacing w:after="0" w:line="189" w:lineRule="exact"/>
        <w:rPr>
          <w:sz w:val="20"/>
          <w:szCs w:val="20"/>
          <w:color w:val="auto"/>
        </w:rPr>
      </w:pPr>
    </w:p>
    <w:p>
      <w:pPr>
        <w:ind w:right="180" w:firstLine="225"/>
        <w:spacing w:after="0" w:line="264" w:lineRule="auto"/>
        <w:rPr>
          <w:sz w:val="20"/>
          <w:szCs w:val="20"/>
          <w:color w:val="auto"/>
        </w:rPr>
      </w:pPr>
      <w:r>
        <w:rPr>
          <w:rFonts w:ascii="Arial" w:cs="Arial" w:eastAsia="Arial" w:hAnsi="Arial"/>
          <w:sz w:val="18"/>
          <w:szCs w:val="18"/>
          <w:color w:val="auto"/>
        </w:rPr>
        <w:t>In accordance with Section 89 of the Companies Act 1981 of Bermuda, the Company’s shareholders have the authority to appoint the Company’s independent auditors. At the meeting, shareholders will be asked to re-appoint PricewaterhouseCoopers LLP as the Company’s independent auditors for the Company’s 2005 fiscal year ending January 29, 2005.</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02" w:lineRule="exact"/>
        <w:rPr>
          <w:sz w:val="20"/>
          <w:szCs w:val="20"/>
          <w:color w:val="auto"/>
        </w:rPr>
      </w:pPr>
    </w:p>
    <w:p>
      <w:pPr>
        <w:ind w:right="180" w:firstLine="222"/>
        <w:spacing w:after="0" w:line="297" w:lineRule="auto"/>
        <w:rPr>
          <w:sz w:val="20"/>
          <w:szCs w:val="20"/>
          <w:color w:val="auto"/>
        </w:rPr>
      </w:pPr>
      <w:r>
        <w:rPr>
          <w:rFonts w:ascii="Arial" w:cs="Arial" w:eastAsia="Arial" w:hAnsi="Arial"/>
          <w:sz w:val="16"/>
          <w:szCs w:val="16"/>
          <w:color w:val="auto"/>
        </w:rPr>
        <w:t>The Board of Directors recommends that you vote FOR the re-appointment of PricewaterhouseCoopers LLP as the Company’s independent auditors for the Company’s 2005 fiscal year ending January 29, 2005. The affirmative vote of the holders of Common Stock representing a majority of the voting power of the outstanding Common Stock, present or represented by proxy and voting at the Annual General Meeting, is required to re-appoint PricewaterhouseCoopers LLP. In the event that the shareholders do not appoint independent auditors at the Annual General Meeting, Bermuda law requires that the existing auditor remain in office until a successor is appointed in accordance with Bermuda law and the Company’s Bye-laws.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3</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AUTHORIZE THE BOARD OF DIRECTORS</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TO FIX THE AUDITORS’ REMUNERATION</w:t>
      </w:r>
    </w:p>
    <w:p>
      <w:pPr>
        <w:spacing w:after="0" w:line="189" w:lineRule="exact"/>
        <w:rPr>
          <w:sz w:val="20"/>
          <w:szCs w:val="20"/>
          <w:color w:val="auto"/>
        </w:rPr>
      </w:pPr>
    </w:p>
    <w:p>
      <w:pPr>
        <w:ind w:right="60" w:firstLine="225"/>
        <w:spacing w:after="0" w:line="264" w:lineRule="auto"/>
        <w:rPr>
          <w:sz w:val="20"/>
          <w:szCs w:val="20"/>
          <w:color w:val="auto"/>
        </w:rPr>
      </w:pPr>
      <w:r>
        <w:rPr>
          <w:rFonts w:ascii="Arial" w:cs="Arial" w:eastAsia="Arial" w:hAnsi="Arial"/>
          <w:sz w:val="18"/>
          <w:szCs w:val="18"/>
          <w:color w:val="auto"/>
        </w:rPr>
        <w:t>In accordance with Section 89 of the Companies Act 1981 of Bermuda, the Company’s shareholders have the authority to authorize the Board of Directors to fix the auditors’ remuneration for the Company’s 2005 fiscal year ending January 29, 2005. At the meeting, shareholders will be asked to authorize the Board of Directors to fix the auditors’ remuneration.</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02" w:lineRule="exact"/>
        <w:rPr>
          <w:sz w:val="20"/>
          <w:szCs w:val="20"/>
          <w:color w:val="auto"/>
        </w:rPr>
      </w:pPr>
    </w:p>
    <w:p>
      <w:pPr>
        <w:ind w:right="40" w:firstLine="222"/>
        <w:spacing w:after="0" w:line="279" w:lineRule="auto"/>
        <w:rPr>
          <w:sz w:val="20"/>
          <w:szCs w:val="20"/>
          <w:color w:val="auto"/>
        </w:rPr>
      </w:pPr>
      <w:r>
        <w:rPr>
          <w:rFonts w:ascii="Arial" w:cs="Arial" w:eastAsia="Arial" w:hAnsi="Arial"/>
          <w:sz w:val="17"/>
          <w:szCs w:val="17"/>
          <w:color w:val="auto"/>
        </w:rPr>
        <w:t>The Board of Directors recommends that you vote FOR authorizing the Board of Directors to fix the remuneration of PricewaterhouseCoopers LLP for the Company’s 2005 fiscal year ending January 29, 2005. The affirmative vote of the holders of Common Stock representing a majority of the voting power of the outstanding Common Stock, present or represented by proxy and voting at the Annual General Meeting, is required to authorize the Board of Directors to fix the auditors’ remuneration for the Company’s 2005 fiscal year ending January 29, 2005.</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4</w:t>
      </w:r>
    </w:p>
    <w:p>
      <w:pPr>
        <w:spacing w:after="0" w:line="19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INCREASE OF AUTHORIZED SHARE CAPITAL</w:t>
      </w:r>
    </w:p>
    <w:p>
      <w:pPr>
        <w:spacing w:after="0" w:line="189" w:lineRule="exact"/>
        <w:rPr>
          <w:sz w:val="20"/>
          <w:szCs w:val="20"/>
          <w:color w:val="auto"/>
        </w:rPr>
      </w:pPr>
    </w:p>
    <w:p>
      <w:pPr>
        <w:ind w:left="220"/>
        <w:spacing w:after="0"/>
        <w:rPr>
          <w:sz w:val="20"/>
          <w:szCs w:val="20"/>
          <w:color w:val="auto"/>
        </w:rPr>
      </w:pPr>
      <w:r>
        <w:rPr>
          <w:rFonts w:ascii="Arial" w:cs="Arial" w:eastAsia="Arial" w:hAnsi="Arial"/>
          <w:sz w:val="17"/>
          <w:szCs w:val="17"/>
          <w:color w:val="auto"/>
        </w:rPr>
        <w:t>At the Annual General Meeting, the shareholders will be asked to approve an increase to the Company’s authorized share capital. Effective as of</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February 25, 2004, the Board of Directors approved a bonus issue of shares to effectuate a 2 for 1 stock split, subject to shareholder approval of an increase 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authorized share capital of the Company.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Changes</w:t>
      </w:r>
    </w:p>
    <w:p>
      <w:pPr>
        <w:spacing w:after="0" w:line="202" w:lineRule="exact"/>
        <w:rPr>
          <w:sz w:val="20"/>
          <w:szCs w:val="20"/>
          <w:color w:val="auto"/>
        </w:rPr>
      </w:pPr>
    </w:p>
    <w:p>
      <w:pPr>
        <w:ind w:right="80" w:firstLine="222"/>
        <w:spacing w:after="0" w:line="277" w:lineRule="auto"/>
        <w:rPr>
          <w:sz w:val="20"/>
          <w:szCs w:val="20"/>
          <w:color w:val="auto"/>
        </w:rPr>
      </w:pPr>
      <w:r>
        <w:rPr>
          <w:rFonts w:ascii="Arial" w:cs="Arial" w:eastAsia="Arial" w:hAnsi="Arial"/>
          <w:sz w:val="18"/>
          <w:szCs w:val="18"/>
          <w:color w:val="auto"/>
        </w:rPr>
        <w:t>The Company proposes to increase the authorized share capital of the Company from US$500,000.00 to US$1,000,000.00 by the creation of 250,000,000 additional shares of Common Stock of par value $0.002 each.</w:t>
      </w:r>
    </w:p>
    <w:p>
      <w:pPr>
        <w:spacing w:after="0" w:line="130" w:lineRule="exact"/>
        <w:rPr>
          <w:sz w:val="20"/>
          <w:szCs w:val="20"/>
          <w:color w:val="auto"/>
        </w:rPr>
      </w:pPr>
    </w:p>
    <w:p>
      <w:pPr>
        <w:ind w:right="60" w:firstLine="222"/>
        <w:spacing w:after="0" w:line="257" w:lineRule="auto"/>
        <w:rPr>
          <w:sz w:val="20"/>
          <w:szCs w:val="20"/>
          <w:color w:val="auto"/>
        </w:rPr>
      </w:pPr>
      <w:r>
        <w:rPr>
          <w:rFonts w:ascii="Arial" w:cs="Arial" w:eastAsia="Arial" w:hAnsi="Arial"/>
          <w:sz w:val="18"/>
          <w:szCs w:val="18"/>
          <w:color w:val="auto"/>
        </w:rPr>
        <w:t>The increased authorized share capital will allow the Board to issue bonus shares to effectuate the 2 for 1 stock split approved by the Board on February 25, 2004. The Board believes the additional authorized share capital is necessary to allow the issuance of the bonus shares to effectuate the stock split, which stock split will offer investors in the Company’s shares enhanced liquidity in the shares and make the shares more attractive to a broader range of investors. The effect of the additional authorized shares and the subsequent bonus issue of shares will be to double the number of authorized and outstanding shares of Common Stock.</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02" w:lineRule="exact"/>
        <w:rPr>
          <w:sz w:val="20"/>
          <w:szCs w:val="20"/>
          <w:color w:val="auto"/>
        </w:rPr>
      </w:pPr>
    </w:p>
    <w:p>
      <w:pPr>
        <w:ind w:firstLine="222"/>
        <w:spacing w:after="0" w:line="264" w:lineRule="auto"/>
        <w:rPr>
          <w:sz w:val="20"/>
          <w:szCs w:val="20"/>
          <w:color w:val="auto"/>
        </w:rPr>
      </w:pPr>
      <w:r>
        <w:rPr>
          <w:rFonts w:ascii="Arial" w:cs="Arial" w:eastAsia="Arial" w:hAnsi="Arial"/>
          <w:sz w:val="18"/>
          <w:szCs w:val="18"/>
          <w:color w:val="auto"/>
        </w:rPr>
        <w:t>The Board of Directors recommends that you vote FOR approving the increase of authorized share capital. The affirmative vote of the holders of Common Stock representing a majority of the voting power of the outstanding Common Stock, present or represented by proxy and voting at the Annual General Meeting, is required to approve the increase of authorized share capital.</w:t>
      </w:r>
    </w:p>
    <w:p>
      <w:pPr>
        <w:spacing w:after="0" w:line="1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following table sets forth certain information as to our equity compensation plans in effect as of January 31, 2004.</w:t>
      </w:r>
    </w:p>
    <w:p>
      <w:pPr>
        <w:spacing w:after="0" w:line="380" w:lineRule="exact"/>
        <w:rPr>
          <w:sz w:val="20"/>
          <w:szCs w:val="20"/>
          <w:color w:val="auto"/>
        </w:rPr>
      </w:pPr>
    </w:p>
    <w:tbl>
      <w:tblPr>
        <w:tblLayout w:type="fixed"/>
        <w:tblInd w:w="70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80" w:type="dxa"/>
            <w:vAlign w:val="bottom"/>
          </w:tcPr>
          <w:p>
            <w:pPr>
              <w:jc w:val="center"/>
              <w:spacing w:after="0"/>
              <w:rPr>
                <w:sz w:val="20"/>
                <w:szCs w:val="20"/>
                <w:color w:val="auto"/>
              </w:rPr>
            </w:pPr>
            <w:r>
              <w:rPr>
                <w:rFonts w:ascii="Arial" w:cs="Arial" w:eastAsia="Arial" w:hAnsi="Arial"/>
                <w:sz w:val="14"/>
                <w:szCs w:val="14"/>
                <w:b w:val="1"/>
                <w:bCs w:val="1"/>
                <w:color w:val="auto"/>
                <w:w w:val="91"/>
              </w:rPr>
              <w:t>Number of securities</w:t>
            </w:r>
          </w:p>
        </w:tc>
        <w:tc>
          <w:tcPr>
            <w:tcW w:w="0" w:type="dxa"/>
            <w:vAlign w:val="bottom"/>
          </w:tcPr>
          <w:p>
            <w:pPr>
              <w:spacing w:after="0"/>
              <w:rPr>
                <w:sz w:val="1"/>
                <w:szCs w:val="1"/>
                <w:color w:val="auto"/>
              </w:rPr>
            </w:pPr>
          </w:p>
        </w:tc>
      </w:tr>
      <w:tr>
        <w:trPr>
          <w:trHeight w:val="149"/>
        </w:trPr>
        <w:tc>
          <w:tcPr>
            <w:tcW w:w="43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9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Number of securities to be</w:t>
            </w:r>
          </w:p>
        </w:tc>
        <w:tc>
          <w:tcPr>
            <w:tcW w:w="40" w:type="dxa"/>
            <w:vAlign w:val="bottom"/>
          </w:tcPr>
          <w:p>
            <w:pPr>
              <w:spacing w:after="0"/>
              <w:rPr>
                <w:sz w:val="12"/>
                <w:szCs w:val="12"/>
                <w:color w:val="auto"/>
              </w:rPr>
            </w:pPr>
          </w:p>
        </w:tc>
        <w:tc>
          <w:tcPr>
            <w:tcW w:w="14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Weighted-average</w:t>
            </w:r>
          </w:p>
        </w:tc>
        <w:tc>
          <w:tcPr>
            <w:tcW w:w="60" w:type="dxa"/>
            <w:vAlign w:val="bottom"/>
          </w:tcPr>
          <w:p>
            <w:pPr>
              <w:spacing w:after="0"/>
              <w:rPr>
                <w:sz w:val="12"/>
                <w:szCs w:val="12"/>
                <w:color w:val="auto"/>
              </w:rPr>
            </w:pPr>
          </w:p>
        </w:tc>
        <w:tc>
          <w:tcPr>
            <w:tcW w:w="2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remaining available for</w:t>
            </w:r>
          </w:p>
        </w:tc>
        <w:tc>
          <w:tcPr>
            <w:tcW w:w="0" w:type="dxa"/>
            <w:vAlign w:val="bottom"/>
          </w:tcPr>
          <w:p>
            <w:pPr>
              <w:spacing w:after="0"/>
              <w:rPr>
                <w:sz w:val="1"/>
                <w:szCs w:val="1"/>
                <w:color w:val="auto"/>
              </w:rPr>
            </w:pPr>
          </w:p>
        </w:tc>
      </w:tr>
      <w:tr>
        <w:trPr>
          <w:trHeight w:val="149"/>
        </w:trPr>
        <w:tc>
          <w:tcPr>
            <w:tcW w:w="43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9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8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2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future issuance under</w:t>
            </w:r>
          </w:p>
        </w:tc>
        <w:tc>
          <w:tcPr>
            <w:tcW w:w="0" w:type="dxa"/>
            <w:vAlign w:val="bottom"/>
          </w:tcPr>
          <w:p>
            <w:pPr>
              <w:spacing w:after="0"/>
              <w:rPr>
                <w:sz w:val="1"/>
                <w:szCs w:val="1"/>
                <w:color w:val="auto"/>
              </w:rPr>
            </w:pPr>
          </w:p>
        </w:tc>
      </w:tr>
      <w:tr>
        <w:trPr>
          <w:trHeight w:val="149"/>
        </w:trPr>
        <w:tc>
          <w:tcPr>
            <w:tcW w:w="43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issued upon exercise of</w:t>
            </w:r>
          </w:p>
        </w:tc>
        <w:tc>
          <w:tcPr>
            <w:tcW w:w="40" w:type="dxa"/>
            <w:vAlign w:val="bottom"/>
          </w:tcPr>
          <w:p>
            <w:pPr>
              <w:spacing w:after="0"/>
              <w:rPr>
                <w:sz w:val="12"/>
                <w:szCs w:val="12"/>
                <w:color w:val="auto"/>
              </w:rPr>
            </w:pPr>
          </w:p>
        </w:tc>
        <w:tc>
          <w:tcPr>
            <w:tcW w:w="1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exercise price of</w:t>
            </w:r>
          </w:p>
        </w:tc>
        <w:tc>
          <w:tcPr>
            <w:tcW w:w="60" w:type="dxa"/>
            <w:vAlign w:val="bottom"/>
          </w:tcPr>
          <w:p>
            <w:pPr>
              <w:spacing w:after="0"/>
              <w:rPr>
                <w:sz w:val="12"/>
                <w:szCs w:val="12"/>
                <w:color w:val="auto"/>
              </w:rPr>
            </w:pPr>
          </w:p>
        </w:tc>
        <w:tc>
          <w:tcPr>
            <w:tcW w:w="2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equity compensation plans</w:t>
            </w:r>
          </w:p>
        </w:tc>
        <w:tc>
          <w:tcPr>
            <w:tcW w:w="0" w:type="dxa"/>
            <w:vAlign w:val="bottom"/>
          </w:tcPr>
          <w:p>
            <w:pPr>
              <w:spacing w:after="0"/>
              <w:rPr>
                <w:sz w:val="1"/>
                <w:szCs w:val="1"/>
                <w:color w:val="auto"/>
              </w:rPr>
            </w:pPr>
          </w:p>
        </w:tc>
      </w:tr>
      <w:tr>
        <w:trPr>
          <w:trHeight w:val="149"/>
        </w:trPr>
        <w:tc>
          <w:tcPr>
            <w:tcW w:w="43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outstanding options,</w:t>
            </w:r>
          </w:p>
        </w:tc>
        <w:tc>
          <w:tcPr>
            <w:tcW w:w="40" w:type="dxa"/>
            <w:vAlign w:val="bottom"/>
          </w:tcPr>
          <w:p>
            <w:pPr>
              <w:spacing w:after="0"/>
              <w:rPr>
                <w:sz w:val="12"/>
                <w:szCs w:val="12"/>
                <w:color w:val="auto"/>
              </w:rPr>
            </w:pPr>
          </w:p>
        </w:tc>
        <w:tc>
          <w:tcPr>
            <w:tcW w:w="1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outstanding options,</w:t>
            </w:r>
          </w:p>
        </w:tc>
        <w:tc>
          <w:tcPr>
            <w:tcW w:w="60" w:type="dxa"/>
            <w:vAlign w:val="bottom"/>
          </w:tcPr>
          <w:p>
            <w:pPr>
              <w:spacing w:after="0"/>
              <w:rPr>
                <w:sz w:val="12"/>
                <w:szCs w:val="12"/>
                <w:color w:val="auto"/>
              </w:rPr>
            </w:pPr>
          </w:p>
        </w:tc>
        <w:tc>
          <w:tcPr>
            <w:tcW w:w="2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(excluding securities</w:t>
            </w:r>
          </w:p>
        </w:tc>
        <w:tc>
          <w:tcPr>
            <w:tcW w:w="0" w:type="dxa"/>
            <w:vAlign w:val="bottom"/>
          </w:tcPr>
          <w:p>
            <w:pPr>
              <w:spacing w:after="0"/>
              <w:rPr>
                <w:sz w:val="1"/>
                <w:szCs w:val="1"/>
                <w:color w:val="auto"/>
              </w:rPr>
            </w:pPr>
          </w:p>
        </w:tc>
      </w:tr>
      <w:tr>
        <w:trPr>
          <w:trHeight w:val="149"/>
        </w:trPr>
        <w:tc>
          <w:tcPr>
            <w:tcW w:w="4380" w:type="dxa"/>
            <w:vAlign w:val="bottom"/>
            <w:vMerge w:val="restart"/>
          </w:tcPr>
          <w:p>
            <w:pPr>
              <w:ind w:left="1740"/>
              <w:spacing w:after="0"/>
              <w:rPr>
                <w:sz w:val="20"/>
                <w:szCs w:val="20"/>
                <w:color w:val="auto"/>
              </w:rPr>
            </w:pPr>
            <w:r>
              <w:rPr>
                <w:rFonts w:ascii="Arial" w:cs="Arial" w:eastAsia="Arial" w:hAnsi="Arial"/>
                <w:sz w:val="14"/>
                <w:szCs w:val="14"/>
                <w:b w:val="1"/>
                <w:bCs w:val="1"/>
                <w:color w:val="auto"/>
              </w:rPr>
              <w:t>Plan Category</w:t>
            </w:r>
          </w:p>
        </w:tc>
        <w:tc>
          <w:tcPr>
            <w:tcW w:w="4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warrants and rights</w:t>
            </w:r>
          </w:p>
        </w:tc>
        <w:tc>
          <w:tcPr>
            <w:tcW w:w="40" w:type="dxa"/>
            <w:vAlign w:val="bottom"/>
          </w:tcPr>
          <w:p>
            <w:pPr>
              <w:spacing w:after="0"/>
              <w:rPr>
                <w:sz w:val="12"/>
                <w:szCs w:val="12"/>
                <w:color w:val="auto"/>
              </w:rPr>
            </w:pPr>
          </w:p>
        </w:tc>
        <w:tc>
          <w:tcPr>
            <w:tcW w:w="1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warrants and rights</w:t>
            </w:r>
          </w:p>
        </w:tc>
        <w:tc>
          <w:tcPr>
            <w:tcW w:w="60" w:type="dxa"/>
            <w:vAlign w:val="bottom"/>
          </w:tcPr>
          <w:p>
            <w:pPr>
              <w:spacing w:after="0"/>
              <w:rPr>
                <w:sz w:val="12"/>
                <w:szCs w:val="12"/>
                <w:color w:val="auto"/>
              </w:rPr>
            </w:pPr>
          </w:p>
        </w:tc>
        <w:tc>
          <w:tcPr>
            <w:tcW w:w="2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reflected in column (a))</w:t>
            </w:r>
          </w:p>
        </w:tc>
        <w:tc>
          <w:tcPr>
            <w:tcW w:w="0" w:type="dxa"/>
            <w:vAlign w:val="bottom"/>
          </w:tcPr>
          <w:p>
            <w:pPr>
              <w:spacing w:after="0"/>
              <w:rPr>
                <w:sz w:val="1"/>
                <w:szCs w:val="1"/>
                <w:color w:val="auto"/>
              </w:rPr>
            </w:pPr>
          </w:p>
        </w:tc>
      </w:tr>
      <w:tr>
        <w:trPr>
          <w:trHeight w:val="186"/>
        </w:trPr>
        <w:tc>
          <w:tcPr>
            <w:tcW w:w="43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960" w:type="dxa"/>
            <w:vAlign w:val="bottom"/>
          </w:tcPr>
          <w:p>
            <w:pPr>
              <w:jc w:val="center"/>
              <w:spacing w:after="0"/>
              <w:rPr>
                <w:sz w:val="20"/>
                <w:szCs w:val="20"/>
                <w:color w:val="auto"/>
              </w:rPr>
            </w:pPr>
            <w:r>
              <w:rPr>
                <w:rFonts w:ascii="Arial" w:cs="Arial" w:eastAsia="Arial" w:hAnsi="Arial"/>
                <w:sz w:val="14"/>
                <w:szCs w:val="14"/>
                <w:b w:val="1"/>
                <w:bCs w:val="1"/>
                <w:color w:val="auto"/>
                <w:w w:val="93"/>
              </w:rPr>
              <w:t>(a)</w:t>
            </w:r>
          </w:p>
        </w:tc>
        <w:tc>
          <w:tcPr>
            <w:tcW w:w="40" w:type="dxa"/>
            <w:vAlign w:val="bottom"/>
          </w:tcPr>
          <w:p>
            <w:pPr>
              <w:spacing w:after="0"/>
              <w:rPr>
                <w:sz w:val="16"/>
                <w:szCs w:val="16"/>
                <w:color w:val="auto"/>
              </w:rPr>
            </w:pPr>
          </w:p>
        </w:tc>
        <w:tc>
          <w:tcPr>
            <w:tcW w:w="1480" w:type="dxa"/>
            <w:vAlign w:val="bottom"/>
          </w:tcPr>
          <w:p>
            <w:pPr>
              <w:jc w:val="center"/>
              <w:spacing w:after="0"/>
              <w:rPr>
                <w:sz w:val="20"/>
                <w:szCs w:val="20"/>
                <w:color w:val="auto"/>
              </w:rPr>
            </w:pPr>
            <w:r>
              <w:rPr>
                <w:rFonts w:ascii="Arial" w:cs="Arial" w:eastAsia="Arial" w:hAnsi="Arial"/>
                <w:sz w:val="14"/>
                <w:szCs w:val="14"/>
                <w:b w:val="1"/>
                <w:bCs w:val="1"/>
                <w:color w:val="auto"/>
                <w:w w:val="89"/>
              </w:rPr>
              <w:t>(b)</w:t>
            </w:r>
          </w:p>
        </w:tc>
        <w:tc>
          <w:tcPr>
            <w:tcW w:w="60" w:type="dxa"/>
            <w:vAlign w:val="bottom"/>
          </w:tcPr>
          <w:p>
            <w:pPr>
              <w:spacing w:after="0"/>
              <w:rPr>
                <w:sz w:val="16"/>
                <w:szCs w:val="16"/>
                <w:color w:val="auto"/>
              </w:rPr>
            </w:pPr>
          </w:p>
        </w:tc>
        <w:tc>
          <w:tcPr>
            <w:tcW w:w="2080" w:type="dxa"/>
            <w:vAlign w:val="bottom"/>
          </w:tcPr>
          <w:p>
            <w:pPr>
              <w:jc w:val="center"/>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53"/>
        </w:trPr>
        <w:tc>
          <w:tcPr>
            <w:tcW w:w="438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196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1480" w:type="dxa"/>
            <w:vAlign w:val="bottom"/>
            <w:tcBorders>
              <w:bottom w:val="single" w:sz="8" w:color="808080"/>
            </w:tcBorders>
          </w:tcPr>
          <w:p>
            <w:pPr>
              <w:spacing w:after="0"/>
              <w:rPr>
                <w:sz w:val="4"/>
                <w:szCs w:val="4"/>
                <w:color w:val="auto"/>
              </w:rPr>
            </w:pPr>
          </w:p>
        </w:tc>
        <w:tc>
          <w:tcPr>
            <w:tcW w:w="60" w:type="dxa"/>
            <w:vAlign w:val="bottom"/>
          </w:tcPr>
          <w:p>
            <w:pPr>
              <w:spacing w:after="0"/>
              <w:rPr>
                <w:sz w:val="4"/>
                <w:szCs w:val="4"/>
                <w:color w:val="auto"/>
              </w:rPr>
            </w:pPr>
          </w:p>
        </w:tc>
        <w:tc>
          <w:tcPr>
            <w:tcW w:w="20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4380" w:type="dxa"/>
            <w:vAlign w:val="bottom"/>
          </w:tcPr>
          <w:p>
            <w:pPr>
              <w:spacing w:after="0"/>
              <w:rPr>
                <w:sz w:val="20"/>
                <w:szCs w:val="20"/>
                <w:color w:val="auto"/>
              </w:rPr>
            </w:pPr>
            <w:r>
              <w:rPr>
                <w:rFonts w:ascii="Arial" w:cs="Arial" w:eastAsia="Arial" w:hAnsi="Arial"/>
                <w:sz w:val="18"/>
                <w:szCs w:val="18"/>
                <w:color w:val="auto"/>
                <w:w w:val="89"/>
              </w:rPr>
              <w:t>Equity compensation plans approved by the shareholders (1)</w:t>
            </w:r>
          </w:p>
        </w:tc>
        <w:tc>
          <w:tcPr>
            <w:tcW w:w="2000" w:type="dxa"/>
            <w:vAlign w:val="bottom"/>
            <w:gridSpan w:val="2"/>
          </w:tcPr>
          <w:p>
            <w:pPr>
              <w:jc w:val="right"/>
              <w:ind w:right="508"/>
              <w:spacing w:after="0"/>
              <w:rPr>
                <w:sz w:val="20"/>
                <w:szCs w:val="20"/>
                <w:color w:val="auto"/>
              </w:rPr>
            </w:pPr>
            <w:r>
              <w:rPr>
                <w:rFonts w:ascii="Arial" w:cs="Arial" w:eastAsia="Arial" w:hAnsi="Arial"/>
                <w:sz w:val="18"/>
                <w:szCs w:val="18"/>
                <w:b w:val="1"/>
                <w:bCs w:val="1"/>
                <w:color w:val="auto"/>
              </w:rPr>
              <w:t>30,118,438</w:t>
            </w:r>
          </w:p>
        </w:tc>
        <w:tc>
          <w:tcPr>
            <w:tcW w:w="1520" w:type="dxa"/>
            <w:vAlign w:val="bottom"/>
            <w:gridSpan w:val="2"/>
          </w:tcPr>
          <w:p>
            <w:pPr>
              <w:jc w:val="right"/>
              <w:ind w:right="548"/>
              <w:spacing w:after="0"/>
              <w:rPr>
                <w:sz w:val="20"/>
                <w:szCs w:val="20"/>
                <w:color w:val="auto"/>
              </w:rPr>
            </w:pPr>
            <w:r>
              <w:rPr>
                <w:rFonts w:ascii="Arial" w:cs="Arial" w:eastAsia="Arial" w:hAnsi="Arial"/>
                <w:sz w:val="18"/>
                <w:szCs w:val="18"/>
                <w:b w:val="1"/>
                <w:bCs w:val="1"/>
                <w:color w:val="auto"/>
              </w:rPr>
              <w:t>$24.61</w:t>
            </w:r>
          </w:p>
        </w:tc>
        <w:tc>
          <w:tcPr>
            <w:tcW w:w="2140" w:type="dxa"/>
            <w:vAlign w:val="bottom"/>
            <w:gridSpan w:val="2"/>
          </w:tcPr>
          <w:p>
            <w:pPr>
              <w:jc w:val="right"/>
              <w:ind w:right="406"/>
              <w:spacing w:after="0"/>
              <w:rPr>
                <w:sz w:val="20"/>
                <w:szCs w:val="20"/>
                <w:color w:val="auto"/>
              </w:rPr>
            </w:pPr>
            <w:r>
              <w:rPr>
                <w:rFonts w:ascii="Arial" w:cs="Arial" w:eastAsia="Arial" w:hAnsi="Arial"/>
                <w:sz w:val="18"/>
                <w:szCs w:val="18"/>
                <w:b w:val="1"/>
                <w:bCs w:val="1"/>
                <w:color w:val="auto"/>
              </w:rPr>
              <w:t>8,903,472(2)</w:t>
            </w:r>
          </w:p>
        </w:tc>
        <w:tc>
          <w:tcPr>
            <w:tcW w:w="0" w:type="dxa"/>
            <w:vAlign w:val="bottom"/>
          </w:tcPr>
          <w:p>
            <w:pPr>
              <w:spacing w:after="0"/>
              <w:rPr>
                <w:sz w:val="1"/>
                <w:szCs w:val="1"/>
                <w:color w:val="auto"/>
              </w:rPr>
            </w:pP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Equity compensation plans not approved by the</w:t>
            </w:r>
          </w:p>
        </w:tc>
        <w:tc>
          <w:tcPr>
            <w:tcW w:w="2000" w:type="dxa"/>
            <w:vAlign w:val="bottom"/>
            <w:gridSpan w:val="2"/>
            <w:vMerge w:val="restart"/>
          </w:tcPr>
          <w:p>
            <w:pPr>
              <w:jc w:val="right"/>
              <w:ind w:right="508"/>
              <w:spacing w:after="0"/>
              <w:rPr>
                <w:sz w:val="20"/>
                <w:szCs w:val="20"/>
                <w:color w:val="auto"/>
              </w:rPr>
            </w:pPr>
            <w:r>
              <w:rPr>
                <w:rFonts w:ascii="Arial" w:cs="Arial" w:eastAsia="Arial" w:hAnsi="Arial"/>
                <w:sz w:val="18"/>
                <w:szCs w:val="18"/>
                <w:b w:val="1"/>
                <w:bCs w:val="1"/>
                <w:color w:val="auto"/>
              </w:rPr>
              <w:t>334,383</w:t>
            </w:r>
          </w:p>
        </w:tc>
        <w:tc>
          <w:tcPr>
            <w:tcW w:w="1520" w:type="dxa"/>
            <w:vAlign w:val="bottom"/>
            <w:gridSpan w:val="2"/>
            <w:vMerge w:val="restart"/>
          </w:tcPr>
          <w:p>
            <w:pPr>
              <w:jc w:val="right"/>
              <w:ind w:right="548"/>
              <w:spacing w:after="0"/>
              <w:rPr>
                <w:sz w:val="20"/>
                <w:szCs w:val="20"/>
                <w:color w:val="auto"/>
              </w:rPr>
            </w:pPr>
            <w:r>
              <w:rPr>
                <w:rFonts w:ascii="Arial" w:cs="Arial" w:eastAsia="Arial" w:hAnsi="Arial"/>
                <w:sz w:val="18"/>
                <w:szCs w:val="18"/>
                <w:b w:val="1"/>
                <w:bCs w:val="1"/>
                <w:color w:val="auto"/>
              </w:rPr>
              <w:t>$10.63</w:t>
            </w:r>
          </w:p>
        </w:tc>
        <w:tc>
          <w:tcPr>
            <w:tcW w:w="60" w:type="dxa"/>
            <w:vAlign w:val="bottom"/>
          </w:tcPr>
          <w:p>
            <w:pPr>
              <w:spacing w:after="0"/>
              <w:rPr>
                <w:sz w:val="18"/>
                <w:szCs w:val="18"/>
                <w:color w:val="auto"/>
              </w:rPr>
            </w:pPr>
          </w:p>
        </w:tc>
        <w:tc>
          <w:tcPr>
            <w:tcW w:w="2080" w:type="dxa"/>
            <w:vAlign w:val="bottom"/>
            <w:vMerge w:val="restart"/>
          </w:tcPr>
          <w:p>
            <w:pPr>
              <w:jc w:val="right"/>
              <w:ind w:right="606"/>
              <w:spacing w:after="0"/>
              <w:rPr>
                <w:sz w:val="20"/>
                <w:szCs w:val="20"/>
                <w:color w:val="auto"/>
              </w:rPr>
            </w:pPr>
            <w:r>
              <w:rPr>
                <w:rFonts w:ascii="Arial" w:cs="Arial" w:eastAsia="Arial" w:hAnsi="Arial"/>
                <w:sz w:val="18"/>
                <w:szCs w:val="18"/>
                <w:b w:val="1"/>
                <w:bCs w:val="1"/>
                <w:color w:val="auto"/>
              </w:rPr>
              <w:t>—</w:t>
            </w:r>
          </w:p>
        </w:tc>
        <w:tc>
          <w:tcPr>
            <w:tcW w:w="0" w:type="dxa"/>
            <w:vAlign w:val="bottom"/>
          </w:tcPr>
          <w:p>
            <w:pPr>
              <w:spacing w:after="0"/>
              <w:rPr>
                <w:sz w:val="1"/>
                <w:szCs w:val="1"/>
                <w:color w:val="auto"/>
              </w:rPr>
            </w:pPr>
          </w:p>
        </w:tc>
      </w:tr>
      <w:tr>
        <w:trPr>
          <w:trHeight w:val="212"/>
        </w:trPr>
        <w:tc>
          <w:tcPr>
            <w:tcW w:w="4380" w:type="dxa"/>
            <w:vAlign w:val="bottom"/>
          </w:tcPr>
          <w:p>
            <w:pPr>
              <w:spacing w:after="0"/>
              <w:rPr>
                <w:sz w:val="20"/>
                <w:szCs w:val="20"/>
                <w:color w:val="auto"/>
              </w:rPr>
            </w:pPr>
            <w:r>
              <w:rPr>
                <w:rFonts w:ascii="Arial" w:cs="Arial" w:eastAsia="Arial" w:hAnsi="Arial"/>
                <w:sz w:val="18"/>
                <w:szCs w:val="18"/>
                <w:color w:val="auto"/>
              </w:rPr>
              <w:t>shareholders (3)</w:t>
            </w:r>
          </w:p>
        </w:tc>
        <w:tc>
          <w:tcPr>
            <w:tcW w:w="2000" w:type="dxa"/>
            <w:vAlign w:val="bottom"/>
            <w:gridSpan w:val="2"/>
            <w:vMerge w:val="continue"/>
          </w:tcPr>
          <w:p>
            <w:pPr>
              <w:spacing w:after="0"/>
              <w:rPr>
                <w:sz w:val="18"/>
                <w:szCs w:val="18"/>
                <w:color w:val="auto"/>
              </w:rPr>
            </w:pPr>
          </w:p>
        </w:tc>
        <w:tc>
          <w:tcPr>
            <w:tcW w:w="1520" w:type="dxa"/>
            <w:vAlign w:val="bottom"/>
            <w:gridSpan w:val="2"/>
            <w:vMerge w:val="continue"/>
          </w:tcPr>
          <w:p>
            <w:pPr>
              <w:spacing w:after="0"/>
              <w:rPr>
                <w:sz w:val="18"/>
                <w:szCs w:val="18"/>
                <w:color w:val="auto"/>
              </w:rPr>
            </w:pPr>
          </w:p>
        </w:tc>
        <w:tc>
          <w:tcPr>
            <w:tcW w:w="60" w:type="dxa"/>
            <w:vAlign w:val="bottom"/>
          </w:tcPr>
          <w:p>
            <w:pPr>
              <w:spacing w:after="0"/>
              <w:rPr>
                <w:sz w:val="18"/>
                <w:szCs w:val="18"/>
                <w:color w:val="auto"/>
              </w:rPr>
            </w:pPr>
          </w:p>
        </w:tc>
        <w:tc>
          <w:tcPr>
            <w:tcW w:w="2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380" w:type="dxa"/>
            <w:vAlign w:val="bottom"/>
          </w:tcPr>
          <w:p>
            <w:pPr>
              <w:spacing w:after="0"/>
              <w:rPr>
                <w:sz w:val="20"/>
                <w:szCs w:val="20"/>
                <w:color w:val="auto"/>
              </w:rPr>
            </w:pPr>
            <w:r>
              <w:rPr>
                <w:rFonts w:ascii="Arial" w:cs="Arial" w:eastAsia="Arial" w:hAnsi="Arial"/>
                <w:sz w:val="18"/>
                <w:szCs w:val="18"/>
                <w:color w:val="auto"/>
              </w:rPr>
              <w:t>Total</w:t>
            </w:r>
          </w:p>
        </w:tc>
        <w:tc>
          <w:tcPr>
            <w:tcW w:w="2000" w:type="dxa"/>
            <w:vAlign w:val="bottom"/>
            <w:gridSpan w:val="2"/>
          </w:tcPr>
          <w:p>
            <w:pPr>
              <w:jc w:val="right"/>
              <w:ind w:right="508"/>
              <w:spacing w:after="0"/>
              <w:rPr>
                <w:sz w:val="20"/>
                <w:szCs w:val="20"/>
                <w:color w:val="auto"/>
              </w:rPr>
            </w:pPr>
            <w:r>
              <w:rPr>
                <w:rFonts w:ascii="Arial" w:cs="Arial" w:eastAsia="Arial" w:hAnsi="Arial"/>
                <w:sz w:val="18"/>
                <w:szCs w:val="18"/>
                <w:b w:val="1"/>
                <w:bCs w:val="1"/>
                <w:color w:val="auto"/>
              </w:rPr>
              <w:t>30,452,821</w:t>
            </w:r>
          </w:p>
        </w:tc>
        <w:tc>
          <w:tcPr>
            <w:tcW w:w="1520" w:type="dxa"/>
            <w:vAlign w:val="bottom"/>
            <w:gridSpan w:val="2"/>
          </w:tcPr>
          <w:p>
            <w:pPr>
              <w:jc w:val="right"/>
              <w:ind w:right="548"/>
              <w:spacing w:after="0"/>
              <w:rPr>
                <w:sz w:val="20"/>
                <w:szCs w:val="20"/>
                <w:color w:val="auto"/>
              </w:rPr>
            </w:pPr>
            <w:r>
              <w:rPr>
                <w:rFonts w:ascii="Arial" w:cs="Arial" w:eastAsia="Arial" w:hAnsi="Arial"/>
                <w:sz w:val="18"/>
                <w:szCs w:val="18"/>
                <w:b w:val="1"/>
                <w:bCs w:val="1"/>
                <w:color w:val="auto"/>
              </w:rPr>
              <w:t>$24.47</w:t>
            </w:r>
          </w:p>
        </w:tc>
        <w:tc>
          <w:tcPr>
            <w:tcW w:w="2140" w:type="dxa"/>
            <w:vAlign w:val="bottom"/>
            <w:gridSpan w:val="2"/>
          </w:tcPr>
          <w:p>
            <w:pPr>
              <w:jc w:val="right"/>
              <w:ind w:right="606"/>
              <w:spacing w:after="0"/>
              <w:rPr>
                <w:sz w:val="20"/>
                <w:szCs w:val="20"/>
                <w:color w:val="auto"/>
              </w:rPr>
            </w:pPr>
            <w:r>
              <w:rPr>
                <w:rFonts w:ascii="Arial" w:cs="Arial" w:eastAsia="Arial" w:hAnsi="Arial"/>
                <w:sz w:val="18"/>
                <w:szCs w:val="18"/>
                <w:b w:val="1"/>
                <w:bCs w:val="1"/>
                <w:color w:val="auto"/>
              </w:rPr>
              <w:t>8,903,472</w:t>
            </w:r>
          </w:p>
        </w:tc>
        <w:tc>
          <w:tcPr>
            <w:tcW w:w="0" w:type="dxa"/>
            <w:vAlign w:val="bottom"/>
          </w:tcPr>
          <w:p>
            <w:pPr>
              <w:spacing w:after="0"/>
              <w:rPr>
                <w:sz w:val="1"/>
                <w:szCs w:val="1"/>
                <w:color w:val="auto"/>
              </w:rPr>
            </w:pPr>
          </w:p>
        </w:tc>
      </w:tr>
    </w:tbl>
    <w:p>
      <w:pPr>
        <w:spacing w:after="0" w:line="161" w:lineRule="exact"/>
        <w:rPr>
          <w:sz w:val="20"/>
          <w:szCs w:val="20"/>
          <w:color w:val="auto"/>
        </w:rPr>
      </w:pPr>
    </w:p>
    <w:p>
      <w:pPr>
        <w:ind w:firstLine="8"/>
        <w:spacing w:after="0" w:line="290" w:lineRule="auto"/>
        <w:tabs>
          <w:tab w:leader="none" w:pos="255" w:val="left"/>
        </w:tabs>
        <w:numPr>
          <w:ilvl w:val="0"/>
          <w:numId w:val="9"/>
        </w:numPr>
        <w:rPr>
          <w:rFonts w:ascii="Arial" w:cs="Arial" w:eastAsia="Arial" w:hAnsi="Arial"/>
          <w:sz w:val="16"/>
          <w:szCs w:val="16"/>
          <w:color w:val="auto"/>
        </w:rPr>
      </w:pPr>
      <w:r>
        <w:rPr>
          <w:rFonts w:ascii="Arial" w:cs="Arial" w:eastAsia="Arial" w:hAnsi="Arial"/>
          <w:sz w:val="16"/>
          <w:szCs w:val="16"/>
          <w:color w:val="auto"/>
        </w:rPr>
        <w:t>Includes our Amended and Restated 1995 Stock Option Plan, our 1997 Directors’ Stock Option Plan and our Amended and Restated 2000 Employee Stock Purchase Plan. Under the 1997 Directors’ Stock Option Plan, each new non-employee director receives an option to purchase 30,000 shares of Common Stock upon joining the Board of Directors and each incumbent non-employee director is granted an option to purchase an additional 6,000 shares on the date of each annual general meeting, provided that on such date the director has served on the board for at least six months prior to the date of such annual general meeting. This plan is more fully described on page 12 of this Proxy Statement under “Board of Directors Meetings and Attendance and Compensation.” Includes 1,000,922 shares available for purchase pursuant to our Amended and Restated 2000 Employee Stock Purchase Plan. Also includes 2,058,726 shares of Common Stock reserved for issuance under option plans assumed by the Company in connection with the Company’s acquisition of its Israeli subsidiary, Marvell Semiconductor Israel Ltd. No further options will be awarded under this subsidiary’s option plans.</w:t>
      </w:r>
    </w:p>
    <w:p>
      <w:pPr>
        <w:spacing w:after="0" w:line="139" w:lineRule="exact"/>
        <w:rPr>
          <w:rFonts w:ascii="Arial" w:cs="Arial" w:eastAsia="Arial" w:hAnsi="Arial"/>
          <w:sz w:val="16"/>
          <w:szCs w:val="16"/>
          <w:color w:val="auto"/>
        </w:rPr>
      </w:pPr>
    </w:p>
    <w:p>
      <w:pPr>
        <w:ind w:right="80" w:firstLine="8"/>
        <w:spacing w:after="0" w:line="279" w:lineRule="auto"/>
        <w:tabs>
          <w:tab w:leader="none" w:pos="252"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number of shares reserved for grant under our Amended and Restated 1995 Stock Option Plan is subject to an annual increase in shares reserved for issuance equal to the lesser of 5% of the outstanding shares of capital stock or 10,000,000 shares of Common Stock. The number of shares reserved for grant under our Amended and Restated 2000 Employee Stock Purchase Plan is subject to an annual increase in shares reserved for issuance and equal to the lesser of 2,000,000 shares or 1.5% of the outstanding shares of capital stock of the Company.</w:t>
      </w:r>
    </w:p>
    <w:p>
      <w:pPr>
        <w:spacing w:after="0" w:line="130" w:lineRule="exact"/>
        <w:rPr>
          <w:rFonts w:ascii="Arial" w:cs="Arial" w:eastAsia="Arial" w:hAnsi="Arial"/>
          <w:sz w:val="17"/>
          <w:szCs w:val="17"/>
          <w:color w:val="auto"/>
        </w:rPr>
      </w:pPr>
    </w:p>
    <w:p>
      <w:pPr>
        <w:ind w:right="20" w:firstLine="8"/>
        <w:spacing w:after="0" w:line="297" w:lineRule="auto"/>
        <w:tabs>
          <w:tab w:leader="none" w:pos="255" w:val="left"/>
        </w:tabs>
        <w:numPr>
          <w:ilvl w:val="0"/>
          <w:numId w:val="9"/>
        </w:numPr>
        <w:rPr>
          <w:rFonts w:ascii="Arial" w:cs="Arial" w:eastAsia="Arial" w:hAnsi="Arial"/>
          <w:sz w:val="16"/>
          <w:szCs w:val="16"/>
          <w:color w:val="auto"/>
        </w:rPr>
      </w:pPr>
      <w:r>
        <w:rPr>
          <w:rFonts w:ascii="Arial" w:cs="Arial" w:eastAsia="Arial" w:hAnsi="Arial"/>
          <w:sz w:val="16"/>
          <w:szCs w:val="16"/>
          <w:color w:val="auto"/>
        </w:rPr>
        <w:t>Includes 139,745 shares of Common Stock reserved for issuance under the options granted by the Company to former option holders of SysKonnect GmbH in connection with the Company’s acquisition of SysKonnect GmbH. Also includes 169,668 shares of Common Stock reserved for issuance under the options granted by the Company to former option holders of Radlan Computer Communications Ltd. in connection with the Company’s acquisition of Radlan Computer Communications Ltd. Also includes 24,970 shares of Common Stock reserved for issuance under the options granted by the Company to former option holders of Asica, Inc. in connection with the Company’s acquisition of Asica, Inc. No further options will be granted under any of these plans.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3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table sets forth information regarding the beneficial ownership of the Common Stock as of April 1, 2004 except as noted otherwise, for:</w:t>
      </w:r>
    </w:p>
    <w:p>
      <w:pPr>
        <w:spacing w:after="0" w:line="248" w:lineRule="exact"/>
        <w:rPr>
          <w:sz w:val="20"/>
          <w:szCs w:val="20"/>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the Company’s outstanding shares;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each director, director nominee and executive officer named in the Summary Compensation Table on page 15 of this proxy statement; and</w:t>
      </w:r>
    </w:p>
    <w:p>
      <w:pPr>
        <w:spacing w:after="0" w:line="236" w:lineRule="exact"/>
        <w:rPr>
          <w:rFonts w:ascii="Arial" w:cs="Arial" w:eastAsia="Arial" w:hAnsi="Arial"/>
          <w:sz w:val="17"/>
          <w:szCs w:val="17"/>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25" w:lineRule="exact"/>
        <w:rPr>
          <w:sz w:val="20"/>
          <w:szCs w:val="20"/>
          <w:color w:val="auto"/>
        </w:rPr>
      </w:pPr>
    </w:p>
    <w:p>
      <w:pPr>
        <w:ind w:right="140" w:firstLine="225"/>
        <w:spacing w:after="0" w:line="277"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700 First Avenue, Sunnyvale, CA 94089, Attention: Corporate Treasurer.</w:t>
      </w:r>
    </w:p>
    <w:p>
      <w:pPr>
        <w:spacing w:after="0" w:line="338"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65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80" w:type="dxa"/>
            <w:vAlign w:val="bottom"/>
            <w:gridSpan w:val="3"/>
          </w:tcPr>
          <w:p>
            <w:pPr>
              <w:jc w:val="right"/>
              <w:ind w:right="468"/>
              <w:spacing w:after="0"/>
              <w:rPr>
                <w:sz w:val="20"/>
                <w:szCs w:val="20"/>
                <w:color w:val="auto"/>
              </w:rPr>
            </w:pPr>
            <w:r>
              <w:rPr>
                <w:rFonts w:ascii="Arial" w:cs="Arial" w:eastAsia="Arial" w:hAnsi="Arial"/>
                <w:sz w:val="14"/>
                <w:szCs w:val="14"/>
                <w:b w:val="1"/>
                <w:bCs w:val="1"/>
                <w:color w:val="auto"/>
              </w:rPr>
              <w:t>Shares Beneficially Owned(1)</w:t>
            </w:r>
          </w:p>
        </w:tc>
      </w:tr>
      <w:tr>
        <w:trPr>
          <w:trHeight w:val="53"/>
        </w:trPr>
        <w:tc>
          <w:tcPr>
            <w:tcW w:w="20" w:type="dxa"/>
            <w:vAlign w:val="bottom"/>
          </w:tcPr>
          <w:p>
            <w:pPr>
              <w:spacing w:after="0"/>
              <w:rPr>
                <w:sz w:val="4"/>
                <w:szCs w:val="4"/>
                <w:color w:val="auto"/>
              </w:rPr>
            </w:pPr>
          </w:p>
        </w:tc>
        <w:tc>
          <w:tcPr>
            <w:tcW w:w="6560" w:type="dxa"/>
            <w:vAlign w:val="bottom"/>
          </w:tcPr>
          <w:p>
            <w:pPr>
              <w:spacing w:after="0"/>
              <w:rPr>
                <w:sz w:val="4"/>
                <w:szCs w:val="4"/>
                <w:color w:val="auto"/>
              </w:rPr>
            </w:pPr>
          </w:p>
        </w:tc>
        <w:tc>
          <w:tcPr>
            <w:tcW w:w="24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r>
      <w:tr>
        <w:trPr>
          <w:trHeight w:val="238"/>
        </w:trPr>
        <w:tc>
          <w:tcPr>
            <w:tcW w:w="20" w:type="dxa"/>
            <w:vAlign w:val="bottom"/>
          </w:tcPr>
          <w:p>
            <w:pPr>
              <w:spacing w:after="0"/>
              <w:rPr>
                <w:sz w:val="20"/>
                <w:szCs w:val="20"/>
                <w:color w:val="auto"/>
              </w:rPr>
            </w:pPr>
          </w:p>
        </w:tc>
        <w:tc>
          <w:tcPr>
            <w:tcW w:w="6800" w:type="dxa"/>
            <w:vAlign w:val="bottom"/>
            <w:gridSpan w:val="2"/>
          </w:tcPr>
          <w:p>
            <w:pPr>
              <w:ind w:left="2060"/>
              <w:spacing w:after="0"/>
              <w:rPr>
                <w:sz w:val="20"/>
                <w:szCs w:val="20"/>
                <w:color w:val="auto"/>
              </w:rPr>
            </w:pPr>
            <w:r>
              <w:rPr>
                <w:rFonts w:ascii="Arial" w:cs="Arial" w:eastAsia="Arial" w:hAnsi="Arial"/>
                <w:sz w:val="14"/>
                <w:szCs w:val="14"/>
                <w:b w:val="1"/>
                <w:bCs w:val="1"/>
                <w:color w:val="auto"/>
              </w:rPr>
              <w:t>Name and Address of Beneficial Owner</w:t>
            </w:r>
          </w:p>
        </w:tc>
        <w:tc>
          <w:tcPr>
            <w:tcW w:w="1800" w:type="dxa"/>
            <w:vAlign w:val="bottom"/>
          </w:tcPr>
          <w:p>
            <w:pPr>
              <w:jc w:val="right"/>
              <w:ind w:right="553"/>
              <w:spacing w:after="0"/>
              <w:rPr>
                <w:sz w:val="20"/>
                <w:szCs w:val="20"/>
                <w:color w:val="auto"/>
              </w:rPr>
            </w:pPr>
            <w:r>
              <w:rPr>
                <w:rFonts w:ascii="Arial" w:cs="Arial" w:eastAsia="Arial" w:hAnsi="Arial"/>
                <w:sz w:val="14"/>
                <w:szCs w:val="14"/>
                <w:b w:val="1"/>
                <w:bCs w:val="1"/>
                <w:color w:val="auto"/>
              </w:rPr>
              <w:t>Number</w:t>
            </w:r>
          </w:p>
        </w:tc>
        <w:tc>
          <w:tcPr>
            <w:tcW w:w="300" w:type="dxa"/>
            <w:vAlign w:val="bottom"/>
          </w:tcPr>
          <w:p>
            <w:pPr>
              <w:spacing w:after="0"/>
              <w:rPr>
                <w:sz w:val="20"/>
                <w:szCs w:val="20"/>
                <w:color w:val="auto"/>
              </w:rPr>
            </w:pPr>
          </w:p>
        </w:tc>
        <w:tc>
          <w:tcPr>
            <w:tcW w:w="780" w:type="dxa"/>
            <w:vAlign w:val="bottom"/>
          </w:tcPr>
          <w:p>
            <w:pPr>
              <w:jc w:val="right"/>
              <w:ind w:right="8"/>
              <w:spacing w:after="0"/>
              <w:rPr>
                <w:sz w:val="20"/>
                <w:szCs w:val="20"/>
                <w:color w:val="auto"/>
              </w:rPr>
            </w:pPr>
            <w:r>
              <w:rPr>
                <w:rFonts w:ascii="Arial" w:cs="Arial" w:eastAsia="Arial" w:hAnsi="Arial"/>
                <w:sz w:val="14"/>
                <w:szCs w:val="14"/>
                <w:b w:val="1"/>
                <w:bCs w:val="1"/>
                <w:color w:val="auto"/>
              </w:rPr>
              <w:t>Percent**</w:t>
            </w:r>
          </w:p>
        </w:tc>
      </w:tr>
      <w:tr>
        <w:trPr>
          <w:trHeight w:val="53"/>
        </w:trPr>
        <w:tc>
          <w:tcPr>
            <w:tcW w:w="20" w:type="dxa"/>
            <w:vAlign w:val="bottom"/>
          </w:tcPr>
          <w:p>
            <w:pPr>
              <w:spacing w:after="0"/>
              <w:rPr>
                <w:sz w:val="4"/>
                <w:szCs w:val="4"/>
                <w:color w:val="auto"/>
              </w:rPr>
            </w:pPr>
          </w:p>
        </w:tc>
        <w:tc>
          <w:tcPr>
            <w:tcW w:w="65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r>
      <w:tr>
        <w:trPr>
          <w:trHeight w:val="276"/>
        </w:trPr>
        <w:tc>
          <w:tcPr>
            <w:tcW w:w="6820" w:type="dxa"/>
            <w:vAlign w:val="bottom"/>
            <w:gridSpan w:val="3"/>
          </w:tcPr>
          <w:p>
            <w:pPr>
              <w:spacing w:after="0"/>
              <w:rPr>
                <w:sz w:val="20"/>
                <w:szCs w:val="20"/>
                <w:color w:val="auto"/>
              </w:rPr>
            </w:pPr>
            <w:r>
              <w:rPr>
                <w:rFonts w:ascii="Arial" w:cs="Arial" w:eastAsia="Arial" w:hAnsi="Arial"/>
                <w:sz w:val="18"/>
                <w:szCs w:val="18"/>
                <w:b w:val="1"/>
                <w:bCs w:val="1"/>
                <w:color w:val="auto"/>
              </w:rPr>
              <w:t>5% Shareholders</w:t>
            </w:r>
          </w:p>
        </w:tc>
        <w:tc>
          <w:tcPr>
            <w:tcW w:w="1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Entities affiliated with AXA Assurances I.A.R.D. Mutuelle (2)</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370, rue Saint Honore</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75001 Paris, France</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15,802,529</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12.0%</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FMR Corp. (3)</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82 Devonshire Street</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Boston, MA 02109</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10,990,530</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8.3%</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Entities affiliated with Putnam Investments (4)</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One Post Office Square</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2"/>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Boston, MA 02109</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7,005,840</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5.3%</w:t>
            </w:r>
          </w:p>
        </w:tc>
      </w:tr>
      <w:tr>
        <w:trPr>
          <w:trHeight w:val="220"/>
        </w:trPr>
        <w:tc>
          <w:tcPr>
            <w:tcW w:w="682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80" w:type="dxa"/>
            <w:vAlign w:val="bottom"/>
          </w:tcPr>
          <w:p>
            <w:pPr>
              <w:spacing w:after="0"/>
              <w:rPr>
                <w:sz w:val="19"/>
                <w:szCs w:val="19"/>
                <w:color w:val="auto"/>
              </w:rPr>
            </w:pP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Dr. Sehat Sutardja, Ph.D.(5)</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22,126,945</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16.7%</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Weili Dai (6)</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22,079,028</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16.7%</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Dr. Pantas Sutardja, Ph.D.(7)</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11,019,616</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8.3%</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George Hervey (8)</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244,191</w:t>
            </w:r>
          </w:p>
        </w:tc>
        <w:tc>
          <w:tcPr>
            <w:tcW w:w="1080" w:type="dxa"/>
            <w:vAlign w:val="bottom"/>
            <w:gridSpan w:val="2"/>
          </w:tcPr>
          <w:p>
            <w:pPr>
              <w:jc w:val="right"/>
              <w:ind w:right="228"/>
              <w:spacing w:after="0"/>
              <w:rPr>
                <w:sz w:val="20"/>
                <w:szCs w:val="20"/>
                <w:color w:val="auto"/>
              </w:rPr>
            </w:pPr>
            <w:r>
              <w:rPr>
                <w:rFonts w:ascii="Arial" w:cs="Arial" w:eastAsia="Arial" w:hAnsi="Arial"/>
                <w:sz w:val="18"/>
                <w:szCs w:val="18"/>
                <w:color w:val="auto"/>
              </w:rPr>
              <w:t>*</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Kuo Wei (Herbert) Chang (9)</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3600 Pruneridge Avenue, Suite 300</w:t>
            </w:r>
          </w:p>
        </w:tc>
        <w:tc>
          <w:tcPr>
            <w:tcW w:w="1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800" w:type="dxa"/>
            <w:vAlign w:val="bottom"/>
            <w:gridSpan w:val="2"/>
          </w:tcPr>
          <w:p>
            <w:pPr>
              <w:ind w:left="120"/>
              <w:spacing w:after="0"/>
              <w:rPr>
                <w:sz w:val="20"/>
                <w:szCs w:val="20"/>
                <w:color w:val="auto"/>
              </w:rPr>
            </w:pPr>
            <w:r>
              <w:rPr>
                <w:rFonts w:ascii="Arial" w:cs="Arial" w:eastAsia="Arial" w:hAnsi="Arial"/>
                <w:sz w:val="18"/>
                <w:szCs w:val="18"/>
                <w:color w:val="auto"/>
              </w:rPr>
              <w:t>Santa Clara, CA 95051</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341,774</w:t>
            </w:r>
          </w:p>
        </w:tc>
        <w:tc>
          <w:tcPr>
            <w:tcW w:w="1080" w:type="dxa"/>
            <w:vAlign w:val="bottom"/>
            <w:gridSpan w:val="2"/>
          </w:tcPr>
          <w:p>
            <w:pPr>
              <w:jc w:val="right"/>
              <w:ind w:right="228"/>
              <w:spacing w:after="0"/>
              <w:rPr>
                <w:sz w:val="20"/>
                <w:szCs w:val="20"/>
                <w:color w:val="auto"/>
              </w:rPr>
            </w:pPr>
            <w:r>
              <w:rPr>
                <w:rFonts w:ascii="Arial" w:cs="Arial" w:eastAsia="Arial" w:hAnsi="Arial"/>
                <w:sz w:val="18"/>
                <w:szCs w:val="18"/>
                <w:color w:val="auto"/>
              </w:rPr>
              <w:t>*</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Dr. John M. Cioffi, Ph.D.(10)</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228,000</w:t>
            </w:r>
          </w:p>
        </w:tc>
        <w:tc>
          <w:tcPr>
            <w:tcW w:w="1080" w:type="dxa"/>
            <w:vAlign w:val="bottom"/>
            <w:gridSpan w:val="2"/>
          </w:tcPr>
          <w:p>
            <w:pPr>
              <w:jc w:val="right"/>
              <w:ind w:right="228"/>
              <w:spacing w:after="0"/>
              <w:rPr>
                <w:sz w:val="20"/>
                <w:szCs w:val="20"/>
                <w:color w:val="auto"/>
              </w:rPr>
            </w:pPr>
            <w:r>
              <w:rPr>
                <w:rFonts w:ascii="Arial" w:cs="Arial" w:eastAsia="Arial" w:hAnsi="Arial"/>
                <w:sz w:val="18"/>
                <w:szCs w:val="18"/>
                <w:color w:val="auto"/>
              </w:rPr>
              <w:t>*</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Dr. Paul R. Gray, Ph.D.(11)</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95,000</w:t>
            </w:r>
          </w:p>
        </w:tc>
        <w:tc>
          <w:tcPr>
            <w:tcW w:w="1080" w:type="dxa"/>
            <w:vAlign w:val="bottom"/>
            <w:gridSpan w:val="2"/>
          </w:tcPr>
          <w:p>
            <w:pPr>
              <w:jc w:val="right"/>
              <w:ind w:right="228"/>
              <w:spacing w:after="0"/>
              <w:rPr>
                <w:sz w:val="20"/>
                <w:szCs w:val="20"/>
                <w:color w:val="auto"/>
              </w:rPr>
            </w:pPr>
            <w:r>
              <w:rPr>
                <w:rFonts w:ascii="Arial" w:cs="Arial" w:eastAsia="Arial" w:hAnsi="Arial"/>
                <w:sz w:val="18"/>
                <w:szCs w:val="18"/>
                <w:color w:val="auto"/>
              </w:rPr>
              <w:t>*</w:t>
            </w:r>
          </w:p>
        </w:tc>
      </w:tr>
      <w:tr>
        <w:trPr>
          <w:trHeight w:val="216"/>
        </w:trPr>
        <w:tc>
          <w:tcPr>
            <w:tcW w:w="6820" w:type="dxa"/>
            <w:vAlign w:val="bottom"/>
            <w:gridSpan w:val="3"/>
          </w:tcPr>
          <w:p>
            <w:pPr>
              <w:spacing w:after="0"/>
              <w:rPr>
                <w:sz w:val="20"/>
                <w:szCs w:val="20"/>
                <w:color w:val="auto"/>
              </w:rPr>
            </w:pPr>
            <w:r>
              <w:rPr>
                <w:rFonts w:ascii="Arial" w:cs="Arial" w:eastAsia="Arial" w:hAnsi="Arial"/>
                <w:sz w:val="18"/>
                <w:szCs w:val="18"/>
                <w:color w:val="auto"/>
              </w:rPr>
              <w:t>Ron Verdoorn (12)</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200,312</w:t>
            </w:r>
          </w:p>
        </w:tc>
        <w:tc>
          <w:tcPr>
            <w:tcW w:w="1080" w:type="dxa"/>
            <w:vAlign w:val="bottom"/>
            <w:gridSpan w:val="2"/>
          </w:tcPr>
          <w:p>
            <w:pPr>
              <w:jc w:val="right"/>
              <w:ind w:right="228"/>
              <w:spacing w:after="0"/>
              <w:rPr>
                <w:sz w:val="20"/>
                <w:szCs w:val="20"/>
                <w:color w:val="auto"/>
              </w:rPr>
            </w:pPr>
            <w:r>
              <w:rPr>
                <w:rFonts w:ascii="Arial" w:cs="Arial" w:eastAsia="Arial" w:hAnsi="Arial"/>
                <w:sz w:val="18"/>
                <w:szCs w:val="18"/>
                <w:color w:val="auto"/>
              </w:rPr>
              <w:t>*</w:t>
            </w:r>
          </w:p>
        </w:tc>
      </w:tr>
      <w:tr>
        <w:trPr>
          <w:trHeight w:val="230"/>
        </w:trPr>
        <w:tc>
          <w:tcPr>
            <w:tcW w:w="6820" w:type="dxa"/>
            <w:vAlign w:val="bottom"/>
            <w:gridSpan w:val="3"/>
          </w:tcPr>
          <w:p>
            <w:pPr>
              <w:spacing w:after="0"/>
              <w:rPr>
                <w:sz w:val="20"/>
                <w:szCs w:val="20"/>
                <w:color w:val="auto"/>
              </w:rPr>
            </w:pPr>
            <w:r>
              <w:rPr>
                <w:rFonts w:ascii="Arial" w:cs="Arial" w:eastAsia="Arial" w:hAnsi="Arial"/>
                <w:sz w:val="18"/>
                <w:szCs w:val="18"/>
                <w:color w:val="auto"/>
              </w:rPr>
              <w:t>Executive officers and directors as a group (8 persons)(13)</w:t>
            </w:r>
          </w:p>
        </w:tc>
        <w:tc>
          <w:tcPr>
            <w:tcW w:w="1800" w:type="dxa"/>
            <w:vAlign w:val="bottom"/>
          </w:tcPr>
          <w:p>
            <w:pPr>
              <w:jc w:val="right"/>
              <w:ind w:right="413"/>
              <w:spacing w:after="0"/>
              <w:rPr>
                <w:sz w:val="20"/>
                <w:szCs w:val="20"/>
                <w:color w:val="auto"/>
              </w:rPr>
            </w:pPr>
            <w:r>
              <w:rPr>
                <w:rFonts w:ascii="Arial" w:cs="Arial" w:eastAsia="Arial" w:hAnsi="Arial"/>
                <w:sz w:val="18"/>
                <w:szCs w:val="18"/>
                <w:color w:val="auto"/>
              </w:rPr>
              <w:t>34,303,754</w:t>
            </w:r>
          </w:p>
        </w:tc>
        <w:tc>
          <w:tcPr>
            <w:tcW w:w="1080" w:type="dxa"/>
            <w:vAlign w:val="bottom"/>
            <w:gridSpan w:val="2"/>
          </w:tcPr>
          <w:p>
            <w:pPr>
              <w:jc w:val="right"/>
              <w:ind w:right="88"/>
              <w:spacing w:after="0"/>
              <w:rPr>
                <w:sz w:val="20"/>
                <w:szCs w:val="20"/>
                <w:color w:val="auto"/>
              </w:rPr>
            </w:pPr>
            <w:r>
              <w:rPr>
                <w:rFonts w:ascii="Arial" w:cs="Arial" w:eastAsia="Arial" w:hAnsi="Arial"/>
                <w:sz w:val="18"/>
                <w:szCs w:val="18"/>
                <w:color w:val="auto"/>
              </w:rPr>
              <w:t>25.9%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137160</wp:posOffset>
            </wp:positionV>
            <wp:extent cx="13208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03" w:lineRule="exact"/>
        <w:rPr>
          <w:sz w:val="20"/>
          <w:szCs w:val="20"/>
          <w:color w:val="auto"/>
        </w:rPr>
      </w:pPr>
    </w:p>
    <w:p>
      <w:pPr>
        <w:ind w:left="520" w:hanging="512"/>
        <w:spacing w:after="0"/>
        <w:tabs>
          <w:tab w:leader="none" w:pos="5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25" w:lineRule="exact"/>
        <w:rPr>
          <w:rFonts w:ascii="Arial" w:cs="Arial" w:eastAsia="Arial" w:hAnsi="Arial"/>
          <w:sz w:val="18"/>
          <w:szCs w:val="18"/>
          <w:color w:val="auto"/>
        </w:rPr>
      </w:pPr>
    </w:p>
    <w:p>
      <w:pPr>
        <w:ind w:left="520" w:hanging="503"/>
        <w:spacing w:after="0"/>
        <w:tabs>
          <w:tab w:leader="none" w:pos="520" w:val="left"/>
        </w:tabs>
        <w:numPr>
          <w:ilvl w:val="1"/>
          <w:numId w:val="11"/>
        </w:numPr>
        <w:rPr>
          <w:rFonts w:ascii="Arial" w:cs="Arial" w:eastAsia="Arial" w:hAnsi="Arial"/>
          <w:sz w:val="16"/>
          <w:szCs w:val="16"/>
          <w:color w:val="auto"/>
        </w:rPr>
      </w:pPr>
      <w:r>
        <w:rPr>
          <w:rFonts w:ascii="Arial" w:cs="Arial" w:eastAsia="Arial" w:hAnsi="Arial"/>
          <w:sz w:val="16"/>
          <w:szCs w:val="16"/>
          <w:color w:val="auto"/>
        </w:rPr>
        <w:t>The percentage of beneficial ownership for the following table is based on 132,236,561 shares of Common Stock outstanding on April 1, 2004.</w:t>
      </w:r>
    </w:p>
    <w:p>
      <w:pPr>
        <w:spacing w:after="0" w:line="207" w:lineRule="exact"/>
        <w:rPr>
          <w:rFonts w:ascii="Arial" w:cs="Arial" w:eastAsia="Arial" w:hAnsi="Arial"/>
          <w:sz w:val="16"/>
          <w:szCs w:val="16"/>
          <w:color w:val="auto"/>
        </w:rPr>
      </w:pPr>
    </w:p>
    <w:p>
      <w:pPr>
        <w:ind w:right="120" w:firstLine="233"/>
        <w:spacing w:after="0" w:line="277" w:lineRule="auto"/>
        <w:tabs>
          <w:tab w:leader="none" w:pos="480" w:val="left"/>
        </w:tabs>
        <w:numPr>
          <w:ilvl w:val="2"/>
          <w:numId w:val="11"/>
        </w:numPr>
        <w:rPr>
          <w:rFonts w:ascii="Arial" w:cs="Arial" w:eastAsia="Arial" w:hAnsi="Arial"/>
          <w:sz w:val="18"/>
          <w:szCs w:val="18"/>
          <w:color w:val="auto"/>
        </w:rPr>
      </w:pPr>
      <w:r>
        <w:rPr>
          <w:rFonts w:ascii="Arial" w:cs="Arial" w:eastAsia="Arial" w:hAnsi="Arial"/>
          <w:sz w:val="18"/>
          <w:szCs w:val="18"/>
          <w:color w:val="auto"/>
        </w:rPr>
        <w:t>Unless otherwise indicated, to the Company’s knowledge, all persons listed have sole voting and investment power with respect to their shares of Common Stock, except to the extent authority is shared by spouses under</w:t>
      </w:r>
    </w:p>
    <w:p>
      <w:pPr>
        <w:spacing w:after="0" w:line="143"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080"/>
          </w:cols>
          <w:pgMar w:left="240" w:top="419" w:right="5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April 1, 2004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162" w:lineRule="exact"/>
        <w:rPr>
          <w:sz w:val="20"/>
          <w:szCs w:val="20"/>
          <w:color w:val="auto"/>
        </w:rPr>
      </w:pPr>
    </w:p>
    <w:p>
      <w:pPr>
        <w:ind w:right="40" w:firstLine="233"/>
        <w:spacing w:after="0" w:line="288" w:lineRule="auto"/>
        <w:tabs>
          <w:tab w:leader="none" w:pos="4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5 filed with the Securities and Exchange Commission on February 10, 2004, by AXA Assurances I.A.R.D. Mutuelle, AXA Assurances Vie Mutuelle, AXA Courtage Assurance Mutuelle, as a group (collectively, the “Mutuelles AXA”), AXA and AXA Financial, Inc. Includes 15,802,529 shares beneficially held by each of AXA Assurances I.A.R.D. Mutuelle and AXA Assurances Vie Mutuelle, 5,703,930 shares for which they possess sole voting power, 4,716,786 shares for which they possess shared voting power, 15,304,733 shares for which they possess sole dispositive power and 497,796 shares for which they possess shared dispositive power. Includes 15,340,964 shares beneficially held by AXA Financial, Inc., 5,304,122 shares for which it possesses sole voting power, 4,716,786 shares for which it possesses shared voting power, 15,304,733 shares for which it possess sole dispositive power and 36,231 shares for which it possesses shared dispositive power. The principal business address of AXA Assurances I.A.R.D. Mutuelle and AXA Assurances Vie Mutuelle is 370, rue Saint Honore, 75001 Paris, France. The principal business address of AXA Courtage Assurance Mutuelle is 26, rue Louis le Grand, 75002 Paris, France. The principal business address of AXA is 25, avenue Matignon, 75008 Paris, France. The principal business address of AXA Financial, Inc. is 1290 Avenue of the Americas, New York, New York 10104.</w:t>
      </w:r>
    </w:p>
    <w:p>
      <w:pPr>
        <w:spacing w:after="0" w:line="128" w:lineRule="exact"/>
        <w:rPr>
          <w:rFonts w:ascii="Arial" w:cs="Arial" w:eastAsia="Arial" w:hAnsi="Arial"/>
          <w:sz w:val="16"/>
          <w:szCs w:val="16"/>
          <w:color w:val="auto"/>
        </w:rPr>
      </w:pPr>
    </w:p>
    <w:p>
      <w:pPr>
        <w:ind w:right="40" w:firstLine="233"/>
        <w:spacing w:after="0" w:line="264" w:lineRule="auto"/>
        <w:tabs>
          <w:tab w:leader="none" w:pos="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1 filed with the Securities and Exchange Commission on February 17, 2004, by FMR Corp. Includes 10,990,530 shares beneficially held by FMR Corp., 615,990 shares for which it possesses sole voting power and 10,990,530 shares for which it possesses sole dispositive power.</w:t>
      </w:r>
    </w:p>
    <w:p>
      <w:pPr>
        <w:spacing w:after="0" w:line="140" w:lineRule="exact"/>
        <w:rPr>
          <w:rFonts w:ascii="Arial" w:cs="Arial" w:eastAsia="Arial" w:hAnsi="Arial"/>
          <w:sz w:val="18"/>
          <w:szCs w:val="18"/>
          <w:color w:val="auto"/>
        </w:rPr>
      </w:pPr>
    </w:p>
    <w:p>
      <w:pPr>
        <w:ind w:firstLine="233"/>
        <w:spacing w:after="0" w:line="291" w:lineRule="auto"/>
        <w:tabs>
          <w:tab w:leader="none" w:pos="4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 filed with the Securities and Exchange Commission on February 13, 2004 by Putnam, LLC d/b/a Putnam Investments, a wholly-owned subsidiary of Marsh &amp; McLennan Companies, Inc. (“M&amp;MC”), on behalf of itself, MM&amp;C, Putnam Investment Management, LLC (“PIM”) and The Putnam Advisory Company, LLC (“PA”). Includes 7,005,840 shares beneficially held by Putnam Investments, 186,380 shares for which it possesses shared voting power, and 7,005,840 shares for which it possesses shared dispositive power; 6,754,316 shares beneficially held by PIM, 112,980 shares for which it possesses shared voting power, and 6,754,316 shares for which it possess shared dispositive power; 251,524 shares beneficially held by PA, 73,400 shares for which it possesses shared voting power, and 251,524 shares for which it possesses shared dispositive power; and no shares beneficially held by M&amp;MC. The principal business address of M&amp;MC is 1166 Avenue of the Americas, New York, New York 10036.</w:t>
      </w:r>
    </w:p>
    <w:p>
      <w:pPr>
        <w:spacing w:after="0" w:line="140" w:lineRule="exact"/>
        <w:rPr>
          <w:rFonts w:ascii="Arial" w:cs="Arial" w:eastAsia="Arial" w:hAnsi="Arial"/>
          <w:sz w:val="16"/>
          <w:szCs w:val="16"/>
          <w:color w:val="auto"/>
        </w:rPr>
      </w:pPr>
    </w:p>
    <w:p>
      <w:pPr>
        <w:ind w:right="100" w:firstLine="233"/>
        <w:spacing w:after="0" w:line="273" w:lineRule="auto"/>
        <w:tabs>
          <w:tab w:leader="none" w:pos="4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Dr. Sehat Sutardja and Ms. Dai are husband and wife. Consists of 95,833 shares subject to stock options that are currently exerciseable or will become exerciseable within 60 days after April 1, 2004; 8,070,000 shares held by Dr. Sutardja, of which Ms. Dai may be deemed to be a beneficial owner, although Ms. Dai disclaims such beneficial ownership; 8,070,000 shares held by Ms. Dai, of which Dr. Sutardja may be deemed to be a beneficial owner, although Dr. Sutardja disclaims such beneficial ownership; 91,112 shares jointly held by Dr. Sutardja and Ms. Dai; and 5,800,000 shares held by the Sutardja Family Partners of which Dr. Sutardja and Ms. Dai are the general partners. Dr. Sutardja and Ms. Dai disclaim beneficial ownership of the 5,800,000 shares held by the Sutardja Family Partners, except to the extent of their pecuniary interest, if any.</w:t>
      </w:r>
    </w:p>
    <w:p>
      <w:pPr>
        <w:spacing w:after="0" w:line="137" w:lineRule="exact"/>
        <w:rPr>
          <w:rFonts w:ascii="Arial" w:cs="Arial" w:eastAsia="Arial" w:hAnsi="Arial"/>
          <w:sz w:val="17"/>
          <w:szCs w:val="17"/>
          <w:color w:val="auto"/>
        </w:rPr>
      </w:pPr>
    </w:p>
    <w:p>
      <w:pPr>
        <w:ind w:right="100" w:firstLine="233"/>
        <w:spacing w:after="0" w:line="273" w:lineRule="auto"/>
        <w:tabs>
          <w:tab w:leader="none" w:pos="4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Dr. Sehat Sutardja and Ms. Dai are husband and wife. Consists of 47,916 shares subject to stock options that are currently exerciseable or will become exerciseable within 60 days after April 1, 2004; 8,070,000 shares held by Dr. Sutardja, of which Ms. Dai may be deemed to be a beneficial owner, although Ms. Dai disclaims such beneficial ownership; 8,070,000 shares held by Ms. Dai, of which Dr. Sutardja may be deemed to be a beneficial owner, although Dr. Sutardja disclaims such beneficial ownership; 91,112 shares jointly held by Dr. Sutardja and Ms. Dai; and 5,800,000 shares held by the Sutardja Family Partners of which Dr. Sutardja and Ms. Dai are the general partners. Dr. Sutardja and Ms. Dai disclaim beneficial ownership of the 5,800,000 shares held by the Sutardja Family Partners, except to the extent of their pecuniary interest, if any.</w:t>
      </w:r>
    </w:p>
    <w:p>
      <w:pPr>
        <w:spacing w:after="0" w:line="1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80" w:hanging="247"/>
        <w:spacing w:after="0"/>
        <w:tabs>
          <w:tab w:leader="none" w:pos="4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Includes 47,916 shares subject to stock options that are currently exerciseable or will become exerciseable within 60 days after April 1, 2004.</w:t>
      </w:r>
    </w:p>
    <w:p>
      <w:pPr>
        <w:spacing w:after="0" w:line="209" w:lineRule="exact"/>
        <w:rPr>
          <w:rFonts w:ascii="Arial" w:cs="Arial" w:eastAsia="Arial" w:hAnsi="Arial"/>
          <w:sz w:val="17"/>
          <w:szCs w:val="17"/>
          <w:color w:val="auto"/>
        </w:rPr>
      </w:pPr>
    </w:p>
    <w:p>
      <w:pPr>
        <w:ind w:left="480" w:hanging="247"/>
        <w:spacing w:after="0"/>
        <w:tabs>
          <w:tab w:leader="none" w:pos="4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Includes 238,897 shares subject to stock options that are currently exercisable or will become exercisable within 60 days after April 1, 2004.</w:t>
      </w:r>
    </w:p>
    <w:p>
      <w:pPr>
        <w:spacing w:after="0" w:line="196" w:lineRule="exact"/>
        <w:rPr>
          <w:rFonts w:ascii="Arial" w:cs="Arial" w:eastAsia="Arial" w:hAnsi="Arial"/>
          <w:sz w:val="17"/>
          <w:szCs w:val="17"/>
          <w:color w:val="auto"/>
        </w:rPr>
      </w:pPr>
    </w:p>
    <w:p>
      <w:pPr>
        <w:jc w:val="both"/>
        <w:ind w:right="100" w:firstLine="233"/>
        <w:spacing w:after="0" w:line="264" w:lineRule="auto"/>
        <w:tabs>
          <w:tab w:leader="none" w:pos="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Includes 48,000 shares subject to stock options that are currently exercisable or will become exercisable within 60 days after April 1, 2004. Includes 50,796 shares held by InveStar Capital, Inc. Mr. Chang is the President of InveStar Capital, Inc. Mr. Chang disclaims beneficial ownership of these shares, except to the extent of his pecuniary interest, if any.</w:t>
      </w:r>
    </w:p>
    <w:p>
      <w:pPr>
        <w:spacing w:after="0" w:line="140" w:lineRule="exact"/>
        <w:rPr>
          <w:rFonts w:ascii="Arial" w:cs="Arial" w:eastAsia="Arial" w:hAnsi="Arial"/>
          <w:sz w:val="18"/>
          <w:szCs w:val="18"/>
          <w:color w:val="auto"/>
        </w:rPr>
      </w:pPr>
    </w:p>
    <w:p>
      <w:pPr>
        <w:ind w:firstLine="233"/>
        <w:spacing w:after="0" w:line="312" w:lineRule="auto"/>
        <w:tabs>
          <w:tab w:leader="none" w:pos="57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Includes 21,000 shares acquired upon exercise of an option to purchase shares, which shares will not be fully vested within 60 days after April 1, 2004, and which, until fully vested, are subject to repurchase by the Company in the event of termination of Dr. Cioffi’s services as a non-employee director of the Company and 48,000 shares subject to stock options that are current exercisable or will become exercisable within 60 days after April 1, 2004.</w:t>
      </w:r>
    </w:p>
    <w:p>
      <w:pPr>
        <w:spacing w:after="0" w:line="119" w:lineRule="exact"/>
        <w:rPr>
          <w:rFonts w:ascii="Arial" w:cs="Arial" w:eastAsia="Arial" w:hAnsi="Arial"/>
          <w:sz w:val="16"/>
          <w:szCs w:val="16"/>
          <w:color w:val="auto"/>
        </w:rPr>
      </w:pPr>
    </w:p>
    <w:p>
      <w:pPr>
        <w:ind w:left="580" w:hanging="347"/>
        <w:spacing w:after="0"/>
        <w:tabs>
          <w:tab w:leader="none" w:pos="5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Includes 80,000 shares subject to stock options that are currently exercisable or will become exercisable within 60 days after April 1, 2004.</w:t>
      </w:r>
    </w:p>
    <w:p>
      <w:pPr>
        <w:spacing w:after="0" w:line="196" w:lineRule="exact"/>
        <w:rPr>
          <w:rFonts w:ascii="Arial" w:cs="Arial" w:eastAsia="Arial" w:hAnsi="Arial"/>
          <w:sz w:val="17"/>
          <w:szCs w:val="17"/>
          <w:color w:val="auto"/>
        </w:rPr>
      </w:pPr>
    </w:p>
    <w:p>
      <w:pPr>
        <w:ind w:right="400" w:firstLine="233"/>
        <w:spacing w:after="0" w:line="277" w:lineRule="auto"/>
        <w:tabs>
          <w:tab w:leader="none" w:pos="57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Includes 48,000 shares subject to stock options that are currently exercisable or will become exercisable within 60 days after April 1, 2004 and 152,312 shares held by the Verdoorn Family Trust of which Mr. Verdoorn is the trustee.</w:t>
      </w:r>
    </w:p>
    <w:p>
      <w:pPr>
        <w:spacing w:after="0" w:line="129" w:lineRule="exact"/>
        <w:rPr>
          <w:rFonts w:ascii="Arial" w:cs="Arial" w:eastAsia="Arial" w:hAnsi="Arial"/>
          <w:sz w:val="18"/>
          <w:szCs w:val="18"/>
          <w:color w:val="auto"/>
        </w:rPr>
      </w:pPr>
    </w:p>
    <w:p>
      <w:pPr>
        <w:ind w:right="40" w:firstLine="233"/>
        <w:spacing w:after="0" w:line="259" w:lineRule="auto"/>
        <w:tabs>
          <w:tab w:leader="none" w:pos="57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Includes 21,000 shares acquired upon exercise of an option to purchase shares, which shares will not be fully vested within 60 days after April 1, 2004, and which, until fully vested, are subject to repurchase by the Company in the event of termination of the services of the applicable shareholder as a non-employee director of the Company and 654,562 shares subject to stock options that are currently exercisable or will become exercisable within 60 days after April 1, 2004.</w:t>
      </w:r>
    </w:p>
    <w:p>
      <w:pPr>
        <w:spacing w:after="0" w:line="16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Composition of the Board of Directors</w:t>
      </w:r>
    </w:p>
    <w:p>
      <w:pPr>
        <w:spacing w:after="0" w:line="189" w:lineRule="exact"/>
        <w:rPr>
          <w:sz w:val="20"/>
          <w:szCs w:val="20"/>
          <w:color w:val="auto"/>
        </w:rPr>
      </w:pPr>
    </w:p>
    <w:p>
      <w:pPr>
        <w:ind w:right="280" w:firstLine="222"/>
        <w:spacing w:after="0" w:line="257" w:lineRule="auto"/>
        <w:rPr>
          <w:sz w:val="20"/>
          <w:szCs w:val="20"/>
          <w:color w:val="auto"/>
        </w:rPr>
      </w:pPr>
      <w:r>
        <w:rPr>
          <w:rFonts w:ascii="Arial" w:cs="Arial" w:eastAsia="Arial" w:hAnsi="Arial"/>
          <w:sz w:val="18"/>
          <w:szCs w:val="18"/>
          <w:color w:val="auto"/>
        </w:rPr>
        <w:t>The Company’s Amended and Restated Bye-Laws provide for two or more directors, and the number of directors is currently fixed at 10 directors. The number of directors currently appointed to the Board of Directors is seven. There are currently three vacancies on the Board of Directors.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Company.</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 Meetings and Attendance and Compensation</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w:t>
      </w:r>
    </w:p>
    <w:p>
      <w:pPr>
        <w:spacing w:after="0" w:line="185" w:lineRule="exact"/>
        <w:rPr>
          <w:sz w:val="20"/>
          <w:szCs w:val="20"/>
          <w:color w:val="auto"/>
        </w:rPr>
      </w:pPr>
    </w:p>
    <w:p>
      <w:pPr>
        <w:ind w:right="20" w:firstLine="222"/>
        <w:spacing w:after="0" w:line="277" w:lineRule="auto"/>
        <w:rPr>
          <w:sz w:val="20"/>
          <w:szCs w:val="20"/>
          <w:color w:val="auto"/>
        </w:rPr>
      </w:pPr>
      <w:r>
        <w:rPr>
          <w:rFonts w:ascii="Arial" w:cs="Arial" w:eastAsia="Arial" w:hAnsi="Arial"/>
          <w:sz w:val="18"/>
          <w:szCs w:val="18"/>
          <w:color w:val="auto"/>
        </w:rPr>
        <w:t>There were nine meetings of the Board of Directors in fiscal 2004. Each of the directors attended at least 75% of the total number of meetings of the Board of Directors and committees on which such director served.</w:t>
      </w:r>
    </w:p>
    <w:p>
      <w:pPr>
        <w:spacing w:after="0" w:line="130" w:lineRule="exact"/>
        <w:rPr>
          <w:sz w:val="20"/>
          <w:szCs w:val="20"/>
          <w:color w:val="auto"/>
        </w:rPr>
      </w:pPr>
    </w:p>
    <w:p>
      <w:pPr>
        <w:ind w:firstLine="215"/>
        <w:spacing w:after="0" w:line="277" w:lineRule="auto"/>
        <w:rPr>
          <w:sz w:val="20"/>
          <w:szCs w:val="20"/>
          <w:color w:val="auto"/>
        </w:rPr>
      </w:pPr>
      <w:r>
        <w:rPr>
          <w:rFonts w:ascii="Arial" w:cs="Arial" w:eastAsia="Arial" w:hAnsi="Arial"/>
          <w:sz w:val="18"/>
          <w:szCs w:val="18"/>
          <w:color w:val="auto"/>
        </w:rPr>
        <w:t>Although the Company’s directors are encouraged to attend the Company’s Annual General Meeting, the Company does not have a formal policy requiring directors to attend the Annual General Meeting. Three directors attended the 2003 Annual General Meeting.</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185" w:lineRule="exact"/>
        <w:rPr>
          <w:sz w:val="20"/>
          <w:szCs w:val="20"/>
          <w:color w:val="auto"/>
        </w:rPr>
      </w:pPr>
    </w:p>
    <w:p>
      <w:pPr>
        <w:ind w:right="60" w:firstLine="222"/>
        <w:spacing w:after="0" w:line="289" w:lineRule="auto"/>
        <w:rPr>
          <w:sz w:val="20"/>
          <w:szCs w:val="20"/>
          <w:color w:val="auto"/>
        </w:rPr>
      </w:pPr>
      <w:r>
        <w:rPr>
          <w:rFonts w:ascii="Arial" w:cs="Arial" w:eastAsia="Arial" w:hAnsi="Arial"/>
          <w:sz w:val="16"/>
          <w:szCs w:val="16"/>
          <w:color w:val="auto"/>
        </w:rPr>
        <w:t>The Company’s directors do not receive cash compensation for their service as directors or as members of any committee of the Board of Directors [this will be updated upon adoption of a new cash compensation plan].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the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commences vesting on the day that is one month after the fourth anniversary of the grant date, with 8.3% vesting each month thereafter provided that the non-employee director remains a director of the Company through such period. The exercise price per share for each option is equal to the fair market value on the date of grant.</w:t>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202" w:lineRule="exact"/>
        <w:rPr>
          <w:sz w:val="20"/>
          <w:szCs w:val="20"/>
          <w:color w:val="auto"/>
        </w:rPr>
      </w:pPr>
    </w:p>
    <w:p>
      <w:pPr>
        <w:ind w:right="80" w:firstLine="222"/>
        <w:spacing w:after="0" w:line="255" w:lineRule="auto"/>
        <w:rPr>
          <w:sz w:val="20"/>
          <w:szCs w:val="20"/>
          <w:color w:val="auto"/>
        </w:rPr>
      </w:pPr>
      <w:r>
        <w:rPr>
          <w:rFonts w:ascii="Arial" w:cs="Arial" w:eastAsia="Arial" w:hAnsi="Arial"/>
          <w:sz w:val="18"/>
          <w:szCs w:val="18"/>
          <w:color w:val="auto"/>
        </w:rPr>
        <w:t>The Company’s Board of Directors has a standing Audit Committee, Governance Committee, Executive Compensation Committee and Stock Option Committee. The Board of Directors does not have a formal Nominating Committee. The Board has the independent directors (based on the Nasdaq definition of independence) on the Board make recommendations to the full Board regarding candidates for nomination and the size and composition of the Board. The Board believes that this process effectively serves the functions of a nominating committee, and does not believe there is a need for a separate, formal nominating committee. The directors that participate in the consideration of director nominees are Kuo Wei (Herbert) Chang, Ronald D. Verdoorn, Dr. John M. Cioffi, Ph. D. and Dr. Paul Gray, Ph. D.</w:t>
      </w:r>
    </w:p>
    <w:p>
      <w:pPr>
        <w:spacing w:after="0" w:line="15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current membership of each committee is as follows, with the Chairman of the committee listed first in each case:</w:t>
      </w: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2420" w:type="dxa"/>
            <w:vAlign w:val="bottom"/>
            <w:vMerge w:val="restart"/>
          </w:tcPr>
          <w:p>
            <w:pPr>
              <w:ind w:left="660"/>
              <w:spacing w:after="0"/>
              <w:rPr>
                <w:sz w:val="20"/>
                <w:szCs w:val="20"/>
                <w:color w:val="auto"/>
              </w:rPr>
            </w:pPr>
            <w:r>
              <w:rPr>
                <w:rFonts w:ascii="Arial" w:cs="Arial" w:eastAsia="Arial" w:hAnsi="Arial"/>
                <w:sz w:val="14"/>
                <w:szCs w:val="14"/>
                <w:b w:val="1"/>
                <w:bCs w:val="1"/>
                <w:color w:val="auto"/>
              </w:rPr>
              <w:t>Audit Committee</w:t>
            </w:r>
          </w:p>
        </w:tc>
        <w:tc>
          <w:tcPr>
            <w:tcW w:w="300" w:type="dxa"/>
            <w:vAlign w:val="bottom"/>
          </w:tcPr>
          <w:p>
            <w:pPr>
              <w:spacing w:after="0"/>
              <w:rPr>
                <w:sz w:val="14"/>
                <w:szCs w:val="14"/>
                <w:color w:val="auto"/>
              </w:rPr>
            </w:pPr>
          </w:p>
        </w:tc>
        <w:tc>
          <w:tcPr>
            <w:tcW w:w="176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Governance Committee</w:t>
            </w:r>
          </w:p>
        </w:tc>
        <w:tc>
          <w:tcPr>
            <w:tcW w:w="28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Executive Compensation</w:t>
            </w:r>
          </w:p>
        </w:tc>
        <w:tc>
          <w:tcPr>
            <w:tcW w:w="300" w:type="dxa"/>
            <w:vAlign w:val="bottom"/>
          </w:tcPr>
          <w:p>
            <w:pPr>
              <w:spacing w:after="0"/>
              <w:rPr>
                <w:sz w:val="14"/>
                <w:szCs w:val="14"/>
                <w:color w:val="auto"/>
              </w:rPr>
            </w:pPr>
          </w:p>
        </w:tc>
        <w:tc>
          <w:tcPr>
            <w:tcW w:w="240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Stock Option Committee</w:t>
            </w:r>
          </w:p>
        </w:tc>
        <w:tc>
          <w:tcPr>
            <w:tcW w:w="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880" w:type="dxa"/>
            <w:vAlign w:val="bottom"/>
          </w:tcPr>
          <w:p>
            <w:pPr>
              <w:spacing w:after="0"/>
              <w:rPr>
                <w:sz w:val="16"/>
                <w:szCs w:val="16"/>
                <w:color w:val="auto"/>
              </w:rPr>
            </w:pPr>
          </w:p>
        </w:tc>
        <w:tc>
          <w:tcPr>
            <w:tcW w:w="2420" w:type="dxa"/>
            <w:vAlign w:val="bottom"/>
            <w:vMerge w:val="continue"/>
          </w:tcPr>
          <w:p>
            <w:pPr>
              <w:spacing w:after="0"/>
              <w:rPr>
                <w:sz w:val="16"/>
                <w:szCs w:val="16"/>
                <w:color w:val="auto"/>
              </w:rPr>
            </w:pPr>
          </w:p>
        </w:tc>
        <w:tc>
          <w:tcPr>
            <w:tcW w:w="300" w:type="dxa"/>
            <w:vAlign w:val="bottom"/>
          </w:tcPr>
          <w:p>
            <w:pPr>
              <w:spacing w:after="0"/>
              <w:rPr>
                <w:sz w:val="16"/>
                <w:szCs w:val="16"/>
                <w:color w:val="auto"/>
              </w:rPr>
            </w:pPr>
          </w:p>
        </w:tc>
        <w:tc>
          <w:tcPr>
            <w:tcW w:w="1760" w:type="dxa"/>
            <w:vAlign w:val="bottom"/>
            <w:vMerge w:val="continue"/>
          </w:tcPr>
          <w:p>
            <w:pPr>
              <w:spacing w:after="0"/>
              <w:rPr>
                <w:sz w:val="16"/>
                <w:szCs w:val="16"/>
                <w:color w:val="auto"/>
              </w:rPr>
            </w:pPr>
          </w:p>
        </w:tc>
        <w:tc>
          <w:tcPr>
            <w:tcW w:w="280" w:type="dxa"/>
            <w:vAlign w:val="bottom"/>
          </w:tcPr>
          <w:p>
            <w:pPr>
              <w:spacing w:after="0"/>
              <w:rPr>
                <w:sz w:val="16"/>
                <w:szCs w:val="16"/>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3"/>
              </w:rPr>
              <w:t>Committee</w:t>
            </w:r>
          </w:p>
        </w:tc>
        <w:tc>
          <w:tcPr>
            <w:tcW w:w="300" w:type="dxa"/>
            <w:vAlign w:val="bottom"/>
          </w:tcPr>
          <w:p>
            <w:pPr>
              <w:spacing w:after="0"/>
              <w:rPr>
                <w:sz w:val="16"/>
                <w:szCs w:val="16"/>
                <w:color w:val="auto"/>
              </w:rPr>
            </w:pPr>
          </w:p>
        </w:tc>
        <w:tc>
          <w:tcPr>
            <w:tcW w:w="2400" w:type="dxa"/>
            <w:vAlign w:val="bottom"/>
            <w:vMerge w:val="continue"/>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80" w:type="dxa"/>
            <w:vAlign w:val="bottom"/>
          </w:tcPr>
          <w:p>
            <w:pPr>
              <w:spacing w:after="0"/>
              <w:rPr>
                <w:sz w:val="5"/>
                <w:szCs w:val="5"/>
                <w:color w:val="auto"/>
              </w:rPr>
            </w:pPr>
          </w:p>
        </w:tc>
        <w:tc>
          <w:tcPr>
            <w:tcW w:w="242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176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22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2400" w:type="dxa"/>
            <w:vAlign w:val="bottom"/>
            <w:tcBorders>
              <w:bottom w:val="single" w:sz="8" w:color="808080"/>
            </w:tcBorders>
          </w:tcPr>
          <w:p>
            <w:pPr>
              <w:spacing w:after="0"/>
              <w:rPr>
                <w:sz w:val="5"/>
                <w:szCs w:val="5"/>
                <w:color w:val="auto"/>
              </w:rPr>
            </w:pPr>
          </w:p>
        </w:tc>
        <w:tc>
          <w:tcPr>
            <w:tcW w:w="8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3300" w:type="dxa"/>
            <w:vAlign w:val="bottom"/>
            <w:gridSpan w:val="2"/>
          </w:tcPr>
          <w:p>
            <w:pPr>
              <w:ind w:left="860"/>
              <w:spacing w:after="0"/>
              <w:rPr>
                <w:sz w:val="20"/>
                <w:szCs w:val="20"/>
                <w:color w:val="auto"/>
              </w:rPr>
            </w:pPr>
            <w:r>
              <w:rPr>
                <w:rFonts w:ascii="Arial" w:cs="Arial" w:eastAsia="Arial" w:hAnsi="Arial"/>
                <w:sz w:val="18"/>
                <w:szCs w:val="18"/>
                <w:color w:val="auto"/>
              </w:rPr>
              <w:t>Kuo Wei (Herbert) Chang</w:t>
            </w:r>
          </w:p>
        </w:tc>
        <w:tc>
          <w:tcPr>
            <w:tcW w:w="2060" w:type="dxa"/>
            <w:vAlign w:val="bottom"/>
            <w:gridSpan w:val="2"/>
          </w:tcPr>
          <w:p>
            <w:pPr>
              <w:ind w:left="300"/>
              <w:spacing w:after="0"/>
              <w:rPr>
                <w:sz w:val="20"/>
                <w:szCs w:val="20"/>
                <w:color w:val="auto"/>
              </w:rPr>
            </w:pPr>
            <w:r>
              <w:rPr>
                <w:rFonts w:ascii="Arial" w:cs="Arial" w:eastAsia="Arial" w:hAnsi="Arial"/>
                <w:sz w:val="18"/>
                <w:szCs w:val="18"/>
                <w:color w:val="auto"/>
              </w:rPr>
              <w:t>Dr. Paul Gray, Ph.D.</w:t>
            </w:r>
          </w:p>
        </w:tc>
        <w:tc>
          <w:tcPr>
            <w:tcW w:w="2500" w:type="dxa"/>
            <w:vAlign w:val="bottom"/>
            <w:gridSpan w:val="2"/>
          </w:tcPr>
          <w:p>
            <w:pPr>
              <w:ind w:left="280"/>
              <w:spacing w:after="0"/>
              <w:rPr>
                <w:sz w:val="20"/>
                <w:szCs w:val="20"/>
                <w:color w:val="auto"/>
              </w:rPr>
            </w:pPr>
            <w:r>
              <w:rPr>
                <w:rFonts w:ascii="Arial" w:cs="Arial" w:eastAsia="Arial" w:hAnsi="Arial"/>
                <w:sz w:val="18"/>
                <w:szCs w:val="18"/>
                <w:color w:val="auto"/>
              </w:rPr>
              <w:t>Dr. John M. Cioffi, Ph.D.</w:t>
            </w:r>
          </w:p>
        </w:tc>
        <w:tc>
          <w:tcPr>
            <w:tcW w:w="2700" w:type="dxa"/>
            <w:vAlign w:val="bottom"/>
            <w:gridSpan w:val="2"/>
          </w:tcPr>
          <w:p>
            <w:pPr>
              <w:ind w:left="280"/>
              <w:spacing w:after="0"/>
              <w:rPr>
                <w:sz w:val="20"/>
                <w:szCs w:val="20"/>
                <w:color w:val="auto"/>
              </w:rPr>
            </w:pPr>
            <w:r>
              <w:rPr>
                <w:rFonts w:ascii="Arial" w:cs="Arial" w:eastAsia="Arial" w:hAnsi="Arial"/>
                <w:sz w:val="18"/>
                <w:szCs w:val="18"/>
                <w:color w:val="auto"/>
              </w:rPr>
              <w:t>Dr. Sehat Sutardja, Ph.D.</w:t>
            </w:r>
          </w:p>
        </w:tc>
        <w:tc>
          <w:tcPr>
            <w:tcW w:w="8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3300" w:type="dxa"/>
            <w:vAlign w:val="bottom"/>
            <w:gridSpan w:val="2"/>
          </w:tcPr>
          <w:p>
            <w:pPr>
              <w:ind w:left="860"/>
              <w:spacing w:after="0"/>
              <w:rPr>
                <w:sz w:val="20"/>
                <w:szCs w:val="20"/>
                <w:color w:val="auto"/>
              </w:rPr>
            </w:pPr>
            <w:r>
              <w:rPr>
                <w:rFonts w:ascii="Arial" w:cs="Arial" w:eastAsia="Arial" w:hAnsi="Arial"/>
                <w:sz w:val="18"/>
                <w:szCs w:val="18"/>
                <w:color w:val="auto"/>
              </w:rPr>
              <w:t>Ronald D. Verdoorn</w:t>
            </w:r>
          </w:p>
        </w:tc>
        <w:tc>
          <w:tcPr>
            <w:tcW w:w="2060" w:type="dxa"/>
            <w:vAlign w:val="bottom"/>
            <w:gridSpan w:val="2"/>
          </w:tcPr>
          <w:p>
            <w:pPr>
              <w:ind w:left="300"/>
              <w:spacing w:after="0"/>
              <w:rPr>
                <w:sz w:val="20"/>
                <w:szCs w:val="20"/>
                <w:color w:val="auto"/>
              </w:rPr>
            </w:pPr>
            <w:r>
              <w:rPr>
                <w:rFonts w:ascii="Arial" w:cs="Arial" w:eastAsia="Arial" w:hAnsi="Arial"/>
                <w:sz w:val="18"/>
                <w:szCs w:val="18"/>
                <w:color w:val="auto"/>
              </w:rPr>
              <w:t>Ronald D. Verdoorn</w:t>
            </w:r>
          </w:p>
        </w:tc>
        <w:tc>
          <w:tcPr>
            <w:tcW w:w="2500" w:type="dxa"/>
            <w:vAlign w:val="bottom"/>
            <w:gridSpan w:val="2"/>
          </w:tcPr>
          <w:p>
            <w:pPr>
              <w:ind w:left="280"/>
              <w:spacing w:after="0"/>
              <w:rPr>
                <w:sz w:val="20"/>
                <w:szCs w:val="20"/>
                <w:color w:val="auto"/>
              </w:rPr>
            </w:pPr>
            <w:r>
              <w:rPr>
                <w:rFonts w:ascii="Arial" w:cs="Arial" w:eastAsia="Arial" w:hAnsi="Arial"/>
                <w:sz w:val="18"/>
                <w:szCs w:val="18"/>
                <w:color w:val="auto"/>
              </w:rPr>
              <w:t>Kuo Wei (Herbert) Chang</w:t>
            </w:r>
          </w:p>
        </w:tc>
        <w:tc>
          <w:tcPr>
            <w:tcW w:w="2700" w:type="dxa"/>
            <w:vAlign w:val="bottom"/>
            <w:gridSpan w:val="2"/>
          </w:tcPr>
          <w:p>
            <w:pPr>
              <w:ind w:left="280"/>
              <w:spacing w:after="0"/>
              <w:rPr>
                <w:sz w:val="20"/>
                <w:szCs w:val="20"/>
                <w:color w:val="auto"/>
              </w:rPr>
            </w:pPr>
            <w:r>
              <w:rPr>
                <w:rFonts w:ascii="Arial" w:cs="Arial" w:eastAsia="Arial" w:hAnsi="Arial"/>
                <w:sz w:val="18"/>
                <w:szCs w:val="18"/>
                <w:color w:val="auto"/>
              </w:rPr>
              <w:t>Weili Dei</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80" w:type="dxa"/>
            <w:vAlign w:val="bottom"/>
          </w:tcPr>
          <w:p>
            <w:pPr>
              <w:spacing w:after="0"/>
              <w:rPr>
                <w:sz w:val="20"/>
                <w:szCs w:val="20"/>
                <w:color w:val="auto"/>
              </w:rPr>
            </w:pPr>
          </w:p>
        </w:tc>
        <w:tc>
          <w:tcPr>
            <w:tcW w:w="24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2500" w:type="dxa"/>
            <w:vAlign w:val="bottom"/>
            <w:gridSpan w:val="2"/>
          </w:tcPr>
          <w:p>
            <w:pPr>
              <w:ind w:left="280"/>
              <w:spacing w:after="0"/>
              <w:rPr>
                <w:sz w:val="20"/>
                <w:szCs w:val="20"/>
                <w:color w:val="auto"/>
              </w:rPr>
            </w:pPr>
            <w:r>
              <w:rPr>
                <w:rFonts w:ascii="Arial" w:cs="Arial" w:eastAsia="Arial" w:hAnsi="Arial"/>
                <w:sz w:val="18"/>
                <w:szCs w:val="18"/>
                <w:color w:val="auto"/>
              </w:rPr>
              <w:t>Dr. Paul Gray, Ph.D.</w:t>
            </w:r>
          </w:p>
        </w:tc>
        <w:tc>
          <w:tcPr>
            <w:tcW w:w="300" w:type="dxa"/>
            <w:vAlign w:val="bottom"/>
          </w:tcPr>
          <w:p>
            <w:pPr>
              <w:spacing w:after="0"/>
              <w:rPr>
                <w:sz w:val="20"/>
                <w:szCs w:val="20"/>
                <w:color w:val="auto"/>
              </w:rPr>
            </w:pPr>
          </w:p>
        </w:tc>
        <w:tc>
          <w:tcPr>
            <w:tcW w:w="24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88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500" w:type="dxa"/>
            <w:vAlign w:val="bottom"/>
            <w:gridSpan w:val="2"/>
          </w:tcPr>
          <w:p>
            <w:pPr>
              <w:ind w:left="260"/>
              <w:spacing w:after="0"/>
              <w:rPr>
                <w:sz w:val="20"/>
                <w:szCs w:val="20"/>
                <w:color w:val="auto"/>
              </w:rPr>
            </w:pPr>
            <w:r>
              <w:rPr>
                <w:rFonts w:ascii="Arial" w:cs="Arial" w:eastAsia="Arial" w:hAnsi="Arial"/>
                <w:sz w:val="18"/>
                <w:szCs w:val="18"/>
                <w:color w:val="auto"/>
              </w:rPr>
              <w:t>12</w:t>
            </w:r>
          </w:p>
        </w:tc>
        <w:tc>
          <w:tcPr>
            <w:tcW w:w="30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880" w:type="dxa"/>
            <w:vAlign w:val="bottom"/>
            <w:tcBorders>
              <w:bottom w:val="single" w:sz="8" w:color="808080"/>
            </w:tcBorders>
          </w:tcPr>
          <w:p>
            <w:pPr>
              <w:spacing w:after="0"/>
              <w:rPr>
                <w:sz w:val="19"/>
                <w:szCs w:val="19"/>
                <w:color w:val="auto"/>
              </w:rPr>
            </w:pPr>
          </w:p>
        </w:tc>
        <w:tc>
          <w:tcPr>
            <w:tcW w:w="24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76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400" w:type="dxa"/>
            <w:vAlign w:val="bottom"/>
            <w:tcBorders>
              <w:bottom w:val="single" w:sz="8" w:color="808080"/>
            </w:tcBorders>
          </w:tcPr>
          <w:p>
            <w:pPr>
              <w:spacing w:after="0"/>
              <w:rPr>
                <w:sz w:val="19"/>
                <w:szCs w:val="19"/>
                <w:color w:val="auto"/>
              </w:rPr>
            </w:pPr>
          </w:p>
        </w:tc>
        <w:tc>
          <w:tcPr>
            <w:tcW w:w="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Audit Committee</w:t>
      </w:r>
    </w:p>
    <w:p>
      <w:pPr>
        <w:spacing w:after="0" w:line="198" w:lineRule="exact"/>
        <w:rPr>
          <w:sz w:val="20"/>
          <w:szCs w:val="20"/>
          <w:color w:val="auto"/>
        </w:rPr>
      </w:pPr>
    </w:p>
    <w:p>
      <w:pPr>
        <w:ind w:firstLine="222"/>
        <w:spacing w:after="0" w:line="269" w:lineRule="auto"/>
        <w:rPr>
          <w:sz w:val="20"/>
          <w:szCs w:val="20"/>
          <w:color w:val="auto"/>
        </w:rPr>
      </w:pPr>
      <w:r>
        <w:rPr>
          <w:rFonts w:ascii="Arial" w:cs="Arial" w:eastAsia="Arial" w:hAnsi="Arial"/>
          <w:sz w:val="17"/>
          <w:szCs w:val="17"/>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internal audit function and those of its independent auditors, takes those actions it deems necessary to satisfy itself that the auditors are independent of management and monitors the adequacy of the Company’s operating and internal controls as reported by management and internal auditors. The Board of Directors has adopted a written charter for the Audit Committee. The Board of Directors has determined that the members of the Audit Committee are independent as defined under the National Association of Securities Dealers’ listing standards. The Audit Committee meets quarterly and at such additional times as are necessary or advisable. The Audit Committee held nine meetings during fiscal 2004. Prior to his retirement as a director on December 12, 2003, the Board had determined, and Diosdado P. Banatao had served, as the audit committee financial expert and was independent as that term is used in the Securities Exchange Act of 1934 (the “Exchange Act”). The Board intends to appoint an audit committee financial expert who is independent prior to the Annual General Meeting.</w:t>
      </w:r>
    </w:p>
    <w:p>
      <w:pPr>
        <w:spacing w:after="0" w:line="14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Governance Committee</w:t>
      </w:r>
    </w:p>
    <w:p>
      <w:pPr>
        <w:spacing w:after="0" w:line="185" w:lineRule="exact"/>
        <w:rPr>
          <w:sz w:val="20"/>
          <w:szCs w:val="20"/>
          <w:color w:val="auto"/>
        </w:rPr>
      </w:pPr>
    </w:p>
    <w:p>
      <w:pPr>
        <w:ind w:right="120" w:firstLine="222"/>
        <w:spacing w:after="0" w:line="273" w:lineRule="auto"/>
        <w:rPr>
          <w:sz w:val="20"/>
          <w:szCs w:val="20"/>
          <w:color w:val="auto"/>
        </w:rPr>
      </w:pPr>
      <w:r>
        <w:rPr>
          <w:rFonts w:ascii="Arial" w:cs="Arial" w:eastAsia="Arial" w:hAnsi="Arial"/>
          <w:sz w:val="17"/>
          <w:szCs w:val="17"/>
          <w:color w:val="auto"/>
        </w:rPr>
        <w:t>The Governance Committee was formed by the Board of Directors on March 11, 2004. The Governance Committee is responsible for developing and implementing policies and practices relating to corporate governance, including reviewing and monitoring implementation of the Company’s Corporate Governance Guidelines. The Governance Committee also supervises the Board’s annual review of director independence and each Committee of the Board, as well as leading the Board’s annual self-evaluation. The newly-formed Governance Committee is in the process of developing its charter. When the charter is finalized, it will be available on the Company’s Investors’ Relations Website (www.marvell.com/investors). The Governance Committee was not formed until after fiscal 2004, and accordingly did not hold any meetings in fiscal 2004.</w:t>
      </w:r>
    </w:p>
    <w:p>
      <w:pPr>
        <w:spacing w:after="0" w:line="15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Executive Compensation Committee</w:t>
      </w:r>
    </w:p>
    <w:p>
      <w:pPr>
        <w:spacing w:after="0" w:line="185" w:lineRule="exact"/>
        <w:rPr>
          <w:sz w:val="20"/>
          <w:szCs w:val="20"/>
          <w:color w:val="auto"/>
        </w:rPr>
      </w:pPr>
    </w:p>
    <w:p>
      <w:pPr>
        <w:ind w:firstLine="222"/>
        <w:spacing w:after="0" w:line="264" w:lineRule="auto"/>
        <w:rPr>
          <w:sz w:val="20"/>
          <w:szCs w:val="20"/>
          <w:color w:val="auto"/>
        </w:rPr>
      </w:pPr>
      <w:r>
        <w:rPr>
          <w:rFonts w:ascii="Arial" w:cs="Arial" w:eastAsia="Arial" w:hAnsi="Arial"/>
          <w:sz w:val="18"/>
          <w:szCs w:val="18"/>
          <w:color w:val="auto"/>
        </w:rPr>
        <w:t>The Executive Compensation Committee has the authority to approve salaries and bonuses and other compensation matters for the Company’s executive officers, to approve employee health and benefit plans and to administer the Company’s stock option plans. The Executive Compensation Committee held one meeting during fiscal 2004.</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Option Committee</w:t>
      </w:r>
    </w:p>
    <w:p>
      <w:pPr>
        <w:spacing w:after="0" w:line="198" w:lineRule="exact"/>
        <w:rPr>
          <w:sz w:val="20"/>
          <w:szCs w:val="20"/>
          <w:color w:val="auto"/>
        </w:rPr>
      </w:pPr>
    </w:p>
    <w:p>
      <w:pPr>
        <w:ind w:right="340" w:firstLine="222"/>
        <w:spacing w:after="0" w:line="264" w:lineRule="auto"/>
        <w:rPr>
          <w:sz w:val="20"/>
          <w:szCs w:val="20"/>
          <w:color w:val="auto"/>
        </w:rPr>
      </w:pPr>
      <w:r>
        <w:rPr>
          <w:rFonts w:ascii="Arial" w:cs="Arial" w:eastAsia="Arial" w:hAnsi="Arial"/>
          <w:sz w:val="18"/>
          <w:szCs w:val="18"/>
          <w:color w:val="auto"/>
        </w:rPr>
        <w:t>The Stock Option Committee is authorized to make grants of stock options under the Company’s Amended and Restated 1995 Stock Option Plan to employees of the Company and to officers and general managers of each of the Company’s subsidiaries. The Stock Option Committee held nine meetings during fiscal 2004.</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189" w:lineRule="exact"/>
        <w:rPr>
          <w:sz w:val="20"/>
          <w:szCs w:val="20"/>
          <w:color w:val="auto"/>
        </w:rPr>
      </w:pPr>
    </w:p>
    <w:p>
      <w:pPr>
        <w:ind w:right="200" w:firstLine="215"/>
        <w:spacing w:after="0" w:line="302" w:lineRule="auto"/>
        <w:rPr>
          <w:sz w:val="20"/>
          <w:szCs w:val="20"/>
          <w:color w:val="auto"/>
        </w:rPr>
      </w:pPr>
      <w:r>
        <w:rPr>
          <w:rFonts w:ascii="Arial" w:cs="Arial" w:eastAsia="Arial" w:hAnsi="Arial"/>
          <w:sz w:val="16"/>
          <w:szCs w:val="16"/>
          <w:color w:val="auto"/>
        </w:rPr>
        <w:t>As described above, the independent directors select nominees for election as directors. The candidates for election at this Annual General Meeting were unanimously recommended by such independent directors. Such independent directors will consider proposals for nomination from shareholders that are made in writing to the Company’s Secretary, that are timely received and that contain sufficient background information concerning the nominee to enable proper judgment to be made as to his or her qualifications. See “Shareholder Proposals For The 2005 Annual General Meeting” on page 23.</w:t>
      </w:r>
    </w:p>
    <w:p>
      <w:pPr>
        <w:spacing w:after="0" w:line="12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185"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independent directors of the Board believe that the following specific, minimum qualifications must be met by a nominee for the position of director:</w:t>
      </w:r>
    </w:p>
    <w:p>
      <w:pPr>
        <w:spacing w:after="0" w:line="248" w:lineRule="exact"/>
        <w:rPr>
          <w:sz w:val="20"/>
          <w:szCs w:val="20"/>
          <w:color w:val="auto"/>
        </w:rPr>
      </w:pPr>
    </w:p>
    <w:p>
      <w:pPr>
        <w:ind w:left="560" w:hanging="169"/>
        <w:spacing w:after="0"/>
        <w:tabs>
          <w:tab w:leader="none" w:pos="5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225" w:lineRule="exact"/>
        <w:rPr>
          <w:rFonts w:ascii="Arial" w:cs="Arial" w:eastAsia="Arial" w:hAnsi="Arial"/>
          <w:sz w:val="18"/>
          <w:szCs w:val="18"/>
          <w:color w:val="auto"/>
        </w:rPr>
      </w:pPr>
    </w:p>
    <w:p>
      <w:pPr>
        <w:ind w:left="560" w:right="160" w:hanging="169"/>
        <w:spacing w:after="0" w:line="277" w:lineRule="auto"/>
        <w:tabs>
          <w:tab w:leader="none" w:pos="5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spacing w:after="0"/>
        <w:rPr>
          <w:sz w:val="20"/>
          <w:szCs w:val="20"/>
          <w:color w:val="auto"/>
        </w:rPr>
      </w:pPr>
      <w:r>
        <w:rPr>
          <w:rFonts w:ascii="Arial" w:cs="Arial" w:eastAsia="Arial" w:hAnsi="Arial"/>
          <w:sz w:val="18"/>
          <w:szCs w:val="18"/>
          <w:color w:val="auto"/>
        </w:rPr>
        <w:t>• the willingness and ability to devote adequate time to our business.</w:t>
      </w:r>
    </w:p>
    <w:p>
      <w:pPr>
        <w:spacing w:after="0" w:line="225" w:lineRule="exact"/>
        <w:rPr>
          <w:sz w:val="20"/>
          <w:szCs w:val="20"/>
          <w:color w:val="auto"/>
        </w:rPr>
      </w:pPr>
    </w:p>
    <w:p>
      <w:pPr>
        <w:ind w:right="80" w:firstLine="225"/>
        <w:spacing w:after="0" w:line="259" w:lineRule="auto"/>
        <w:rPr>
          <w:sz w:val="20"/>
          <w:szCs w:val="20"/>
          <w:color w:val="auto"/>
        </w:rPr>
      </w:pPr>
      <w:r>
        <w:rPr>
          <w:rFonts w:ascii="Arial" w:cs="Arial" w:eastAsia="Arial" w:hAnsi="Arial"/>
          <w:sz w:val="18"/>
          <w:szCs w:val="18"/>
          <w:color w:val="auto"/>
        </w:rPr>
        <w:t>Other than the foregoing there are no stated minimum criteria for director nominees. We believe, however, that it is appropriate for at least one, and, preferably, multiple, members of the Board to meet the criteria for an “audit committee financial expert” as defined by the Securities and Exchange Commission, and that a majority of the members of the Board meet the definition of “independent director” under the rules of The Nasdaq Stock Market. We also believe it is appropriate for certain key members of management to participate as members of the Board.</w:t>
      </w:r>
    </w:p>
    <w:p>
      <w:pPr>
        <w:spacing w:after="0" w:line="160" w:lineRule="exact"/>
        <w:rPr>
          <w:sz w:val="20"/>
          <w:szCs w:val="20"/>
          <w:color w:val="auto"/>
        </w:rPr>
      </w:pPr>
    </w:p>
    <w:p>
      <w:pPr>
        <w:ind w:right="500" w:firstLine="222"/>
        <w:spacing w:after="0" w:line="308" w:lineRule="auto"/>
        <w:rPr>
          <w:sz w:val="20"/>
          <w:szCs w:val="20"/>
          <w:color w:val="auto"/>
        </w:rPr>
      </w:pPr>
      <w:r>
        <w:rPr>
          <w:rFonts w:ascii="Arial" w:cs="Arial" w:eastAsia="Arial" w:hAnsi="Arial"/>
          <w:sz w:val="17"/>
          <w:szCs w:val="17"/>
          <w:color w:val="auto"/>
        </w:rPr>
        <w:t>When making their determination whether a nominee is qualified for the position of director, the independent directors may also consider such other factors as they may deem are in the best interests of the Company and its shareholders, such as the following qualities and skills:</w:t>
      </w:r>
    </w:p>
    <w:p>
      <w:pPr>
        <w:spacing w:after="0" w:line="147" w:lineRule="exact"/>
        <w:rPr>
          <w:sz w:val="20"/>
          <w:szCs w:val="20"/>
          <w:color w:val="auto"/>
        </w:rPr>
      </w:pPr>
    </w:p>
    <w:p>
      <w:pPr>
        <w:ind w:left="460" w:hanging="177"/>
        <w:spacing w:after="0"/>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relationships that may affect the independence of the director or conflicts of interest that may affect the director’s ability to discharge his or her duties;</w:t>
      </w:r>
    </w:p>
    <w:p>
      <w:pPr>
        <w:spacing w:after="0" w:line="248" w:lineRule="exact"/>
        <w:rPr>
          <w:rFonts w:ascii="Arial" w:cs="Arial" w:eastAsia="Arial" w:hAnsi="Arial"/>
          <w:sz w:val="16"/>
          <w:szCs w:val="16"/>
          <w:color w:val="auto"/>
        </w:rPr>
      </w:pPr>
    </w:p>
    <w:p>
      <w:pPr>
        <w:ind w:left="460" w:right="200" w:hanging="177"/>
        <w:spacing w:after="0" w:line="277"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diversity of experience and background, including the need for financial, business, academic, public sector and other expertise on the Board or Board committees; and</w:t>
      </w:r>
    </w:p>
    <w:p>
      <w:pPr>
        <w:spacing w:after="0" w:line="170" w:lineRule="exact"/>
        <w:rPr>
          <w:rFonts w:ascii="Arial" w:cs="Arial" w:eastAsia="Arial" w:hAnsi="Arial"/>
          <w:sz w:val="18"/>
          <w:szCs w:val="18"/>
          <w:color w:val="auto"/>
        </w:rPr>
      </w:pPr>
    </w:p>
    <w:p>
      <w:pPr>
        <w:ind w:left="460" w:hanging="177"/>
        <w:spacing w:after="0"/>
        <w:tabs>
          <w:tab w:leader="none" w:pos="460" w:val="left"/>
        </w:tabs>
        <w:numPr>
          <w:ilvl w:val="0"/>
          <w:numId w:val="15"/>
        </w:numPr>
        <w:rPr>
          <w:rFonts w:ascii="Arial" w:cs="Arial" w:eastAsia="Arial" w:hAnsi="Arial"/>
          <w:sz w:val="17"/>
          <w:szCs w:val="17"/>
          <w:color w:val="auto"/>
        </w:rPr>
      </w:pPr>
      <w:r>
        <w:rPr>
          <w:rFonts w:ascii="Arial" w:cs="Arial" w:eastAsia="Arial" w:hAnsi="Arial"/>
          <w:sz w:val="17"/>
          <w:szCs w:val="17"/>
          <w:color w:val="auto"/>
        </w:rPr>
        <w:t>the fit of the individual’s skills and experience with those of the other directors and potential directors in comparison to the needs of the Company.</w:t>
      </w:r>
    </w:p>
    <w:p>
      <w:pPr>
        <w:spacing w:after="0" w:line="237" w:lineRule="exact"/>
        <w:rPr>
          <w:sz w:val="20"/>
          <w:szCs w:val="20"/>
          <w:color w:val="auto"/>
        </w:rPr>
      </w:pPr>
    </w:p>
    <w:p>
      <w:pPr>
        <w:ind w:right="520" w:firstLine="222"/>
        <w:spacing w:after="0" w:line="277" w:lineRule="auto"/>
        <w:rPr>
          <w:sz w:val="20"/>
          <w:szCs w:val="20"/>
          <w:color w:val="auto"/>
        </w:rPr>
      </w:pPr>
      <w:r>
        <w:rPr>
          <w:rFonts w:ascii="Arial" w:cs="Arial" w:eastAsia="Arial" w:hAnsi="Arial"/>
          <w:sz w:val="18"/>
          <w:szCs w:val="18"/>
          <w:color w:val="auto"/>
        </w:rPr>
        <w:t>When evaluating a candidate for nomination, the independent directors do not assign specific weight to any of these factors or believe that all of the criteria necessarily apply to every candidate.</w:t>
      </w:r>
    </w:p>
    <w:p>
      <w:pPr>
        <w:spacing w:after="0" w:line="13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185" w:lineRule="exact"/>
        <w:rPr>
          <w:sz w:val="20"/>
          <w:szCs w:val="20"/>
          <w:color w:val="auto"/>
        </w:rPr>
      </w:pPr>
    </w:p>
    <w:p>
      <w:pPr>
        <w:jc w:val="both"/>
        <w:ind w:right="80" w:firstLine="222"/>
        <w:spacing w:after="0" w:line="259" w:lineRule="auto"/>
        <w:rPr>
          <w:sz w:val="20"/>
          <w:szCs w:val="20"/>
          <w:color w:val="auto"/>
        </w:rPr>
      </w:pPr>
      <w:r>
        <w:rPr>
          <w:rFonts w:ascii="Arial" w:cs="Arial" w:eastAsia="Arial" w:hAnsi="Arial"/>
          <w:sz w:val="18"/>
          <w:szCs w:val="18"/>
          <w:color w:val="auto"/>
        </w:rPr>
        <w:t>The independent directors review annually the appropriate skills and characteristics required of Board members in the context of the current composition of the Board. Candidates considered for nomination to the Board may come from several sources, including current and former directors, professional search firms and shareholder nominations. Nominees for director are evaluated by the independent directors, which may retain the services of a professional search firm to assist them in identifying or evaluating potential nominees.</w:t>
      </w:r>
    </w:p>
    <w:p>
      <w:pPr>
        <w:spacing w:after="0" w:line="1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Communication with the Board of Directors</w:t>
      </w:r>
    </w:p>
    <w:p>
      <w:pPr>
        <w:spacing w:after="0" w:line="189" w:lineRule="exact"/>
        <w:rPr>
          <w:sz w:val="20"/>
          <w:szCs w:val="20"/>
          <w:color w:val="auto"/>
        </w:rPr>
      </w:pPr>
    </w:p>
    <w:p>
      <w:pPr>
        <w:ind w:firstLine="225"/>
        <w:spacing w:after="0" w:line="257" w:lineRule="auto"/>
        <w:rPr>
          <w:sz w:val="20"/>
          <w:szCs w:val="20"/>
          <w:color w:val="auto"/>
        </w:rPr>
      </w:pPr>
      <w:r>
        <w:rPr>
          <w:rFonts w:ascii="Arial" w:cs="Arial" w:eastAsia="Arial" w:hAnsi="Arial"/>
          <w:sz w:val="18"/>
          <w:szCs w:val="18"/>
          <w:color w:val="auto"/>
        </w:rPr>
        <w:t>Shareholders may send communications to the Board or individual Board members to the offices of the Company’s U.S. subsidiary, Marvell Semiconductor, Inc., 700 First Avenue, MS-509, Sunnyvale, California, 94089; Attn.: Legal Department. You must include your name and address in the written communication and indicate whether you are a shareholder of the Company. The Vice President of Business Affairs and General Counsel will compile all such communications and forward them to the appropriate director or directors based on the subject matter or to the individual director or directors to whom such communication is addressed.</w:t>
      </w:r>
    </w:p>
    <w:p>
      <w:pPr>
        <w:spacing w:after="0" w:line="14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202" w:lineRule="exact"/>
        <w:rPr>
          <w:sz w:val="20"/>
          <w:szCs w:val="20"/>
          <w:color w:val="auto"/>
        </w:rPr>
      </w:pPr>
    </w:p>
    <w:p>
      <w:pPr>
        <w:ind w:right="200" w:firstLine="222"/>
        <w:spacing w:after="0" w:line="257" w:lineRule="auto"/>
        <w:rPr>
          <w:sz w:val="20"/>
          <w:szCs w:val="20"/>
          <w:color w:val="auto"/>
        </w:rPr>
      </w:pPr>
      <w:r>
        <w:rPr>
          <w:rFonts w:ascii="Arial" w:cs="Arial" w:eastAsia="Arial" w:hAnsi="Arial"/>
          <w:sz w:val="18"/>
          <w:szCs w:val="18"/>
          <w:color w:val="auto"/>
        </w:rPr>
        <w:t>The Company’s Executive Compensation Committee for fiscal 2004 consisted of the following members: Diosdado P. Banatao (Mr. Banatao retired as a director on December 12, 2003), Kuo Wei (Herbert) Chang, John M. Cioffi and Dr. Paul Gray. No member of the Executive Compensation Committee is a current or former officer or employee of the Company or its subsidiaries. To the Company’s knowledge, there are no Executive Compensation Committee interlocks between the Company and other entities involving the Company’s executive officers or Board members who serve as executive officers or board members of such other entities.</w:t>
      </w:r>
    </w:p>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7"/>
          <w:szCs w:val="17"/>
          <w:color w:val="auto"/>
        </w:rPr>
        <w:t>Set forth below is certain information regarding the Company’s executive officers, together with the positions currently held by those persons, as of</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April 26, 2004. Dr. Sehat Sutardja, Weili Dai and Dr. Pantas Sutardja are the Company’s other executive officers. Because they are also directors, information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for them is set forth beginning at page 4 of this Proxy Statement.</w:t>
      </w:r>
    </w:p>
    <w:p>
      <w:pPr>
        <w:spacing w:after="0" w:line="170" w:lineRule="exact"/>
        <w:rPr>
          <w:sz w:val="20"/>
          <w:szCs w:val="20"/>
          <w:color w:val="auto"/>
        </w:rPr>
      </w:pPr>
    </w:p>
    <w:p>
      <w:pPr>
        <w:ind w:right="40" w:firstLine="225"/>
        <w:spacing w:after="0" w:line="276" w:lineRule="auto"/>
        <w:rPr>
          <w:sz w:val="20"/>
          <w:szCs w:val="20"/>
          <w:color w:val="auto"/>
        </w:rPr>
      </w:pPr>
      <w:r>
        <w:rPr>
          <w:rFonts w:ascii="Arial" w:cs="Arial" w:eastAsia="Arial" w:hAnsi="Arial"/>
          <w:sz w:val="17"/>
          <w:szCs w:val="17"/>
          <w:i w:val="1"/>
          <w:iCs w:val="1"/>
          <w:color w:val="auto"/>
        </w:rPr>
        <w:t xml:space="preserve">George Hervey, </w:t>
      </w:r>
      <w:r>
        <w:rPr>
          <w:rFonts w:ascii="Arial" w:cs="Arial" w:eastAsia="Arial" w:hAnsi="Arial"/>
          <w:sz w:val="17"/>
          <w:szCs w:val="17"/>
          <w:color w:val="auto"/>
        </w:rPr>
        <w:t>57, joined Marvell in April 2000 as our Vice President of Finance and Chief Financial Officer, and serves in a similar capacity for Marvell</w:t>
      </w:r>
      <w:r>
        <w:rPr>
          <w:rFonts w:ascii="Arial" w:cs="Arial" w:eastAsia="Arial" w:hAnsi="Arial"/>
          <w:sz w:val="17"/>
          <w:szCs w:val="17"/>
          <w:i w:val="1"/>
          <w:iCs w:val="1"/>
          <w:color w:val="auto"/>
        </w:rPr>
        <w:t xml:space="preserve"> </w:t>
      </w:r>
      <w:r>
        <w:rPr>
          <w:rFonts w:ascii="Arial" w:cs="Arial" w:eastAsia="Arial" w:hAnsi="Arial"/>
          <w:sz w:val="17"/>
          <w:szCs w:val="17"/>
          <w:color w:val="auto"/>
        </w:rPr>
        <w:t>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198"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Summary Compensation Table</w:t>
      </w:r>
    </w:p>
    <w:p>
      <w:pPr>
        <w:spacing w:after="0" w:line="189" w:lineRule="exact"/>
        <w:rPr>
          <w:sz w:val="20"/>
          <w:szCs w:val="20"/>
          <w:color w:val="auto"/>
        </w:rPr>
      </w:pPr>
    </w:p>
    <w:p>
      <w:pPr>
        <w:ind w:right="80" w:firstLine="222"/>
        <w:spacing w:after="0" w:line="302" w:lineRule="auto"/>
        <w:rPr>
          <w:sz w:val="20"/>
          <w:szCs w:val="20"/>
          <w:color w:val="auto"/>
        </w:rPr>
      </w:pPr>
      <w:r>
        <w:rPr>
          <w:rFonts w:ascii="Arial" w:cs="Arial" w:eastAsia="Arial" w:hAnsi="Arial"/>
          <w:sz w:val="16"/>
          <w:szCs w:val="16"/>
          <w:color w:val="auto"/>
        </w:rPr>
        <w:t>The following table shows the compensation for services rendered in all capacities to the Company for fiscal 2002, 2003 and 2004 paid or accrued to the Company’s Chief Executive Officer and each of its three most highly compensated executive officers other than the Chief Executive Officer whose total salary and bonus for the fiscal year ended January 31, 2004 exceeded $100,000 (the “Named Executive Officers”). The Company did not make any restricted stock awards or long-term incentive plan payments in the fiscal year ended January 31, 2004. All amounts are in United States dollars.</w:t>
      </w: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jc w:val="center"/>
              <w:spacing w:after="0"/>
              <w:rPr>
                <w:sz w:val="20"/>
                <w:szCs w:val="20"/>
                <w:color w:val="auto"/>
              </w:rPr>
            </w:pPr>
            <w:r>
              <w:rPr>
                <w:rFonts w:ascii="Arial" w:cs="Arial" w:eastAsia="Arial" w:hAnsi="Arial"/>
                <w:sz w:val="14"/>
                <w:szCs w:val="14"/>
                <w:b w:val="1"/>
                <w:bCs w:val="1"/>
                <w:color w:val="auto"/>
                <w:w w:val="92"/>
              </w:rPr>
              <w:t>Long Term Compensation</w:t>
            </w:r>
          </w:p>
        </w:tc>
        <w:tc>
          <w:tcPr>
            <w:tcW w:w="0" w:type="dxa"/>
            <w:vAlign w:val="bottom"/>
          </w:tcPr>
          <w:p>
            <w:pPr>
              <w:spacing w:after="0"/>
              <w:rPr>
                <w:sz w:val="1"/>
                <w:szCs w:val="1"/>
                <w:color w:val="auto"/>
              </w:rPr>
            </w:pPr>
          </w:p>
        </w:tc>
      </w:tr>
      <w:tr>
        <w:trPr>
          <w:trHeight w:val="186"/>
        </w:trPr>
        <w:tc>
          <w:tcPr>
            <w:tcW w:w="39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3480" w:type="dxa"/>
            <w:vAlign w:val="bottom"/>
            <w:gridSpan w:val="5"/>
            <w:vMerge w:val="restart"/>
          </w:tcPr>
          <w:p>
            <w:pPr>
              <w:ind w:left="800"/>
              <w:spacing w:after="0"/>
              <w:rPr>
                <w:sz w:val="20"/>
                <w:szCs w:val="20"/>
                <w:color w:val="auto"/>
              </w:rPr>
            </w:pPr>
            <w:r>
              <w:rPr>
                <w:rFonts w:ascii="Arial" w:cs="Arial" w:eastAsia="Arial" w:hAnsi="Arial"/>
                <w:sz w:val="14"/>
                <w:szCs w:val="14"/>
                <w:b w:val="1"/>
                <w:bCs w:val="1"/>
                <w:color w:val="auto"/>
              </w:rPr>
              <w:t>Annual Compensation(1)</w:t>
            </w:r>
          </w:p>
        </w:tc>
        <w:tc>
          <w:tcPr>
            <w:tcW w:w="2440" w:type="dxa"/>
            <w:vAlign w:val="bottom"/>
          </w:tcPr>
          <w:p>
            <w:pPr>
              <w:jc w:val="center"/>
              <w:spacing w:after="0"/>
              <w:rPr>
                <w:sz w:val="20"/>
                <w:szCs w:val="20"/>
                <w:color w:val="auto"/>
              </w:rPr>
            </w:pPr>
            <w:r>
              <w:rPr>
                <w:rFonts w:ascii="Arial" w:cs="Arial" w:eastAsia="Arial" w:hAnsi="Arial"/>
                <w:sz w:val="14"/>
                <w:szCs w:val="14"/>
                <w:b w:val="1"/>
                <w:bCs w:val="1"/>
                <w:color w:val="auto"/>
                <w:w w:val="90"/>
              </w:rPr>
              <w:t>Awards</w:t>
            </w:r>
          </w:p>
        </w:tc>
        <w:tc>
          <w:tcPr>
            <w:tcW w:w="0" w:type="dxa"/>
            <w:vAlign w:val="bottom"/>
          </w:tcPr>
          <w:p>
            <w:pPr>
              <w:spacing w:after="0"/>
              <w:rPr>
                <w:sz w:val="1"/>
                <w:szCs w:val="1"/>
                <w:color w:val="auto"/>
              </w:rPr>
            </w:pPr>
          </w:p>
        </w:tc>
      </w:tr>
      <w:tr>
        <w:trPr>
          <w:trHeight w:val="66"/>
        </w:trPr>
        <w:tc>
          <w:tcPr>
            <w:tcW w:w="39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20" w:type="dxa"/>
            <w:vAlign w:val="bottom"/>
          </w:tcPr>
          <w:p>
            <w:pPr>
              <w:spacing w:after="0"/>
              <w:rPr>
                <w:sz w:val="5"/>
                <w:szCs w:val="5"/>
                <w:color w:val="auto"/>
              </w:rPr>
            </w:pPr>
          </w:p>
        </w:tc>
        <w:tc>
          <w:tcPr>
            <w:tcW w:w="360" w:type="dxa"/>
            <w:vAlign w:val="bottom"/>
          </w:tcPr>
          <w:p>
            <w:pPr>
              <w:spacing w:after="0"/>
              <w:rPr>
                <w:sz w:val="5"/>
                <w:szCs w:val="5"/>
                <w:color w:val="auto"/>
              </w:rPr>
            </w:pPr>
          </w:p>
        </w:tc>
        <w:tc>
          <w:tcPr>
            <w:tcW w:w="3480" w:type="dxa"/>
            <w:vAlign w:val="bottom"/>
            <w:gridSpan w:val="5"/>
            <w:vMerge w:val="continue"/>
          </w:tcPr>
          <w:p>
            <w:pPr>
              <w:spacing w:after="0"/>
              <w:rPr>
                <w:sz w:val="5"/>
                <w:szCs w:val="5"/>
                <w:color w:val="auto"/>
              </w:rPr>
            </w:pPr>
          </w:p>
        </w:tc>
        <w:tc>
          <w:tcPr>
            <w:tcW w:w="244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3960" w:type="dxa"/>
            <w:vAlign w:val="bottom"/>
          </w:tcPr>
          <w:p>
            <w:pPr>
              <w:spacing w:after="0"/>
              <w:rPr>
                <w:sz w:val="6"/>
                <w:szCs w:val="6"/>
                <w:color w:val="auto"/>
              </w:rPr>
            </w:pPr>
          </w:p>
        </w:tc>
        <w:tc>
          <w:tcPr>
            <w:tcW w:w="360" w:type="dxa"/>
            <w:vAlign w:val="bottom"/>
          </w:tcPr>
          <w:p>
            <w:pPr>
              <w:spacing w:after="0"/>
              <w:rPr>
                <w:sz w:val="6"/>
                <w:szCs w:val="6"/>
                <w:color w:val="auto"/>
              </w:rPr>
            </w:pPr>
          </w:p>
        </w:tc>
        <w:tc>
          <w:tcPr>
            <w:tcW w:w="820" w:type="dxa"/>
            <w:vAlign w:val="bottom"/>
          </w:tcPr>
          <w:p>
            <w:pPr>
              <w:spacing w:after="0"/>
              <w:rPr>
                <w:sz w:val="6"/>
                <w:szCs w:val="6"/>
                <w:color w:val="auto"/>
              </w:rPr>
            </w:pPr>
          </w:p>
        </w:tc>
        <w:tc>
          <w:tcPr>
            <w:tcW w:w="360" w:type="dxa"/>
            <w:vAlign w:val="bottom"/>
          </w:tcPr>
          <w:p>
            <w:pPr>
              <w:spacing w:after="0"/>
              <w:rPr>
                <w:sz w:val="6"/>
                <w:szCs w:val="6"/>
                <w:color w:val="auto"/>
              </w:rPr>
            </w:pPr>
          </w:p>
        </w:tc>
        <w:tc>
          <w:tcPr>
            <w:tcW w:w="3480" w:type="dxa"/>
            <w:vAlign w:val="bottom"/>
            <w:gridSpan w:val="5"/>
            <w:vMerge w:val="continue"/>
          </w:tcPr>
          <w:p>
            <w:pPr>
              <w:spacing w:after="0"/>
              <w:rPr>
                <w:sz w:val="6"/>
                <w:szCs w:val="6"/>
                <w:color w:val="auto"/>
              </w:rPr>
            </w:pPr>
          </w:p>
        </w:tc>
        <w:tc>
          <w:tcPr>
            <w:tcW w:w="2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Securities Underlying Options</w:t>
            </w:r>
          </w:p>
        </w:tc>
        <w:tc>
          <w:tcPr>
            <w:tcW w:w="0" w:type="dxa"/>
            <w:vAlign w:val="bottom"/>
          </w:tcPr>
          <w:p>
            <w:pPr>
              <w:spacing w:after="0"/>
              <w:rPr>
                <w:sz w:val="1"/>
                <w:szCs w:val="1"/>
                <w:color w:val="auto"/>
              </w:rPr>
            </w:pPr>
          </w:p>
        </w:tc>
      </w:tr>
      <w:tr>
        <w:trPr>
          <w:trHeight w:val="66"/>
        </w:trPr>
        <w:tc>
          <w:tcPr>
            <w:tcW w:w="3960" w:type="dxa"/>
            <w:vAlign w:val="bottom"/>
          </w:tcPr>
          <w:p>
            <w:pPr>
              <w:spacing w:after="0"/>
              <w:rPr>
                <w:sz w:val="5"/>
                <w:szCs w:val="5"/>
                <w:color w:val="auto"/>
              </w:rPr>
            </w:pPr>
          </w:p>
        </w:tc>
        <w:tc>
          <w:tcPr>
            <w:tcW w:w="360" w:type="dxa"/>
            <w:vAlign w:val="bottom"/>
          </w:tcPr>
          <w:p>
            <w:pPr>
              <w:spacing w:after="0"/>
              <w:rPr>
                <w:sz w:val="5"/>
                <w:szCs w:val="5"/>
                <w:color w:val="auto"/>
              </w:rPr>
            </w:pPr>
          </w:p>
        </w:tc>
        <w:tc>
          <w:tcPr>
            <w:tcW w:w="82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6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86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24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3960" w:type="dxa"/>
            <w:vAlign w:val="bottom"/>
            <w:vMerge w:val="restart"/>
          </w:tcPr>
          <w:p>
            <w:pPr>
              <w:spacing w:after="0"/>
              <w:rPr>
                <w:sz w:val="20"/>
                <w:szCs w:val="20"/>
                <w:color w:val="auto"/>
              </w:rPr>
            </w:pPr>
            <w:r>
              <w:rPr>
                <w:rFonts w:ascii="Arial" w:cs="Arial" w:eastAsia="Arial" w:hAnsi="Arial"/>
                <w:sz w:val="14"/>
                <w:szCs w:val="14"/>
                <w:b w:val="1"/>
                <w:bCs w:val="1"/>
                <w:color w:val="auto"/>
              </w:rPr>
              <w:t>Name And Principal Positions</w:t>
            </w:r>
          </w:p>
        </w:tc>
        <w:tc>
          <w:tcPr>
            <w:tcW w:w="360" w:type="dxa"/>
            <w:vAlign w:val="bottom"/>
          </w:tcPr>
          <w:p>
            <w:pPr>
              <w:spacing w:after="0"/>
              <w:rPr>
                <w:sz w:val="3"/>
                <w:szCs w:val="3"/>
                <w:color w:val="auto"/>
              </w:rPr>
            </w:pPr>
          </w:p>
        </w:tc>
        <w:tc>
          <w:tcPr>
            <w:tcW w:w="118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4"/>
              </w:rPr>
              <w:t>Fiscal Year</w:t>
            </w:r>
          </w:p>
        </w:tc>
        <w:tc>
          <w:tcPr>
            <w:tcW w:w="1460" w:type="dxa"/>
            <w:vAlign w:val="bottom"/>
            <w:vMerge w:val="restart"/>
          </w:tcPr>
          <w:p>
            <w:pPr>
              <w:jc w:val="right"/>
              <w:ind w:right="353"/>
              <w:spacing w:after="0"/>
              <w:rPr>
                <w:sz w:val="20"/>
                <w:szCs w:val="20"/>
                <w:color w:val="auto"/>
              </w:rPr>
            </w:pPr>
            <w:r>
              <w:rPr>
                <w:rFonts w:ascii="Arial" w:cs="Arial" w:eastAsia="Arial" w:hAnsi="Arial"/>
                <w:sz w:val="14"/>
                <w:szCs w:val="14"/>
                <w:b w:val="1"/>
                <w:bCs w:val="1"/>
                <w:color w:val="auto"/>
              </w:rPr>
              <w:t>Salary($)</w:t>
            </w:r>
          </w:p>
        </w:tc>
        <w:tc>
          <w:tcPr>
            <w:tcW w:w="4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Bonus($)</w:t>
            </w:r>
          </w:p>
        </w:tc>
        <w:tc>
          <w:tcPr>
            <w:tcW w:w="24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396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1180" w:type="dxa"/>
            <w:vAlign w:val="bottom"/>
            <w:gridSpan w:val="2"/>
            <w:vMerge w:val="continue"/>
          </w:tcPr>
          <w:p>
            <w:pPr>
              <w:spacing w:after="0"/>
              <w:rPr>
                <w:sz w:val="16"/>
                <w:szCs w:val="16"/>
                <w:color w:val="auto"/>
              </w:rPr>
            </w:pPr>
          </w:p>
        </w:tc>
        <w:tc>
          <w:tcPr>
            <w:tcW w:w="1460" w:type="dxa"/>
            <w:vAlign w:val="bottom"/>
            <w:vMerge w:val="continue"/>
          </w:tcPr>
          <w:p>
            <w:pPr>
              <w:spacing w:after="0"/>
              <w:rPr>
                <w:sz w:val="16"/>
                <w:szCs w:val="16"/>
                <w:color w:val="auto"/>
              </w:rPr>
            </w:pPr>
          </w:p>
        </w:tc>
        <w:tc>
          <w:tcPr>
            <w:tcW w:w="4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24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0" w:type="dxa"/>
            <w:vAlign w:val="bottom"/>
          </w:tcPr>
          <w:p>
            <w:pPr>
              <w:spacing w:after="0"/>
              <w:rPr>
                <w:sz w:val="1"/>
                <w:szCs w:val="1"/>
                <w:color w:val="auto"/>
              </w:rPr>
            </w:pPr>
          </w:p>
        </w:tc>
      </w:tr>
      <w:tr>
        <w:trPr>
          <w:trHeight w:val="66"/>
        </w:trPr>
        <w:tc>
          <w:tcPr>
            <w:tcW w:w="396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82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1460" w:type="dxa"/>
            <w:vAlign w:val="bottom"/>
            <w:tcBorders>
              <w:bottom w:val="single" w:sz="8" w:color="808080"/>
            </w:tcBorders>
          </w:tcPr>
          <w:p>
            <w:pPr>
              <w:spacing w:after="0"/>
              <w:rPr>
                <w:sz w:val="5"/>
                <w:szCs w:val="5"/>
                <w:color w:val="auto"/>
              </w:rPr>
            </w:pPr>
          </w:p>
        </w:tc>
        <w:tc>
          <w:tcPr>
            <w:tcW w:w="480" w:type="dxa"/>
            <w:vAlign w:val="bottom"/>
          </w:tcPr>
          <w:p>
            <w:pPr>
              <w:spacing w:after="0"/>
              <w:rPr>
                <w:sz w:val="5"/>
                <w:szCs w:val="5"/>
                <w:color w:val="auto"/>
              </w:rPr>
            </w:pPr>
          </w:p>
        </w:tc>
        <w:tc>
          <w:tcPr>
            <w:tcW w:w="1180" w:type="dxa"/>
            <w:vAlign w:val="bottom"/>
            <w:tcBorders>
              <w:bottom w:val="single" w:sz="8" w:color="808080"/>
            </w:tcBorders>
            <w:gridSpan w:val="2"/>
          </w:tcPr>
          <w:p>
            <w:pPr>
              <w:spacing w:after="0"/>
              <w:rPr>
                <w:sz w:val="5"/>
                <w:szCs w:val="5"/>
                <w:color w:val="auto"/>
              </w:rPr>
            </w:pPr>
          </w:p>
        </w:tc>
        <w:tc>
          <w:tcPr>
            <w:tcW w:w="360" w:type="dxa"/>
            <w:vAlign w:val="bottom"/>
          </w:tcPr>
          <w:p>
            <w:pPr>
              <w:spacing w:after="0"/>
              <w:rPr>
                <w:sz w:val="5"/>
                <w:szCs w:val="5"/>
                <w:color w:val="auto"/>
              </w:rPr>
            </w:pPr>
          </w:p>
        </w:tc>
        <w:tc>
          <w:tcPr>
            <w:tcW w:w="244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3960" w:type="dxa"/>
            <w:vAlign w:val="bottom"/>
          </w:tcPr>
          <w:p>
            <w:pPr>
              <w:spacing w:after="0"/>
              <w:rPr>
                <w:sz w:val="20"/>
                <w:szCs w:val="20"/>
                <w:color w:val="auto"/>
              </w:rPr>
            </w:pPr>
            <w:r>
              <w:rPr>
                <w:rFonts w:ascii="Arial" w:cs="Arial" w:eastAsia="Arial" w:hAnsi="Arial"/>
                <w:sz w:val="18"/>
                <w:szCs w:val="18"/>
                <w:color w:val="auto"/>
                <w:w w:val="99"/>
              </w:rPr>
              <w:t>Dr. Sehat Sutardja, Ph.D. Chairman of the Board,</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2004</w:t>
            </w:r>
          </w:p>
        </w:tc>
        <w:tc>
          <w:tcPr>
            <w:tcW w:w="360" w:type="dxa"/>
            <w:vAlign w:val="bottom"/>
          </w:tcPr>
          <w:p>
            <w:pPr>
              <w:spacing w:after="0"/>
              <w:rPr>
                <w:sz w:val="22"/>
                <w:szCs w:val="22"/>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$500,000</w:t>
            </w:r>
          </w:p>
        </w:tc>
        <w:tc>
          <w:tcPr>
            <w:tcW w:w="1660" w:type="dxa"/>
            <w:vAlign w:val="bottom"/>
            <w:gridSpan w:val="3"/>
          </w:tcPr>
          <w:p>
            <w:pPr>
              <w:jc w:val="right"/>
              <w:ind w:right="292"/>
              <w:spacing w:after="0"/>
              <w:rPr>
                <w:sz w:val="20"/>
                <w:szCs w:val="20"/>
                <w:color w:val="auto"/>
              </w:rPr>
            </w:pPr>
            <w:r>
              <w:rPr>
                <w:rFonts w:ascii="Arial" w:cs="Arial" w:eastAsia="Arial" w:hAnsi="Arial"/>
                <w:sz w:val="18"/>
                <w:szCs w:val="18"/>
                <w:color w:val="auto"/>
              </w:rPr>
              <w:t>$21,750</w:t>
            </w:r>
          </w:p>
        </w:tc>
        <w:tc>
          <w:tcPr>
            <w:tcW w:w="360" w:type="dxa"/>
            <w:vAlign w:val="bottom"/>
          </w:tcPr>
          <w:p>
            <w:pPr>
              <w:spacing w:after="0"/>
              <w:rPr>
                <w:sz w:val="22"/>
                <w:szCs w:val="22"/>
                <w:color w:val="auto"/>
              </w:rPr>
            </w:pP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1,500,000</w:t>
            </w:r>
          </w:p>
        </w:tc>
        <w:tc>
          <w:tcPr>
            <w:tcW w:w="0" w:type="dxa"/>
            <w:vAlign w:val="bottom"/>
          </w:tcPr>
          <w:p>
            <w:pPr>
              <w:spacing w:after="0"/>
              <w:rPr>
                <w:sz w:val="1"/>
                <w:szCs w:val="1"/>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President and Chief Executive</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2003</w:t>
            </w:r>
          </w:p>
        </w:tc>
        <w:tc>
          <w:tcPr>
            <w:tcW w:w="360" w:type="dxa"/>
            <w:vAlign w:val="bottom"/>
          </w:tcPr>
          <w:p>
            <w:pPr>
              <w:spacing w:after="0"/>
              <w:rPr>
                <w:sz w:val="18"/>
                <w:szCs w:val="18"/>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$500,000</w:t>
            </w:r>
          </w:p>
        </w:tc>
        <w:tc>
          <w:tcPr>
            <w:tcW w:w="1660" w:type="dxa"/>
            <w:vAlign w:val="bottom"/>
            <w:gridSpan w:val="3"/>
          </w:tcPr>
          <w:p>
            <w:pPr>
              <w:jc w:val="right"/>
              <w:ind w:right="292"/>
              <w:spacing w:after="0"/>
              <w:rPr>
                <w:sz w:val="20"/>
                <w:szCs w:val="20"/>
                <w:color w:val="auto"/>
              </w:rPr>
            </w:pPr>
            <w:r>
              <w:rPr>
                <w:rFonts w:ascii="Arial" w:cs="Arial" w:eastAsia="Arial" w:hAnsi="Arial"/>
                <w:sz w:val="18"/>
                <w:szCs w:val="18"/>
                <w:color w:val="auto"/>
              </w:rPr>
              <w:t>$13,000</w:t>
            </w:r>
          </w:p>
        </w:tc>
        <w:tc>
          <w:tcPr>
            <w:tcW w:w="360" w:type="dxa"/>
            <w:vAlign w:val="bottom"/>
          </w:tcPr>
          <w:p>
            <w:pPr>
              <w:spacing w:after="0"/>
              <w:rPr>
                <w:sz w:val="18"/>
                <w:szCs w:val="18"/>
                <w:color w:val="auto"/>
              </w:rPr>
            </w:pP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200,000</w:t>
            </w:r>
          </w:p>
        </w:tc>
        <w:tc>
          <w:tcPr>
            <w:tcW w:w="0" w:type="dxa"/>
            <w:vAlign w:val="bottom"/>
          </w:tcPr>
          <w:p>
            <w:pPr>
              <w:spacing w:after="0"/>
              <w:rPr>
                <w:sz w:val="1"/>
                <w:szCs w:val="1"/>
                <w:color w:val="auto"/>
              </w:rPr>
            </w:pPr>
          </w:p>
        </w:tc>
      </w:tr>
      <w:tr>
        <w:trPr>
          <w:trHeight w:val="230"/>
        </w:trPr>
        <w:tc>
          <w:tcPr>
            <w:tcW w:w="3960" w:type="dxa"/>
            <w:vAlign w:val="bottom"/>
          </w:tcPr>
          <w:p>
            <w:pPr>
              <w:spacing w:after="0"/>
              <w:rPr>
                <w:sz w:val="20"/>
                <w:szCs w:val="20"/>
                <w:color w:val="auto"/>
              </w:rPr>
            </w:pPr>
            <w:r>
              <w:rPr>
                <w:rFonts w:ascii="Arial" w:cs="Arial" w:eastAsia="Arial" w:hAnsi="Arial"/>
                <w:sz w:val="18"/>
                <w:szCs w:val="18"/>
                <w:color w:val="auto"/>
              </w:rPr>
              <w:t>Officer</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2002</w:t>
            </w:r>
          </w:p>
        </w:tc>
        <w:tc>
          <w:tcPr>
            <w:tcW w:w="360" w:type="dxa"/>
            <w:vAlign w:val="bottom"/>
          </w:tcPr>
          <w:p>
            <w:pPr>
              <w:spacing w:after="0"/>
              <w:rPr>
                <w:sz w:val="20"/>
                <w:szCs w:val="20"/>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$250,000</w:t>
            </w:r>
          </w:p>
        </w:tc>
        <w:tc>
          <w:tcPr>
            <w:tcW w:w="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18"/>
        </w:trPr>
        <w:tc>
          <w:tcPr>
            <w:tcW w:w="3960" w:type="dxa"/>
            <w:vAlign w:val="bottom"/>
          </w:tcPr>
          <w:p>
            <w:pPr>
              <w:spacing w:after="0"/>
              <w:rPr>
                <w:sz w:val="20"/>
                <w:szCs w:val="20"/>
                <w:color w:val="auto"/>
              </w:rPr>
            </w:pPr>
            <w:r>
              <w:rPr>
                <w:rFonts w:ascii="Arial" w:cs="Arial" w:eastAsia="Arial" w:hAnsi="Arial"/>
                <w:sz w:val="18"/>
                <w:szCs w:val="18"/>
                <w:color w:val="auto"/>
              </w:rPr>
              <w:t>Weili Dai Executive Vice President,</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2004</w:t>
            </w:r>
          </w:p>
        </w:tc>
        <w:tc>
          <w:tcPr>
            <w:tcW w:w="360" w:type="dxa"/>
            <w:vAlign w:val="bottom"/>
          </w:tcPr>
          <w:p>
            <w:pPr>
              <w:spacing w:after="0"/>
              <w:rPr>
                <w:sz w:val="24"/>
                <w:szCs w:val="24"/>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$375,000</w:t>
            </w: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1,000,000</w:t>
            </w:r>
          </w:p>
        </w:tc>
        <w:tc>
          <w:tcPr>
            <w:tcW w:w="0" w:type="dxa"/>
            <w:vAlign w:val="bottom"/>
          </w:tcPr>
          <w:p>
            <w:pPr>
              <w:spacing w:after="0"/>
              <w:rPr>
                <w:sz w:val="1"/>
                <w:szCs w:val="1"/>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Secretary and</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2003</w:t>
            </w:r>
          </w:p>
        </w:tc>
        <w:tc>
          <w:tcPr>
            <w:tcW w:w="360" w:type="dxa"/>
            <w:vAlign w:val="bottom"/>
          </w:tcPr>
          <w:p>
            <w:pPr>
              <w:spacing w:after="0"/>
              <w:rPr>
                <w:sz w:val="18"/>
                <w:szCs w:val="18"/>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$375,000</w:t>
            </w: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292"/>
              <w:spacing w:after="0"/>
              <w:rPr>
                <w:sz w:val="20"/>
                <w:szCs w:val="20"/>
                <w:color w:val="auto"/>
              </w:rPr>
            </w:pPr>
            <w:r>
              <w:rPr>
                <w:rFonts w:ascii="Arial" w:cs="Arial" w:eastAsia="Arial" w:hAnsi="Arial"/>
                <w:sz w:val="18"/>
                <w:szCs w:val="18"/>
                <w:color w:val="auto"/>
              </w:rPr>
              <w:t>250</w:t>
            </w:r>
          </w:p>
        </w:tc>
        <w:tc>
          <w:tcPr>
            <w:tcW w:w="360" w:type="dxa"/>
            <w:vAlign w:val="bottom"/>
          </w:tcPr>
          <w:p>
            <w:pPr>
              <w:spacing w:after="0"/>
              <w:rPr>
                <w:sz w:val="18"/>
                <w:szCs w:val="18"/>
                <w:color w:val="auto"/>
              </w:rPr>
            </w:pP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100,000</w:t>
            </w:r>
          </w:p>
        </w:tc>
        <w:tc>
          <w:tcPr>
            <w:tcW w:w="0" w:type="dxa"/>
            <w:vAlign w:val="bottom"/>
          </w:tcPr>
          <w:p>
            <w:pPr>
              <w:spacing w:after="0"/>
              <w:rPr>
                <w:sz w:val="1"/>
                <w:szCs w:val="1"/>
                <w:color w:val="auto"/>
              </w:rPr>
            </w:pPr>
          </w:p>
        </w:tc>
      </w:tr>
      <w:tr>
        <w:trPr>
          <w:trHeight w:val="230"/>
        </w:trPr>
        <w:tc>
          <w:tcPr>
            <w:tcW w:w="3960" w:type="dxa"/>
            <w:vAlign w:val="bottom"/>
          </w:tcPr>
          <w:p>
            <w:pPr>
              <w:spacing w:after="0"/>
              <w:rPr>
                <w:sz w:val="20"/>
                <w:szCs w:val="20"/>
                <w:color w:val="auto"/>
              </w:rPr>
            </w:pPr>
            <w:r>
              <w:rPr>
                <w:rFonts w:ascii="Arial" w:cs="Arial" w:eastAsia="Arial" w:hAnsi="Arial"/>
                <w:sz w:val="18"/>
                <w:szCs w:val="18"/>
                <w:color w:val="auto"/>
              </w:rPr>
              <w:t>Director</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2002</w:t>
            </w:r>
          </w:p>
        </w:tc>
        <w:tc>
          <w:tcPr>
            <w:tcW w:w="360" w:type="dxa"/>
            <w:vAlign w:val="bottom"/>
          </w:tcPr>
          <w:p>
            <w:pPr>
              <w:spacing w:after="0"/>
              <w:rPr>
                <w:sz w:val="20"/>
                <w:szCs w:val="20"/>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$200,000</w:t>
            </w:r>
          </w:p>
        </w:tc>
        <w:tc>
          <w:tcPr>
            <w:tcW w:w="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18"/>
        </w:trPr>
        <w:tc>
          <w:tcPr>
            <w:tcW w:w="3960" w:type="dxa"/>
            <w:vAlign w:val="bottom"/>
          </w:tcPr>
          <w:p>
            <w:pPr>
              <w:spacing w:after="0"/>
              <w:rPr>
                <w:sz w:val="20"/>
                <w:szCs w:val="20"/>
                <w:color w:val="auto"/>
              </w:rPr>
            </w:pPr>
            <w:r>
              <w:rPr>
                <w:rFonts w:ascii="Arial" w:cs="Arial" w:eastAsia="Arial" w:hAnsi="Arial"/>
                <w:sz w:val="18"/>
                <w:szCs w:val="18"/>
                <w:color w:val="auto"/>
              </w:rPr>
              <w:t>Dr. Pantas Sutardja, Ph.D.</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2004</w:t>
            </w:r>
          </w:p>
        </w:tc>
        <w:tc>
          <w:tcPr>
            <w:tcW w:w="360" w:type="dxa"/>
            <w:vAlign w:val="bottom"/>
          </w:tcPr>
          <w:p>
            <w:pPr>
              <w:spacing w:after="0"/>
              <w:rPr>
                <w:sz w:val="24"/>
                <w:szCs w:val="24"/>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$300,000</w:t>
            </w:r>
          </w:p>
        </w:tc>
        <w:tc>
          <w:tcPr>
            <w:tcW w:w="1660" w:type="dxa"/>
            <w:vAlign w:val="bottom"/>
            <w:gridSpan w:val="3"/>
          </w:tcPr>
          <w:p>
            <w:pPr>
              <w:jc w:val="right"/>
              <w:ind w:right="292"/>
              <w:spacing w:after="0"/>
              <w:rPr>
                <w:sz w:val="20"/>
                <w:szCs w:val="20"/>
                <w:color w:val="auto"/>
              </w:rPr>
            </w:pPr>
            <w:r>
              <w:rPr>
                <w:rFonts w:ascii="Arial" w:cs="Arial" w:eastAsia="Arial" w:hAnsi="Arial"/>
                <w:sz w:val="18"/>
                <w:szCs w:val="18"/>
                <w:color w:val="auto"/>
              </w:rPr>
              <w:t>$18,000</w:t>
            </w:r>
          </w:p>
        </w:tc>
        <w:tc>
          <w:tcPr>
            <w:tcW w:w="360" w:type="dxa"/>
            <w:vAlign w:val="bottom"/>
          </w:tcPr>
          <w:p>
            <w:pPr>
              <w:spacing w:after="0"/>
              <w:rPr>
                <w:sz w:val="24"/>
                <w:szCs w:val="24"/>
                <w:color w:val="auto"/>
              </w:rPr>
            </w:pP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660,000</w:t>
            </w:r>
          </w:p>
        </w:tc>
        <w:tc>
          <w:tcPr>
            <w:tcW w:w="0" w:type="dxa"/>
            <w:vAlign w:val="bottom"/>
          </w:tcPr>
          <w:p>
            <w:pPr>
              <w:spacing w:after="0"/>
              <w:rPr>
                <w:sz w:val="1"/>
                <w:szCs w:val="1"/>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Vice President and</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2003</w:t>
            </w:r>
          </w:p>
        </w:tc>
        <w:tc>
          <w:tcPr>
            <w:tcW w:w="360" w:type="dxa"/>
            <w:vAlign w:val="bottom"/>
          </w:tcPr>
          <w:p>
            <w:pPr>
              <w:spacing w:after="0"/>
              <w:rPr>
                <w:sz w:val="18"/>
                <w:szCs w:val="18"/>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$300,000</w:t>
            </w: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292"/>
              <w:spacing w:after="0"/>
              <w:rPr>
                <w:sz w:val="20"/>
                <w:szCs w:val="20"/>
                <w:color w:val="auto"/>
              </w:rPr>
            </w:pPr>
            <w:r>
              <w:rPr>
                <w:rFonts w:ascii="Arial" w:cs="Arial" w:eastAsia="Arial" w:hAnsi="Arial"/>
                <w:sz w:val="18"/>
                <w:szCs w:val="18"/>
                <w:color w:val="auto"/>
              </w:rPr>
              <w:t>1,500</w:t>
            </w:r>
          </w:p>
        </w:tc>
        <w:tc>
          <w:tcPr>
            <w:tcW w:w="360" w:type="dxa"/>
            <w:vAlign w:val="bottom"/>
          </w:tcPr>
          <w:p>
            <w:pPr>
              <w:spacing w:after="0"/>
              <w:rPr>
                <w:sz w:val="18"/>
                <w:szCs w:val="18"/>
                <w:color w:val="auto"/>
              </w:rPr>
            </w:pP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100,000</w:t>
            </w:r>
          </w:p>
        </w:tc>
        <w:tc>
          <w:tcPr>
            <w:tcW w:w="0" w:type="dxa"/>
            <w:vAlign w:val="bottom"/>
          </w:tcPr>
          <w:p>
            <w:pPr>
              <w:spacing w:after="0"/>
              <w:rPr>
                <w:sz w:val="1"/>
                <w:szCs w:val="1"/>
                <w:color w:val="auto"/>
              </w:rPr>
            </w:pPr>
          </w:p>
        </w:tc>
      </w:tr>
      <w:tr>
        <w:trPr>
          <w:trHeight w:val="230"/>
        </w:trPr>
        <w:tc>
          <w:tcPr>
            <w:tcW w:w="3960" w:type="dxa"/>
            <w:vAlign w:val="bottom"/>
          </w:tcPr>
          <w:p>
            <w:pPr>
              <w:spacing w:after="0"/>
              <w:rPr>
                <w:sz w:val="20"/>
                <w:szCs w:val="20"/>
                <w:color w:val="auto"/>
              </w:rPr>
            </w:pPr>
            <w:r>
              <w:rPr>
                <w:rFonts w:ascii="Arial" w:cs="Arial" w:eastAsia="Arial" w:hAnsi="Arial"/>
                <w:sz w:val="18"/>
                <w:szCs w:val="18"/>
                <w:color w:val="auto"/>
              </w:rPr>
              <w:t>Director</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2002</w:t>
            </w:r>
          </w:p>
        </w:tc>
        <w:tc>
          <w:tcPr>
            <w:tcW w:w="360" w:type="dxa"/>
            <w:vAlign w:val="bottom"/>
          </w:tcPr>
          <w:p>
            <w:pPr>
              <w:spacing w:after="0"/>
              <w:rPr>
                <w:sz w:val="20"/>
                <w:szCs w:val="20"/>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$230,000</w:t>
            </w:r>
          </w:p>
        </w:tc>
        <w:tc>
          <w:tcPr>
            <w:tcW w:w="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18"/>
        </w:trPr>
        <w:tc>
          <w:tcPr>
            <w:tcW w:w="3960" w:type="dxa"/>
            <w:vAlign w:val="bottom"/>
          </w:tcPr>
          <w:p>
            <w:pPr>
              <w:spacing w:after="0"/>
              <w:rPr>
                <w:sz w:val="20"/>
                <w:szCs w:val="20"/>
                <w:color w:val="auto"/>
              </w:rPr>
            </w:pPr>
            <w:r>
              <w:rPr>
                <w:rFonts w:ascii="Arial" w:cs="Arial" w:eastAsia="Arial" w:hAnsi="Arial"/>
                <w:sz w:val="18"/>
                <w:szCs w:val="18"/>
                <w:color w:val="auto"/>
              </w:rPr>
              <w:t>George Hervey Vice President of Finance</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2004</w:t>
            </w:r>
          </w:p>
        </w:tc>
        <w:tc>
          <w:tcPr>
            <w:tcW w:w="360" w:type="dxa"/>
            <w:vAlign w:val="bottom"/>
          </w:tcPr>
          <w:p>
            <w:pPr>
              <w:spacing w:after="0"/>
              <w:rPr>
                <w:sz w:val="24"/>
                <w:szCs w:val="24"/>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$250,000</w:t>
            </w: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120,000</w:t>
            </w:r>
          </w:p>
        </w:tc>
        <w:tc>
          <w:tcPr>
            <w:tcW w:w="0" w:type="dxa"/>
            <w:vAlign w:val="bottom"/>
          </w:tcPr>
          <w:p>
            <w:pPr>
              <w:spacing w:after="0"/>
              <w:rPr>
                <w:sz w:val="1"/>
                <w:szCs w:val="1"/>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and Chief Financial</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2003</w:t>
            </w:r>
          </w:p>
        </w:tc>
        <w:tc>
          <w:tcPr>
            <w:tcW w:w="360" w:type="dxa"/>
            <w:vAlign w:val="bottom"/>
          </w:tcPr>
          <w:p>
            <w:pPr>
              <w:spacing w:after="0"/>
              <w:rPr>
                <w:sz w:val="18"/>
                <w:szCs w:val="18"/>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$221,760</w:t>
            </w: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110,000</w:t>
            </w:r>
          </w:p>
        </w:tc>
        <w:tc>
          <w:tcPr>
            <w:tcW w:w="0" w:type="dxa"/>
            <w:vAlign w:val="bottom"/>
          </w:tcPr>
          <w:p>
            <w:pPr>
              <w:spacing w:after="0"/>
              <w:rPr>
                <w:sz w:val="1"/>
                <w:szCs w:val="1"/>
                <w:color w:val="auto"/>
              </w:rPr>
            </w:pPr>
          </w:p>
        </w:tc>
      </w:tr>
      <w:tr>
        <w:trPr>
          <w:trHeight w:val="230"/>
        </w:trPr>
        <w:tc>
          <w:tcPr>
            <w:tcW w:w="3960" w:type="dxa"/>
            <w:vAlign w:val="bottom"/>
          </w:tcPr>
          <w:p>
            <w:pPr>
              <w:spacing w:after="0"/>
              <w:rPr>
                <w:sz w:val="20"/>
                <w:szCs w:val="20"/>
                <w:color w:val="auto"/>
              </w:rPr>
            </w:pPr>
            <w:r>
              <w:rPr>
                <w:rFonts w:ascii="Arial" w:cs="Arial" w:eastAsia="Arial" w:hAnsi="Arial"/>
                <w:sz w:val="18"/>
                <w:szCs w:val="18"/>
                <w:color w:val="auto"/>
              </w:rPr>
              <w:t>Officer</w:t>
            </w:r>
          </w:p>
        </w:tc>
        <w:tc>
          <w:tcPr>
            <w:tcW w:w="1180" w:type="dxa"/>
            <w:vAlign w:val="bottom"/>
            <w:gridSpan w:val="2"/>
          </w:tcPr>
          <w:p>
            <w:pPr>
              <w:jc w:val="center"/>
              <w:ind w:left="290"/>
              <w:spacing w:after="0"/>
              <w:rPr>
                <w:sz w:val="20"/>
                <w:szCs w:val="20"/>
                <w:color w:val="auto"/>
              </w:rPr>
            </w:pPr>
            <w:r>
              <w:rPr>
                <w:rFonts w:ascii="Arial" w:cs="Arial" w:eastAsia="Arial" w:hAnsi="Arial"/>
                <w:sz w:val="18"/>
                <w:szCs w:val="18"/>
                <w:color w:val="auto"/>
                <w:w w:val="89"/>
              </w:rPr>
              <w:t>2002</w:t>
            </w:r>
          </w:p>
        </w:tc>
        <w:tc>
          <w:tcPr>
            <w:tcW w:w="360" w:type="dxa"/>
            <w:vAlign w:val="bottom"/>
          </w:tcPr>
          <w:p>
            <w:pPr>
              <w:spacing w:after="0"/>
              <w:rPr>
                <w:sz w:val="20"/>
                <w:szCs w:val="20"/>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$198,000</w:t>
            </w:r>
          </w:p>
        </w:tc>
        <w:tc>
          <w:tcPr>
            <w:tcW w:w="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2440" w:type="dxa"/>
            <w:vAlign w:val="bottom"/>
          </w:tcPr>
          <w:p>
            <w:pPr>
              <w:jc w:val="right"/>
              <w:ind w:right="8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137160</wp:posOffset>
            </wp:positionV>
            <wp:extent cx="13208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03" w:lineRule="exact"/>
        <w:rPr>
          <w:sz w:val="20"/>
          <w:szCs w:val="20"/>
          <w:color w:val="auto"/>
        </w:rPr>
      </w:pPr>
    </w:p>
    <w:p>
      <w:pPr>
        <w:ind w:left="540" w:right="240" w:hanging="526"/>
        <w:spacing w:after="0" w:line="264" w:lineRule="auto"/>
        <w:tabs>
          <w:tab w:leader="none" w:pos="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GRANTS IN LAST FISCAL YEAR</w:t>
      </w:r>
    </w:p>
    <w:p>
      <w:pPr>
        <w:spacing w:after="0" w:line="202" w:lineRule="exact"/>
        <w:rPr>
          <w:sz w:val="20"/>
          <w:szCs w:val="20"/>
          <w:color w:val="auto"/>
        </w:rPr>
      </w:pPr>
    </w:p>
    <w:p>
      <w:pPr>
        <w:ind w:right="20" w:firstLine="222"/>
        <w:spacing w:after="0" w:line="286" w:lineRule="auto"/>
        <w:rPr>
          <w:sz w:val="20"/>
          <w:szCs w:val="20"/>
          <w:color w:val="auto"/>
        </w:rPr>
      </w:pPr>
      <w:r>
        <w:rPr>
          <w:rFonts w:ascii="Arial" w:cs="Arial" w:eastAsia="Arial" w:hAnsi="Arial"/>
          <w:sz w:val="16"/>
          <w:szCs w:val="16"/>
          <w:color w:val="auto"/>
        </w:rPr>
        <w:t>The following tables set forth certain information as of January 31, 2004 and for the fiscal year then ended with respect to stock options granted to and exercised by the Named Executive Officers. The options granted to the Named Executive Officers in fiscal year 2004 granted under the Company’s 1995 Plan. Except for the grant of options to acquire 50,000 shares of Common Stock, which option vests 100% on the fourth annual anniversary of the grant date, and 70,000 shares of Common Stock, which option vests on the third annual anniversary of the grant date, granted to the Company’s Vice President and Chief</w:t>
      </w:r>
    </w:p>
    <w:p>
      <w:pPr>
        <w:spacing w:after="0" w:line="2" w:lineRule="exact"/>
        <w:rPr>
          <w:sz w:val="20"/>
          <w:szCs w:val="20"/>
          <w:color w:val="auto"/>
        </w:rPr>
      </w:pPr>
    </w:p>
    <w:p>
      <w:pPr>
        <w:ind w:right="200"/>
        <w:spacing w:after="0" w:line="224" w:lineRule="auto"/>
        <w:rPr>
          <w:sz w:val="20"/>
          <w:szCs w:val="20"/>
          <w:color w:val="auto"/>
        </w:rPr>
      </w:pPr>
      <w:r>
        <w:rPr>
          <w:rFonts w:ascii="Arial" w:cs="Arial" w:eastAsia="Arial" w:hAnsi="Arial"/>
          <w:sz w:val="18"/>
          <w:szCs w:val="18"/>
          <w:color w:val="auto"/>
        </w:rPr>
        <w:t>Financial Officer, the options granted to the Named Executive Officers are exercisable as to 25% on the first annual anniversary of the grant date and 1/48</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each month over the remaining three years from the date of grant. The percent of the total options set forth below is based on an aggregate of 13,721,866 options granted to employees during fiscal year 2004. All options granted to the Named Executive Officers were granted at the then fair market value as determined by the Company’s Board of Directors on the date of grant.</w:t>
      </w:r>
    </w:p>
    <w:p>
      <w:pPr>
        <w:spacing w:after="0" w:line="165" w:lineRule="exact"/>
        <w:rPr>
          <w:sz w:val="20"/>
          <w:szCs w:val="20"/>
          <w:color w:val="auto"/>
        </w:rPr>
      </w:pPr>
    </w:p>
    <w:p>
      <w:pPr>
        <w:ind w:right="160" w:firstLine="225"/>
        <w:spacing w:after="0" w:line="270" w:lineRule="auto"/>
        <w:rPr>
          <w:sz w:val="20"/>
          <w:szCs w:val="20"/>
          <w:color w:val="auto"/>
        </w:rPr>
      </w:pPr>
      <w:r>
        <w:rPr>
          <w:rFonts w:ascii="Arial" w:cs="Arial" w:eastAsia="Arial" w:hAnsi="Arial"/>
          <w:sz w:val="17"/>
          <w:szCs w:val="17"/>
          <w:color w:val="auto"/>
        </w:rPr>
        <w:t>Potential realizable value represents hypothetical gains that could be achieved for the options if exercised at the end of the option term assuming that the fair market value of the Common Stock on the date of grant appreciates at 5% and 10% over the option term (10 years)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We used the grant date price (the closing price on the Nasdaq National Market on the date of grant) in determining the value of the options granted to Named Executive Officers in fiscal year 2004.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GRANTS IN FISCAL YEAR-END 2004</w:t>
      </w:r>
    </w:p>
    <w:p>
      <w:pPr>
        <w:spacing w:after="0" w:line="200" w:lineRule="exact"/>
        <w:rPr>
          <w:sz w:val="20"/>
          <w:szCs w:val="20"/>
          <w:color w:val="auto"/>
        </w:rPr>
      </w:pP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0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780" w:type="dxa"/>
            <w:vAlign w:val="bottom"/>
            <w:gridSpan w:val="3"/>
          </w:tcPr>
          <w:p>
            <w:pPr>
              <w:jc w:val="right"/>
              <w:ind w:right="348"/>
              <w:spacing w:after="0"/>
              <w:rPr>
                <w:sz w:val="20"/>
                <w:szCs w:val="20"/>
                <w:color w:val="auto"/>
              </w:rPr>
            </w:pPr>
            <w:r>
              <w:rPr>
                <w:rFonts w:ascii="Arial" w:cs="Arial" w:eastAsia="Arial" w:hAnsi="Arial"/>
                <w:sz w:val="14"/>
                <w:szCs w:val="14"/>
                <w:b w:val="1"/>
                <w:bCs w:val="1"/>
                <w:color w:val="auto"/>
              </w:rPr>
              <w:t>Individual Grants</w:t>
            </w: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0" w:type="dxa"/>
            <w:vAlign w:val="bottom"/>
            <w:gridSpan w:val="4"/>
            <w:vMerge w:val="restart"/>
          </w:tcPr>
          <w:p>
            <w:pPr>
              <w:jc w:val="center"/>
              <w:ind w:right="20"/>
              <w:spacing w:after="0"/>
              <w:rPr>
                <w:sz w:val="20"/>
                <w:szCs w:val="20"/>
                <w:color w:val="auto"/>
              </w:rPr>
            </w:pPr>
            <w:r>
              <w:rPr>
                <w:rFonts w:ascii="Arial" w:cs="Arial" w:eastAsia="Arial" w:hAnsi="Arial"/>
                <w:sz w:val="14"/>
                <w:szCs w:val="14"/>
                <w:b w:val="1"/>
                <w:bCs w:val="1"/>
                <w:color w:val="auto"/>
                <w:w w:val="94"/>
              </w:rPr>
              <w:t>Potential Realizable Value at</w:t>
            </w: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300" w:type="dxa"/>
            <w:vAlign w:val="bottom"/>
          </w:tcPr>
          <w:p>
            <w:pPr>
              <w:spacing w:after="0"/>
              <w:rPr>
                <w:sz w:val="4"/>
                <w:szCs w:val="4"/>
                <w:color w:val="auto"/>
              </w:rPr>
            </w:pPr>
          </w:p>
        </w:tc>
        <w:tc>
          <w:tcPr>
            <w:tcW w:w="23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82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1160" w:type="dxa"/>
            <w:vAlign w:val="bottom"/>
            <w:tcBorders>
              <w:bottom w:val="single" w:sz="8" w:color="808080"/>
            </w:tcBorders>
          </w:tcPr>
          <w:p>
            <w:pPr>
              <w:spacing w:after="0"/>
              <w:rPr>
                <w:sz w:val="4"/>
                <w:szCs w:val="4"/>
                <w:color w:val="auto"/>
              </w:rPr>
            </w:pPr>
          </w:p>
        </w:tc>
        <w:tc>
          <w:tcPr>
            <w:tcW w:w="220" w:type="dxa"/>
            <w:vAlign w:val="bottom"/>
            <w:vMerge w:val="restart"/>
          </w:tcPr>
          <w:p>
            <w:pPr>
              <w:spacing w:after="0"/>
              <w:rPr>
                <w:sz w:val="4"/>
                <w:szCs w:val="4"/>
                <w:color w:val="auto"/>
              </w:rPr>
            </w:pPr>
          </w:p>
        </w:tc>
        <w:tc>
          <w:tcPr>
            <w:tcW w:w="3400" w:type="dxa"/>
            <w:vAlign w:val="bottom"/>
            <w:gridSpan w:val="4"/>
            <w:vMerge w:val="continue"/>
          </w:tcPr>
          <w:p>
            <w:pPr>
              <w:spacing w:after="0"/>
              <w:rPr>
                <w:sz w:val="4"/>
                <w:szCs w:val="4"/>
                <w:color w:val="auto"/>
              </w:rPr>
            </w:pPr>
          </w:p>
        </w:tc>
        <w:tc>
          <w:tcPr>
            <w:tcW w:w="2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300" w:type="dxa"/>
            <w:vAlign w:val="bottom"/>
          </w:tcPr>
          <w:p>
            <w:pPr>
              <w:spacing w:after="0"/>
              <w:rPr>
                <w:sz w:val="4"/>
                <w:szCs w:val="4"/>
                <w:color w:val="auto"/>
              </w:rPr>
            </w:pPr>
          </w:p>
        </w:tc>
        <w:tc>
          <w:tcPr>
            <w:tcW w:w="23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300" w:type="dxa"/>
            <w:vAlign w:val="bottom"/>
          </w:tcPr>
          <w:p>
            <w:pPr>
              <w:spacing w:after="0"/>
              <w:rPr>
                <w:sz w:val="4"/>
                <w:szCs w:val="4"/>
                <w:color w:val="auto"/>
              </w:rPr>
            </w:pPr>
          </w:p>
        </w:tc>
        <w:tc>
          <w:tcPr>
            <w:tcW w:w="220" w:type="dxa"/>
            <w:vAlign w:val="bottom"/>
          </w:tcPr>
          <w:p>
            <w:pPr>
              <w:spacing w:after="0"/>
              <w:rPr>
                <w:sz w:val="4"/>
                <w:szCs w:val="4"/>
                <w:color w:val="auto"/>
              </w:rPr>
            </w:pPr>
          </w:p>
        </w:tc>
        <w:tc>
          <w:tcPr>
            <w:tcW w:w="8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5"/>
              </w:rPr>
              <w:t>% of Total</w:t>
            </w:r>
          </w:p>
        </w:tc>
        <w:tc>
          <w:tcPr>
            <w:tcW w:w="22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Pr>
          <w:p>
            <w:pPr>
              <w:spacing w:after="0"/>
              <w:rPr>
                <w:sz w:val="4"/>
                <w:szCs w:val="4"/>
                <w:color w:val="auto"/>
              </w:rPr>
            </w:pPr>
          </w:p>
        </w:tc>
        <w:tc>
          <w:tcPr>
            <w:tcW w:w="220" w:type="dxa"/>
            <w:vAlign w:val="bottom"/>
            <w:vMerge w:val="continue"/>
          </w:tcPr>
          <w:p>
            <w:pPr>
              <w:spacing w:after="0"/>
              <w:rPr>
                <w:sz w:val="4"/>
                <w:szCs w:val="4"/>
                <w:color w:val="auto"/>
              </w:rPr>
            </w:pPr>
          </w:p>
        </w:tc>
        <w:tc>
          <w:tcPr>
            <w:tcW w:w="3400" w:type="dxa"/>
            <w:vAlign w:val="bottom"/>
            <w:gridSpan w:val="4"/>
            <w:vMerge w:val="continue"/>
          </w:tcPr>
          <w:p>
            <w:pPr>
              <w:spacing w:after="0"/>
              <w:rPr>
                <w:sz w:val="4"/>
                <w:szCs w:val="4"/>
                <w:color w:val="auto"/>
              </w:rPr>
            </w:pPr>
          </w:p>
        </w:tc>
        <w:tc>
          <w:tcPr>
            <w:tcW w:w="2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49"/>
        </w:trPr>
        <w:tc>
          <w:tcPr>
            <w:tcW w:w="30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Number of</w:t>
            </w:r>
          </w:p>
        </w:tc>
        <w:tc>
          <w:tcPr>
            <w:tcW w:w="220" w:type="dxa"/>
            <w:vAlign w:val="bottom"/>
          </w:tcPr>
          <w:p>
            <w:pPr>
              <w:spacing w:after="0"/>
              <w:rPr>
                <w:sz w:val="12"/>
                <w:szCs w:val="12"/>
                <w:color w:val="auto"/>
              </w:rPr>
            </w:pPr>
          </w:p>
        </w:tc>
        <w:tc>
          <w:tcPr>
            <w:tcW w:w="82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400" w:type="dxa"/>
            <w:vAlign w:val="bottom"/>
            <w:gridSpan w:val="4"/>
          </w:tcPr>
          <w:p>
            <w:pPr>
              <w:jc w:val="center"/>
              <w:ind w:right="20"/>
              <w:spacing w:after="0" w:line="149" w:lineRule="exact"/>
              <w:rPr>
                <w:sz w:val="20"/>
                <w:szCs w:val="20"/>
                <w:color w:val="auto"/>
              </w:rPr>
            </w:pPr>
            <w:r>
              <w:rPr>
                <w:rFonts w:ascii="Arial" w:cs="Arial" w:eastAsia="Arial" w:hAnsi="Arial"/>
                <w:sz w:val="14"/>
                <w:szCs w:val="14"/>
                <w:b w:val="1"/>
                <w:bCs w:val="1"/>
                <w:color w:val="auto"/>
                <w:w w:val="91"/>
              </w:rPr>
              <w:t>Assumed Annual Rates of Stock</w:t>
            </w: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0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0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Options</w:t>
            </w: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400" w:type="dxa"/>
            <w:vAlign w:val="bottom"/>
            <w:gridSpan w:val="4"/>
          </w:tcPr>
          <w:p>
            <w:pPr>
              <w:jc w:val="center"/>
              <w:ind w:right="20"/>
              <w:spacing w:after="0" w:line="149" w:lineRule="exact"/>
              <w:rPr>
                <w:sz w:val="20"/>
                <w:szCs w:val="20"/>
                <w:color w:val="auto"/>
              </w:rPr>
            </w:pPr>
            <w:r>
              <w:rPr>
                <w:rFonts w:ascii="Arial" w:cs="Arial" w:eastAsia="Arial" w:hAnsi="Arial"/>
                <w:sz w:val="14"/>
                <w:szCs w:val="14"/>
                <w:b w:val="1"/>
                <w:bCs w:val="1"/>
                <w:color w:val="auto"/>
                <w:w w:val="95"/>
              </w:rPr>
              <w:t>Price Appreciation for Option</w:t>
            </w: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30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00" w:type="dxa"/>
            <w:vAlign w:val="bottom"/>
          </w:tcPr>
          <w:p>
            <w:pPr>
              <w:jc w:val="center"/>
              <w:spacing w:after="0"/>
              <w:rPr>
                <w:sz w:val="20"/>
                <w:szCs w:val="20"/>
                <w:color w:val="auto"/>
              </w:rPr>
            </w:pPr>
            <w:r>
              <w:rPr>
                <w:rFonts w:ascii="Arial" w:cs="Arial" w:eastAsia="Arial" w:hAnsi="Arial"/>
                <w:sz w:val="14"/>
                <w:szCs w:val="14"/>
                <w:b w:val="1"/>
                <w:bCs w:val="1"/>
                <w:color w:val="auto"/>
                <w:w w:val="89"/>
              </w:rPr>
              <w:t>Securities</w:t>
            </w:r>
          </w:p>
        </w:tc>
        <w:tc>
          <w:tcPr>
            <w:tcW w:w="22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95"/>
              </w:rPr>
              <w:t>Granted to</w:t>
            </w: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60" w:type="dxa"/>
            <w:vAlign w:val="bottom"/>
            <w:gridSpan w:val="3"/>
          </w:tcPr>
          <w:p>
            <w:pPr>
              <w:jc w:val="center"/>
              <w:ind w:right="1360"/>
              <w:spacing w:after="0"/>
              <w:rPr>
                <w:sz w:val="20"/>
                <w:szCs w:val="20"/>
                <w:color w:val="auto"/>
              </w:rPr>
            </w:pPr>
            <w:r>
              <w:rPr>
                <w:rFonts w:ascii="Arial" w:cs="Arial" w:eastAsia="Arial" w:hAnsi="Arial"/>
                <w:sz w:val="14"/>
                <w:szCs w:val="14"/>
                <w:b w:val="1"/>
                <w:bCs w:val="1"/>
                <w:color w:val="auto"/>
                <w:w w:val="99"/>
              </w:rPr>
              <w:t>Term</w:t>
            </w: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300" w:type="dxa"/>
            <w:vAlign w:val="bottom"/>
          </w:tcPr>
          <w:p>
            <w:pPr>
              <w:spacing w:after="0"/>
              <w:rPr>
                <w:sz w:val="6"/>
                <w:szCs w:val="6"/>
                <w:color w:val="auto"/>
              </w:rPr>
            </w:pPr>
          </w:p>
        </w:tc>
        <w:tc>
          <w:tcPr>
            <w:tcW w:w="23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30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92"/>
              </w:rPr>
              <w:t>Underlying</w:t>
            </w:r>
          </w:p>
        </w:tc>
        <w:tc>
          <w:tcPr>
            <w:tcW w:w="220" w:type="dxa"/>
            <w:vAlign w:val="bottom"/>
            <w:vMerge w:val="restart"/>
          </w:tcPr>
          <w:p>
            <w:pPr>
              <w:spacing w:after="0"/>
              <w:rPr>
                <w:sz w:val="6"/>
                <w:szCs w:val="6"/>
                <w:color w:val="auto"/>
              </w:rPr>
            </w:pPr>
          </w:p>
        </w:tc>
        <w:tc>
          <w:tcPr>
            <w:tcW w:w="82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89"/>
              </w:rPr>
              <w:t>Employees</w:t>
            </w:r>
          </w:p>
        </w:tc>
        <w:tc>
          <w:tcPr>
            <w:tcW w:w="220" w:type="dxa"/>
            <w:vAlign w:val="bottom"/>
            <w:vMerge w:val="restart"/>
          </w:tcPr>
          <w:p>
            <w:pPr>
              <w:spacing w:after="0"/>
              <w:rPr>
                <w:sz w:val="6"/>
                <w:szCs w:val="6"/>
                <w:color w:val="auto"/>
              </w:rPr>
            </w:pPr>
          </w:p>
        </w:tc>
        <w:tc>
          <w:tcPr>
            <w:tcW w:w="74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90"/>
              </w:rPr>
              <w:t>Exercise</w:t>
            </w:r>
          </w:p>
        </w:tc>
        <w:tc>
          <w:tcPr>
            <w:tcW w:w="200" w:type="dxa"/>
            <w:vAlign w:val="bottom"/>
          </w:tcPr>
          <w:p>
            <w:pPr>
              <w:spacing w:after="0"/>
              <w:rPr>
                <w:sz w:val="6"/>
                <w:szCs w:val="6"/>
                <w:color w:val="auto"/>
              </w:rPr>
            </w:pPr>
          </w:p>
        </w:tc>
        <w:tc>
          <w:tcPr>
            <w:tcW w:w="1160" w:type="dxa"/>
            <w:vAlign w:val="bottom"/>
            <w:vMerge w:val="restart"/>
          </w:tcPr>
          <w:p>
            <w:pPr>
              <w:jc w:val="right"/>
              <w:ind w:right="188"/>
              <w:spacing w:after="0"/>
              <w:rPr>
                <w:sz w:val="20"/>
                <w:szCs w:val="20"/>
                <w:color w:val="auto"/>
              </w:rPr>
            </w:pPr>
            <w:r>
              <w:rPr>
                <w:rFonts w:ascii="Arial" w:cs="Arial" w:eastAsia="Arial" w:hAnsi="Arial"/>
                <w:sz w:val="14"/>
                <w:szCs w:val="14"/>
                <w:b w:val="1"/>
                <w:bCs w:val="1"/>
                <w:color w:val="auto"/>
              </w:rPr>
              <w:t>Expiration</w:t>
            </w:r>
          </w:p>
        </w:tc>
        <w:tc>
          <w:tcPr>
            <w:tcW w:w="220" w:type="dxa"/>
            <w:vAlign w:val="bottom"/>
          </w:tcPr>
          <w:p>
            <w:pPr>
              <w:spacing w:after="0"/>
              <w:rPr>
                <w:sz w:val="6"/>
                <w:szCs w:val="6"/>
                <w:color w:val="auto"/>
              </w:rPr>
            </w:pPr>
          </w:p>
        </w:tc>
        <w:tc>
          <w:tcPr>
            <w:tcW w:w="13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160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2"/>
        </w:trPr>
        <w:tc>
          <w:tcPr>
            <w:tcW w:w="300" w:type="dxa"/>
            <w:vAlign w:val="bottom"/>
          </w:tcPr>
          <w:p>
            <w:pPr>
              <w:spacing w:after="0"/>
              <w:rPr>
                <w:sz w:val="4"/>
                <w:szCs w:val="4"/>
                <w:color w:val="auto"/>
              </w:rPr>
            </w:pPr>
          </w:p>
        </w:tc>
        <w:tc>
          <w:tcPr>
            <w:tcW w:w="23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300" w:type="dxa"/>
            <w:vAlign w:val="bottom"/>
            <w:vMerge w:val="continue"/>
          </w:tcPr>
          <w:p>
            <w:pPr>
              <w:spacing w:after="0"/>
              <w:rPr>
                <w:sz w:val="4"/>
                <w:szCs w:val="4"/>
                <w:color w:val="auto"/>
              </w:rPr>
            </w:pPr>
          </w:p>
        </w:tc>
        <w:tc>
          <w:tcPr>
            <w:tcW w:w="220" w:type="dxa"/>
            <w:vAlign w:val="bottom"/>
            <w:vMerge w:val="continue"/>
          </w:tcPr>
          <w:p>
            <w:pPr>
              <w:spacing w:after="0"/>
              <w:rPr>
                <w:sz w:val="4"/>
                <w:szCs w:val="4"/>
                <w:color w:val="auto"/>
              </w:rPr>
            </w:pPr>
          </w:p>
        </w:tc>
        <w:tc>
          <w:tcPr>
            <w:tcW w:w="820" w:type="dxa"/>
            <w:vAlign w:val="bottom"/>
            <w:vMerge w:val="continue"/>
          </w:tcPr>
          <w:p>
            <w:pPr>
              <w:spacing w:after="0"/>
              <w:rPr>
                <w:sz w:val="4"/>
                <w:szCs w:val="4"/>
                <w:color w:val="auto"/>
              </w:rPr>
            </w:pPr>
          </w:p>
        </w:tc>
        <w:tc>
          <w:tcPr>
            <w:tcW w:w="220" w:type="dxa"/>
            <w:vAlign w:val="bottom"/>
            <w:vMerge w:val="continue"/>
          </w:tcPr>
          <w:p>
            <w:pPr>
              <w:spacing w:after="0"/>
              <w:rPr>
                <w:sz w:val="4"/>
                <w:szCs w:val="4"/>
                <w:color w:val="auto"/>
              </w:rPr>
            </w:pPr>
          </w:p>
        </w:tc>
        <w:tc>
          <w:tcPr>
            <w:tcW w:w="740" w:type="dxa"/>
            <w:vAlign w:val="bottom"/>
            <w:vMerge w:val="continue"/>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vMerge w:val="continue"/>
          </w:tcPr>
          <w:p>
            <w:pPr>
              <w:spacing w:after="0"/>
              <w:rPr>
                <w:sz w:val="4"/>
                <w:szCs w:val="4"/>
                <w:color w:val="auto"/>
              </w:rPr>
            </w:pPr>
          </w:p>
        </w:tc>
        <w:tc>
          <w:tcPr>
            <w:tcW w:w="2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49"/>
        </w:trPr>
        <w:tc>
          <w:tcPr>
            <w:tcW w:w="300" w:type="dxa"/>
            <w:vAlign w:val="bottom"/>
          </w:tcPr>
          <w:p>
            <w:pPr>
              <w:spacing w:after="0"/>
              <w:rPr>
                <w:sz w:val="12"/>
                <w:szCs w:val="12"/>
                <w:color w:val="auto"/>
              </w:rPr>
            </w:pPr>
          </w:p>
        </w:tc>
        <w:tc>
          <w:tcPr>
            <w:tcW w:w="2560" w:type="dxa"/>
            <w:vAlign w:val="bottom"/>
            <w:gridSpan w:val="2"/>
            <w:vMerge w:val="restart"/>
          </w:tcPr>
          <w:p>
            <w:pPr>
              <w:ind w:left="980"/>
              <w:spacing w:after="0"/>
              <w:rPr>
                <w:sz w:val="20"/>
                <w:szCs w:val="20"/>
                <w:color w:val="auto"/>
              </w:rPr>
            </w:pPr>
            <w:r>
              <w:rPr>
                <w:rFonts w:ascii="Arial" w:cs="Arial" w:eastAsia="Arial" w:hAnsi="Arial"/>
                <w:sz w:val="14"/>
                <w:szCs w:val="14"/>
                <w:b w:val="1"/>
                <w:bCs w:val="1"/>
                <w:color w:val="auto"/>
              </w:rPr>
              <w:t>Name</w:t>
            </w:r>
          </w:p>
        </w:tc>
        <w:tc>
          <w:tcPr>
            <w:tcW w:w="1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Options</w:t>
            </w:r>
          </w:p>
        </w:tc>
        <w:tc>
          <w:tcPr>
            <w:tcW w:w="2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in</w:t>
            </w:r>
          </w:p>
        </w:tc>
        <w:tc>
          <w:tcPr>
            <w:tcW w:w="220" w:type="dxa"/>
            <w:vAlign w:val="bottom"/>
          </w:tcPr>
          <w:p>
            <w:pPr>
              <w:spacing w:after="0"/>
              <w:rPr>
                <w:sz w:val="12"/>
                <w:szCs w:val="12"/>
                <w:color w:val="auto"/>
              </w:rPr>
            </w:pPr>
          </w:p>
        </w:tc>
        <w:tc>
          <w:tcPr>
            <w:tcW w:w="7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Price</w:t>
            </w:r>
          </w:p>
        </w:tc>
        <w:tc>
          <w:tcPr>
            <w:tcW w:w="20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1560" w:type="dxa"/>
            <w:vAlign w:val="bottom"/>
            <w:gridSpan w:val="2"/>
            <w:vMerge w:val="restart"/>
          </w:tcPr>
          <w:p>
            <w:pPr>
              <w:jc w:val="right"/>
              <w:ind w:right="288"/>
              <w:spacing w:after="0"/>
              <w:rPr>
                <w:sz w:val="20"/>
                <w:szCs w:val="20"/>
                <w:color w:val="auto"/>
              </w:rPr>
            </w:pPr>
            <w:r>
              <w:rPr>
                <w:rFonts w:ascii="Arial" w:cs="Arial" w:eastAsia="Arial" w:hAnsi="Arial"/>
                <w:sz w:val="14"/>
                <w:szCs w:val="14"/>
                <w:b w:val="1"/>
                <w:bCs w:val="1"/>
                <w:color w:val="auto"/>
              </w:rPr>
              <w:t>5%($)</w:t>
            </w:r>
          </w:p>
        </w:tc>
        <w:tc>
          <w:tcPr>
            <w:tcW w:w="2060" w:type="dxa"/>
            <w:vAlign w:val="bottom"/>
            <w:gridSpan w:val="3"/>
            <w:vMerge w:val="restart"/>
          </w:tcPr>
          <w:p>
            <w:pPr>
              <w:jc w:val="right"/>
              <w:ind w:right="580"/>
              <w:spacing w:after="0"/>
              <w:rPr>
                <w:sz w:val="20"/>
                <w:szCs w:val="20"/>
                <w:color w:val="auto"/>
              </w:rPr>
            </w:pPr>
            <w:r>
              <w:rPr>
                <w:rFonts w:ascii="Arial" w:cs="Arial" w:eastAsia="Arial" w:hAnsi="Arial"/>
                <w:sz w:val="14"/>
                <w:szCs w:val="14"/>
                <w:b w:val="1"/>
                <w:bCs w:val="1"/>
                <w:color w:val="auto"/>
              </w:rPr>
              <w:t>10%($)</w:t>
            </w: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300" w:type="dxa"/>
            <w:vAlign w:val="bottom"/>
          </w:tcPr>
          <w:p>
            <w:pPr>
              <w:spacing w:after="0"/>
              <w:rPr>
                <w:sz w:val="16"/>
                <w:szCs w:val="16"/>
                <w:color w:val="auto"/>
              </w:rPr>
            </w:pPr>
          </w:p>
        </w:tc>
        <w:tc>
          <w:tcPr>
            <w:tcW w:w="2560" w:type="dxa"/>
            <w:vAlign w:val="bottom"/>
            <w:gridSpan w:val="2"/>
            <w:vMerge w:val="continue"/>
          </w:tcPr>
          <w:p>
            <w:pPr>
              <w:spacing w:after="0"/>
              <w:rPr>
                <w:sz w:val="16"/>
                <w:szCs w:val="16"/>
                <w:color w:val="auto"/>
              </w:rPr>
            </w:pPr>
          </w:p>
        </w:tc>
        <w:tc>
          <w:tcPr>
            <w:tcW w:w="1300" w:type="dxa"/>
            <w:vAlign w:val="bottom"/>
          </w:tcPr>
          <w:p>
            <w:pPr>
              <w:jc w:val="center"/>
              <w:spacing w:after="0"/>
              <w:rPr>
                <w:sz w:val="20"/>
                <w:szCs w:val="20"/>
                <w:color w:val="auto"/>
              </w:rPr>
            </w:pPr>
            <w:r>
              <w:rPr>
                <w:rFonts w:ascii="Arial" w:cs="Arial" w:eastAsia="Arial" w:hAnsi="Arial"/>
                <w:sz w:val="14"/>
                <w:szCs w:val="14"/>
                <w:b w:val="1"/>
                <w:bCs w:val="1"/>
                <w:color w:val="auto"/>
                <w:w w:val="95"/>
              </w:rPr>
              <w:t>Granted(#)</w:t>
            </w:r>
          </w:p>
        </w:tc>
        <w:tc>
          <w:tcPr>
            <w:tcW w:w="1040" w:type="dxa"/>
            <w:vAlign w:val="bottom"/>
            <w:gridSpan w:val="2"/>
          </w:tcPr>
          <w:p>
            <w:pPr>
              <w:jc w:val="center"/>
              <w:ind w:left="113"/>
              <w:spacing w:after="0"/>
              <w:rPr>
                <w:sz w:val="20"/>
                <w:szCs w:val="20"/>
                <w:color w:val="auto"/>
              </w:rPr>
            </w:pPr>
            <w:r>
              <w:rPr>
                <w:rFonts w:ascii="Arial" w:cs="Arial" w:eastAsia="Arial" w:hAnsi="Arial"/>
                <w:sz w:val="14"/>
                <w:szCs w:val="14"/>
                <w:b w:val="1"/>
                <w:bCs w:val="1"/>
                <w:color w:val="auto"/>
                <w:w w:val="89"/>
              </w:rPr>
              <w:t>2004</w:t>
            </w:r>
          </w:p>
        </w:tc>
        <w:tc>
          <w:tcPr>
            <w:tcW w:w="220" w:type="dxa"/>
            <w:vAlign w:val="bottom"/>
          </w:tcPr>
          <w:p>
            <w:pPr>
              <w:spacing w:after="0"/>
              <w:rPr>
                <w:sz w:val="16"/>
                <w:szCs w:val="16"/>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2"/>
              </w:rPr>
              <w:t>($/Sh)</w:t>
            </w:r>
          </w:p>
        </w:tc>
        <w:tc>
          <w:tcPr>
            <w:tcW w:w="200" w:type="dxa"/>
            <w:vAlign w:val="bottom"/>
          </w:tcPr>
          <w:p>
            <w:pPr>
              <w:spacing w:after="0"/>
              <w:rPr>
                <w:sz w:val="16"/>
                <w:szCs w:val="16"/>
                <w:color w:val="auto"/>
              </w:rPr>
            </w:pPr>
          </w:p>
        </w:tc>
        <w:tc>
          <w:tcPr>
            <w:tcW w:w="1160" w:type="dxa"/>
            <w:vAlign w:val="bottom"/>
          </w:tcPr>
          <w:p>
            <w:pPr>
              <w:jc w:val="right"/>
              <w:ind w:right="368"/>
              <w:spacing w:after="0"/>
              <w:rPr>
                <w:sz w:val="20"/>
                <w:szCs w:val="20"/>
                <w:color w:val="auto"/>
              </w:rPr>
            </w:pPr>
            <w:r>
              <w:rPr>
                <w:rFonts w:ascii="Arial" w:cs="Arial" w:eastAsia="Arial" w:hAnsi="Arial"/>
                <w:sz w:val="14"/>
                <w:szCs w:val="14"/>
                <w:b w:val="1"/>
                <w:bCs w:val="1"/>
                <w:color w:val="auto"/>
              </w:rPr>
              <w:t>Date</w:t>
            </w:r>
          </w:p>
        </w:tc>
        <w:tc>
          <w:tcPr>
            <w:tcW w:w="1560" w:type="dxa"/>
            <w:vAlign w:val="bottom"/>
            <w:gridSpan w:val="2"/>
            <w:vMerge w:val="continue"/>
          </w:tcPr>
          <w:p>
            <w:pPr>
              <w:spacing w:after="0"/>
              <w:rPr>
                <w:sz w:val="16"/>
                <w:szCs w:val="16"/>
                <w:color w:val="auto"/>
              </w:rPr>
            </w:pPr>
          </w:p>
        </w:tc>
        <w:tc>
          <w:tcPr>
            <w:tcW w:w="206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300" w:type="dxa"/>
            <w:vAlign w:val="bottom"/>
          </w:tcPr>
          <w:p>
            <w:pPr>
              <w:spacing w:after="0"/>
              <w:rPr>
                <w:sz w:val="4"/>
                <w:szCs w:val="4"/>
                <w:color w:val="auto"/>
              </w:rPr>
            </w:pPr>
          </w:p>
        </w:tc>
        <w:tc>
          <w:tcPr>
            <w:tcW w:w="23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82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34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60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2860" w:type="dxa"/>
            <w:vAlign w:val="bottom"/>
            <w:gridSpan w:val="3"/>
          </w:tcPr>
          <w:p>
            <w:pPr>
              <w:ind w:left="300"/>
              <w:spacing w:after="0"/>
              <w:rPr>
                <w:sz w:val="20"/>
                <w:szCs w:val="20"/>
                <w:color w:val="auto"/>
              </w:rPr>
            </w:pPr>
            <w:r>
              <w:rPr>
                <w:rFonts w:ascii="Arial" w:cs="Arial" w:eastAsia="Arial" w:hAnsi="Arial"/>
                <w:sz w:val="18"/>
                <w:szCs w:val="18"/>
                <w:color w:val="auto"/>
              </w:rPr>
              <w:t>Dr. Sehat Sutardja, Ph.D.</w:t>
            </w: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1,500,000</w:t>
            </w:r>
          </w:p>
        </w:tc>
        <w:tc>
          <w:tcPr>
            <w:tcW w:w="1040" w:type="dxa"/>
            <w:vAlign w:val="bottom"/>
            <w:gridSpan w:val="2"/>
          </w:tcPr>
          <w:p>
            <w:pPr>
              <w:jc w:val="right"/>
              <w:ind w:right="128"/>
              <w:spacing w:after="0"/>
              <w:rPr>
                <w:sz w:val="20"/>
                <w:szCs w:val="20"/>
                <w:color w:val="auto"/>
              </w:rPr>
            </w:pPr>
            <w:r>
              <w:rPr>
                <w:rFonts w:ascii="Arial" w:cs="Arial" w:eastAsia="Arial" w:hAnsi="Arial"/>
                <w:sz w:val="18"/>
                <w:szCs w:val="18"/>
                <w:color w:val="auto"/>
              </w:rPr>
              <w:t>10.9%</w:t>
            </w:r>
          </w:p>
        </w:tc>
        <w:tc>
          <w:tcPr>
            <w:tcW w:w="960" w:type="dxa"/>
            <w:vAlign w:val="bottom"/>
            <w:gridSpan w:val="2"/>
          </w:tcPr>
          <w:p>
            <w:pPr>
              <w:jc w:val="right"/>
              <w:ind w:right="108"/>
              <w:spacing w:after="0"/>
              <w:rPr>
                <w:sz w:val="20"/>
                <w:szCs w:val="20"/>
                <w:color w:val="auto"/>
              </w:rPr>
            </w:pPr>
            <w:r>
              <w:rPr>
                <w:rFonts w:ascii="Arial" w:cs="Arial" w:eastAsia="Arial" w:hAnsi="Arial"/>
                <w:sz w:val="18"/>
                <w:szCs w:val="18"/>
                <w:color w:val="auto"/>
              </w:rPr>
              <w:t>$36.50</w:t>
            </w:r>
          </w:p>
        </w:tc>
        <w:tc>
          <w:tcPr>
            <w:tcW w:w="1360" w:type="dxa"/>
            <w:vAlign w:val="bottom"/>
            <w:gridSpan w:val="2"/>
          </w:tcPr>
          <w:p>
            <w:pPr>
              <w:jc w:val="right"/>
              <w:ind w:right="228"/>
              <w:spacing w:after="0"/>
              <w:rPr>
                <w:sz w:val="20"/>
                <w:szCs w:val="20"/>
                <w:color w:val="auto"/>
              </w:rPr>
            </w:pPr>
            <w:r>
              <w:rPr>
                <w:rFonts w:ascii="Arial" w:cs="Arial" w:eastAsia="Arial" w:hAnsi="Arial"/>
                <w:sz w:val="18"/>
                <w:szCs w:val="18"/>
                <w:color w:val="auto"/>
              </w:rPr>
              <w:t>12/26/13</w:t>
            </w:r>
          </w:p>
        </w:tc>
        <w:tc>
          <w:tcPr>
            <w:tcW w:w="1560" w:type="dxa"/>
            <w:vAlign w:val="bottom"/>
            <w:gridSpan w:val="2"/>
          </w:tcPr>
          <w:p>
            <w:pPr>
              <w:jc w:val="right"/>
              <w:ind w:right="108"/>
              <w:spacing w:after="0"/>
              <w:rPr>
                <w:sz w:val="20"/>
                <w:szCs w:val="20"/>
                <w:color w:val="auto"/>
              </w:rPr>
            </w:pPr>
            <w:r>
              <w:rPr>
                <w:rFonts w:ascii="Arial" w:cs="Arial" w:eastAsia="Arial" w:hAnsi="Arial"/>
                <w:sz w:val="18"/>
                <w:szCs w:val="18"/>
                <w:color w:val="auto"/>
              </w:rPr>
              <w:t>$34,455,000</w:t>
            </w:r>
          </w:p>
        </w:tc>
        <w:tc>
          <w:tcPr>
            <w:tcW w:w="2060" w:type="dxa"/>
            <w:vAlign w:val="bottom"/>
            <w:gridSpan w:val="3"/>
          </w:tcPr>
          <w:p>
            <w:pPr>
              <w:jc w:val="right"/>
              <w:ind w:right="420"/>
              <w:spacing w:after="0"/>
              <w:rPr>
                <w:sz w:val="20"/>
                <w:szCs w:val="20"/>
                <w:color w:val="auto"/>
              </w:rPr>
            </w:pPr>
            <w:r>
              <w:rPr>
                <w:rFonts w:ascii="Arial" w:cs="Arial" w:eastAsia="Arial" w:hAnsi="Arial"/>
                <w:sz w:val="18"/>
                <w:szCs w:val="18"/>
                <w:color w:val="auto"/>
              </w:rPr>
              <w:t>$87,315,000</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860" w:type="dxa"/>
            <w:vAlign w:val="bottom"/>
            <w:gridSpan w:val="3"/>
          </w:tcPr>
          <w:p>
            <w:pPr>
              <w:ind w:left="300"/>
              <w:spacing w:after="0"/>
              <w:rPr>
                <w:sz w:val="20"/>
                <w:szCs w:val="20"/>
                <w:color w:val="auto"/>
              </w:rPr>
            </w:pPr>
            <w:r>
              <w:rPr>
                <w:rFonts w:ascii="Arial" w:cs="Arial" w:eastAsia="Arial" w:hAnsi="Arial"/>
                <w:sz w:val="18"/>
                <w:szCs w:val="18"/>
                <w:color w:val="auto"/>
              </w:rPr>
              <w:t>Weili Dai</w:t>
            </w: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1,000,000</w:t>
            </w:r>
          </w:p>
        </w:tc>
        <w:tc>
          <w:tcPr>
            <w:tcW w:w="1040" w:type="dxa"/>
            <w:vAlign w:val="bottom"/>
            <w:gridSpan w:val="2"/>
          </w:tcPr>
          <w:p>
            <w:pPr>
              <w:jc w:val="right"/>
              <w:ind w:right="128"/>
              <w:spacing w:after="0"/>
              <w:rPr>
                <w:sz w:val="20"/>
                <w:szCs w:val="20"/>
                <w:color w:val="auto"/>
              </w:rPr>
            </w:pPr>
            <w:r>
              <w:rPr>
                <w:rFonts w:ascii="Arial" w:cs="Arial" w:eastAsia="Arial" w:hAnsi="Arial"/>
                <w:sz w:val="18"/>
                <w:szCs w:val="18"/>
                <w:color w:val="auto"/>
              </w:rPr>
              <w:t>7.3%</w:t>
            </w:r>
          </w:p>
        </w:tc>
        <w:tc>
          <w:tcPr>
            <w:tcW w:w="960" w:type="dxa"/>
            <w:vAlign w:val="bottom"/>
            <w:gridSpan w:val="2"/>
          </w:tcPr>
          <w:p>
            <w:pPr>
              <w:jc w:val="right"/>
              <w:ind w:right="108"/>
              <w:spacing w:after="0"/>
              <w:rPr>
                <w:sz w:val="20"/>
                <w:szCs w:val="20"/>
                <w:color w:val="auto"/>
              </w:rPr>
            </w:pPr>
            <w:r>
              <w:rPr>
                <w:rFonts w:ascii="Arial" w:cs="Arial" w:eastAsia="Arial" w:hAnsi="Arial"/>
                <w:sz w:val="18"/>
                <w:szCs w:val="18"/>
                <w:color w:val="auto"/>
              </w:rPr>
              <w:t>$36.50</w:t>
            </w:r>
          </w:p>
        </w:tc>
        <w:tc>
          <w:tcPr>
            <w:tcW w:w="1360" w:type="dxa"/>
            <w:vAlign w:val="bottom"/>
            <w:gridSpan w:val="2"/>
          </w:tcPr>
          <w:p>
            <w:pPr>
              <w:jc w:val="right"/>
              <w:ind w:right="228"/>
              <w:spacing w:after="0"/>
              <w:rPr>
                <w:sz w:val="20"/>
                <w:szCs w:val="20"/>
                <w:color w:val="auto"/>
              </w:rPr>
            </w:pPr>
            <w:r>
              <w:rPr>
                <w:rFonts w:ascii="Arial" w:cs="Arial" w:eastAsia="Arial" w:hAnsi="Arial"/>
                <w:sz w:val="18"/>
                <w:szCs w:val="18"/>
                <w:color w:val="auto"/>
              </w:rPr>
              <w:t>12/26/13</w:t>
            </w:r>
          </w:p>
        </w:tc>
        <w:tc>
          <w:tcPr>
            <w:tcW w:w="1560" w:type="dxa"/>
            <w:vAlign w:val="bottom"/>
            <w:gridSpan w:val="2"/>
          </w:tcPr>
          <w:p>
            <w:pPr>
              <w:jc w:val="right"/>
              <w:ind w:right="108"/>
              <w:spacing w:after="0"/>
              <w:rPr>
                <w:sz w:val="20"/>
                <w:szCs w:val="20"/>
                <w:color w:val="auto"/>
              </w:rPr>
            </w:pPr>
            <w:r>
              <w:rPr>
                <w:rFonts w:ascii="Arial" w:cs="Arial" w:eastAsia="Arial" w:hAnsi="Arial"/>
                <w:sz w:val="18"/>
                <w:szCs w:val="18"/>
                <w:color w:val="auto"/>
              </w:rPr>
              <w:t>22,970,000</w:t>
            </w:r>
          </w:p>
        </w:tc>
        <w:tc>
          <w:tcPr>
            <w:tcW w:w="2060" w:type="dxa"/>
            <w:vAlign w:val="bottom"/>
            <w:gridSpan w:val="3"/>
          </w:tcPr>
          <w:p>
            <w:pPr>
              <w:jc w:val="right"/>
              <w:ind w:right="420"/>
              <w:spacing w:after="0"/>
              <w:rPr>
                <w:sz w:val="20"/>
                <w:szCs w:val="20"/>
                <w:color w:val="auto"/>
              </w:rPr>
            </w:pPr>
            <w:r>
              <w:rPr>
                <w:rFonts w:ascii="Arial" w:cs="Arial" w:eastAsia="Arial" w:hAnsi="Arial"/>
                <w:sz w:val="18"/>
                <w:szCs w:val="18"/>
                <w:color w:val="auto"/>
              </w:rPr>
              <w:t>58,210,000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60" w:type="dxa"/>
            <w:vAlign w:val="bottom"/>
            <w:gridSpan w:val="3"/>
          </w:tcPr>
          <w:p>
            <w:pPr>
              <w:ind w:left="300"/>
              <w:spacing w:after="0"/>
              <w:rPr>
                <w:sz w:val="20"/>
                <w:szCs w:val="20"/>
                <w:color w:val="auto"/>
              </w:rPr>
            </w:pPr>
            <w:r>
              <w:rPr>
                <w:rFonts w:ascii="Arial" w:cs="Arial" w:eastAsia="Arial" w:hAnsi="Arial"/>
                <w:sz w:val="18"/>
                <w:szCs w:val="18"/>
                <w:color w:val="auto"/>
              </w:rPr>
              <w:t>Dr. Pantas Sutardja, Ph.D.</w:t>
            </w: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660,000</w:t>
            </w:r>
          </w:p>
        </w:tc>
        <w:tc>
          <w:tcPr>
            <w:tcW w:w="1040" w:type="dxa"/>
            <w:vAlign w:val="bottom"/>
            <w:gridSpan w:val="2"/>
          </w:tcPr>
          <w:p>
            <w:pPr>
              <w:jc w:val="right"/>
              <w:ind w:right="128"/>
              <w:spacing w:after="0"/>
              <w:rPr>
                <w:sz w:val="20"/>
                <w:szCs w:val="20"/>
                <w:color w:val="auto"/>
              </w:rPr>
            </w:pPr>
            <w:r>
              <w:rPr>
                <w:rFonts w:ascii="Arial" w:cs="Arial" w:eastAsia="Arial" w:hAnsi="Arial"/>
                <w:sz w:val="18"/>
                <w:szCs w:val="18"/>
                <w:color w:val="auto"/>
              </w:rPr>
              <w:t>4.8%</w:t>
            </w:r>
          </w:p>
        </w:tc>
        <w:tc>
          <w:tcPr>
            <w:tcW w:w="960" w:type="dxa"/>
            <w:vAlign w:val="bottom"/>
            <w:gridSpan w:val="2"/>
          </w:tcPr>
          <w:p>
            <w:pPr>
              <w:jc w:val="right"/>
              <w:ind w:right="108"/>
              <w:spacing w:after="0"/>
              <w:rPr>
                <w:sz w:val="20"/>
                <w:szCs w:val="20"/>
                <w:color w:val="auto"/>
              </w:rPr>
            </w:pPr>
            <w:r>
              <w:rPr>
                <w:rFonts w:ascii="Arial" w:cs="Arial" w:eastAsia="Arial" w:hAnsi="Arial"/>
                <w:sz w:val="18"/>
                <w:szCs w:val="18"/>
                <w:color w:val="auto"/>
              </w:rPr>
              <w:t>$36.50</w:t>
            </w:r>
          </w:p>
        </w:tc>
        <w:tc>
          <w:tcPr>
            <w:tcW w:w="1360" w:type="dxa"/>
            <w:vAlign w:val="bottom"/>
            <w:gridSpan w:val="2"/>
          </w:tcPr>
          <w:p>
            <w:pPr>
              <w:jc w:val="right"/>
              <w:ind w:right="228"/>
              <w:spacing w:after="0"/>
              <w:rPr>
                <w:sz w:val="20"/>
                <w:szCs w:val="20"/>
                <w:color w:val="auto"/>
              </w:rPr>
            </w:pPr>
            <w:r>
              <w:rPr>
                <w:rFonts w:ascii="Arial" w:cs="Arial" w:eastAsia="Arial" w:hAnsi="Arial"/>
                <w:sz w:val="18"/>
                <w:szCs w:val="18"/>
                <w:color w:val="auto"/>
              </w:rPr>
              <w:t>12/26/13</w:t>
            </w:r>
          </w:p>
        </w:tc>
        <w:tc>
          <w:tcPr>
            <w:tcW w:w="1560" w:type="dxa"/>
            <w:vAlign w:val="bottom"/>
            <w:gridSpan w:val="2"/>
          </w:tcPr>
          <w:p>
            <w:pPr>
              <w:jc w:val="right"/>
              <w:ind w:right="108"/>
              <w:spacing w:after="0"/>
              <w:rPr>
                <w:sz w:val="20"/>
                <w:szCs w:val="20"/>
                <w:color w:val="auto"/>
              </w:rPr>
            </w:pPr>
            <w:r>
              <w:rPr>
                <w:rFonts w:ascii="Arial" w:cs="Arial" w:eastAsia="Arial" w:hAnsi="Arial"/>
                <w:sz w:val="18"/>
                <w:szCs w:val="18"/>
                <w:color w:val="auto"/>
              </w:rPr>
              <w:t>15,160,200</w:t>
            </w:r>
          </w:p>
        </w:tc>
        <w:tc>
          <w:tcPr>
            <w:tcW w:w="2060" w:type="dxa"/>
            <w:vAlign w:val="bottom"/>
            <w:gridSpan w:val="3"/>
          </w:tcPr>
          <w:p>
            <w:pPr>
              <w:jc w:val="right"/>
              <w:ind w:right="420"/>
              <w:spacing w:after="0"/>
              <w:rPr>
                <w:sz w:val="20"/>
                <w:szCs w:val="20"/>
                <w:color w:val="auto"/>
              </w:rPr>
            </w:pPr>
            <w:r>
              <w:rPr>
                <w:rFonts w:ascii="Arial" w:cs="Arial" w:eastAsia="Arial" w:hAnsi="Arial"/>
                <w:sz w:val="18"/>
                <w:szCs w:val="18"/>
                <w:color w:val="auto"/>
              </w:rPr>
              <w:t>38,418,600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60" w:type="dxa"/>
            <w:vAlign w:val="bottom"/>
            <w:gridSpan w:val="3"/>
          </w:tcPr>
          <w:p>
            <w:pPr>
              <w:ind w:left="300"/>
              <w:spacing w:after="0"/>
              <w:rPr>
                <w:sz w:val="20"/>
                <w:szCs w:val="20"/>
                <w:color w:val="auto"/>
              </w:rPr>
            </w:pPr>
            <w:r>
              <w:rPr>
                <w:rFonts w:ascii="Arial" w:cs="Arial" w:eastAsia="Arial" w:hAnsi="Arial"/>
                <w:sz w:val="18"/>
                <w:szCs w:val="18"/>
                <w:color w:val="auto"/>
              </w:rPr>
              <w:t>George Hervey</w:t>
            </w: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50,000</w:t>
            </w:r>
          </w:p>
        </w:tc>
        <w:tc>
          <w:tcPr>
            <w:tcW w:w="1040" w:type="dxa"/>
            <w:vAlign w:val="bottom"/>
            <w:gridSpan w:val="2"/>
          </w:tcPr>
          <w:p>
            <w:pPr>
              <w:jc w:val="right"/>
              <w:ind w:right="128"/>
              <w:spacing w:after="0"/>
              <w:rPr>
                <w:sz w:val="20"/>
                <w:szCs w:val="20"/>
                <w:color w:val="auto"/>
              </w:rPr>
            </w:pPr>
            <w:r>
              <w:rPr>
                <w:rFonts w:ascii="Arial" w:cs="Arial" w:eastAsia="Arial" w:hAnsi="Arial"/>
                <w:sz w:val="18"/>
                <w:szCs w:val="18"/>
                <w:color w:val="auto"/>
              </w:rPr>
              <w:t>0.4%</w:t>
            </w:r>
          </w:p>
        </w:tc>
        <w:tc>
          <w:tcPr>
            <w:tcW w:w="960" w:type="dxa"/>
            <w:vAlign w:val="bottom"/>
            <w:gridSpan w:val="2"/>
          </w:tcPr>
          <w:p>
            <w:pPr>
              <w:jc w:val="right"/>
              <w:ind w:right="108"/>
              <w:spacing w:after="0"/>
              <w:rPr>
                <w:sz w:val="20"/>
                <w:szCs w:val="20"/>
                <w:color w:val="auto"/>
              </w:rPr>
            </w:pPr>
            <w:r>
              <w:rPr>
                <w:rFonts w:ascii="Arial" w:cs="Arial" w:eastAsia="Arial" w:hAnsi="Arial"/>
                <w:sz w:val="18"/>
                <w:szCs w:val="18"/>
                <w:color w:val="auto"/>
              </w:rPr>
              <w:t>$24.74</w:t>
            </w:r>
          </w:p>
        </w:tc>
        <w:tc>
          <w:tcPr>
            <w:tcW w:w="1360" w:type="dxa"/>
            <w:vAlign w:val="bottom"/>
            <w:gridSpan w:val="2"/>
          </w:tcPr>
          <w:p>
            <w:pPr>
              <w:jc w:val="right"/>
              <w:ind w:right="228"/>
              <w:spacing w:after="0"/>
              <w:rPr>
                <w:sz w:val="20"/>
                <w:szCs w:val="20"/>
                <w:color w:val="auto"/>
              </w:rPr>
            </w:pPr>
            <w:r>
              <w:rPr>
                <w:rFonts w:ascii="Arial" w:cs="Arial" w:eastAsia="Arial" w:hAnsi="Arial"/>
                <w:sz w:val="18"/>
                <w:szCs w:val="18"/>
                <w:color w:val="auto"/>
              </w:rPr>
              <w:t>5/5/13</w:t>
            </w:r>
          </w:p>
        </w:tc>
        <w:tc>
          <w:tcPr>
            <w:tcW w:w="1560" w:type="dxa"/>
            <w:vAlign w:val="bottom"/>
            <w:gridSpan w:val="2"/>
          </w:tcPr>
          <w:p>
            <w:pPr>
              <w:jc w:val="right"/>
              <w:ind w:right="108"/>
              <w:spacing w:after="0"/>
              <w:rPr>
                <w:sz w:val="20"/>
                <w:szCs w:val="20"/>
                <w:color w:val="auto"/>
              </w:rPr>
            </w:pPr>
            <w:r>
              <w:rPr>
                <w:rFonts w:ascii="Arial" w:cs="Arial" w:eastAsia="Arial" w:hAnsi="Arial"/>
                <w:sz w:val="18"/>
                <w:szCs w:val="18"/>
                <w:color w:val="auto"/>
              </w:rPr>
              <w:t>778,000</w:t>
            </w:r>
          </w:p>
        </w:tc>
        <w:tc>
          <w:tcPr>
            <w:tcW w:w="2060" w:type="dxa"/>
            <w:vAlign w:val="bottom"/>
            <w:gridSpan w:val="3"/>
          </w:tcPr>
          <w:p>
            <w:pPr>
              <w:jc w:val="right"/>
              <w:ind w:right="420"/>
              <w:spacing w:after="0"/>
              <w:rPr>
                <w:sz w:val="20"/>
                <w:szCs w:val="20"/>
                <w:color w:val="auto"/>
              </w:rPr>
            </w:pPr>
            <w:r>
              <w:rPr>
                <w:rFonts w:ascii="Arial" w:cs="Arial" w:eastAsia="Arial" w:hAnsi="Arial"/>
                <w:sz w:val="18"/>
                <w:szCs w:val="18"/>
                <w:color w:val="auto"/>
              </w:rPr>
              <w:t>1,970,000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00" w:type="dxa"/>
            <w:vAlign w:val="bottom"/>
          </w:tcPr>
          <w:p>
            <w:pPr>
              <w:spacing w:after="0"/>
              <w:rPr>
                <w:sz w:val="20"/>
                <w:szCs w:val="20"/>
                <w:color w:val="auto"/>
              </w:rPr>
            </w:pPr>
          </w:p>
        </w:tc>
        <w:tc>
          <w:tcPr>
            <w:tcW w:w="2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70,000</w:t>
            </w:r>
          </w:p>
        </w:tc>
        <w:tc>
          <w:tcPr>
            <w:tcW w:w="1040" w:type="dxa"/>
            <w:vAlign w:val="bottom"/>
            <w:gridSpan w:val="2"/>
          </w:tcPr>
          <w:p>
            <w:pPr>
              <w:jc w:val="right"/>
              <w:ind w:right="128"/>
              <w:spacing w:after="0"/>
              <w:rPr>
                <w:sz w:val="20"/>
                <w:szCs w:val="20"/>
                <w:color w:val="auto"/>
              </w:rPr>
            </w:pPr>
            <w:r>
              <w:rPr>
                <w:rFonts w:ascii="Arial" w:cs="Arial" w:eastAsia="Arial" w:hAnsi="Arial"/>
                <w:sz w:val="18"/>
                <w:szCs w:val="18"/>
                <w:color w:val="auto"/>
              </w:rPr>
              <w:t>0.5%</w:t>
            </w:r>
          </w:p>
        </w:tc>
        <w:tc>
          <w:tcPr>
            <w:tcW w:w="960" w:type="dxa"/>
            <w:vAlign w:val="bottom"/>
            <w:gridSpan w:val="2"/>
          </w:tcPr>
          <w:p>
            <w:pPr>
              <w:jc w:val="right"/>
              <w:ind w:right="108"/>
              <w:spacing w:after="0"/>
              <w:rPr>
                <w:sz w:val="20"/>
                <w:szCs w:val="20"/>
                <w:color w:val="auto"/>
              </w:rPr>
            </w:pPr>
            <w:r>
              <w:rPr>
                <w:rFonts w:ascii="Arial" w:cs="Arial" w:eastAsia="Arial" w:hAnsi="Arial"/>
                <w:sz w:val="18"/>
                <w:szCs w:val="18"/>
                <w:color w:val="auto"/>
              </w:rPr>
              <w:t>$37.90</w:t>
            </w:r>
          </w:p>
        </w:tc>
        <w:tc>
          <w:tcPr>
            <w:tcW w:w="1360" w:type="dxa"/>
            <w:vAlign w:val="bottom"/>
            <w:gridSpan w:val="2"/>
          </w:tcPr>
          <w:p>
            <w:pPr>
              <w:jc w:val="right"/>
              <w:ind w:right="228"/>
              <w:spacing w:after="0"/>
              <w:rPr>
                <w:sz w:val="20"/>
                <w:szCs w:val="20"/>
                <w:color w:val="auto"/>
              </w:rPr>
            </w:pPr>
            <w:r>
              <w:rPr>
                <w:rFonts w:ascii="Arial" w:cs="Arial" w:eastAsia="Arial" w:hAnsi="Arial"/>
                <w:sz w:val="18"/>
                <w:szCs w:val="18"/>
                <w:color w:val="auto"/>
              </w:rPr>
              <w:t>1/2/14</w:t>
            </w:r>
          </w:p>
        </w:tc>
        <w:tc>
          <w:tcPr>
            <w:tcW w:w="1560" w:type="dxa"/>
            <w:vAlign w:val="bottom"/>
            <w:gridSpan w:val="2"/>
          </w:tcPr>
          <w:p>
            <w:pPr>
              <w:jc w:val="right"/>
              <w:ind w:right="108"/>
              <w:spacing w:after="0"/>
              <w:rPr>
                <w:sz w:val="20"/>
                <w:szCs w:val="20"/>
                <w:color w:val="auto"/>
              </w:rPr>
            </w:pPr>
            <w:r>
              <w:rPr>
                <w:rFonts w:ascii="Arial" w:cs="Arial" w:eastAsia="Arial" w:hAnsi="Arial"/>
                <w:sz w:val="18"/>
                <w:szCs w:val="18"/>
                <w:color w:val="auto"/>
              </w:rPr>
              <w:t>1,668,800</w:t>
            </w:r>
          </w:p>
        </w:tc>
        <w:tc>
          <w:tcPr>
            <w:tcW w:w="2060" w:type="dxa"/>
            <w:vAlign w:val="bottom"/>
            <w:gridSpan w:val="3"/>
          </w:tcPr>
          <w:p>
            <w:pPr>
              <w:jc w:val="right"/>
              <w:ind w:right="420"/>
              <w:spacing w:after="0"/>
              <w:rPr>
                <w:sz w:val="20"/>
                <w:szCs w:val="20"/>
                <w:color w:val="auto"/>
              </w:rPr>
            </w:pPr>
            <w:r>
              <w:rPr>
                <w:rFonts w:ascii="Arial" w:cs="Arial" w:eastAsia="Arial" w:hAnsi="Arial"/>
                <w:sz w:val="18"/>
                <w:szCs w:val="18"/>
                <w:color w:val="auto"/>
              </w:rPr>
              <w:t>4,230,800</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30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960" w:type="dxa"/>
            <w:vAlign w:val="bottom"/>
            <w:gridSpan w:val="2"/>
          </w:tcPr>
          <w:p>
            <w:pPr>
              <w:jc w:val="right"/>
              <w:ind w:right="288"/>
              <w:spacing w:after="0"/>
              <w:rPr>
                <w:sz w:val="20"/>
                <w:szCs w:val="20"/>
                <w:color w:val="auto"/>
              </w:rPr>
            </w:pPr>
            <w:r>
              <w:rPr>
                <w:rFonts w:ascii="Arial" w:cs="Arial" w:eastAsia="Arial" w:hAnsi="Arial"/>
                <w:sz w:val="18"/>
                <w:szCs w:val="18"/>
                <w:color w:val="auto"/>
              </w:rPr>
              <w:t>16</w:t>
            </w: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300" w:type="dxa"/>
            <w:vAlign w:val="bottom"/>
            <w:tcBorders>
              <w:bottom w:val="single" w:sz="8" w:color="808080"/>
            </w:tcBorders>
          </w:tcPr>
          <w:p>
            <w:pPr>
              <w:spacing w:after="0"/>
              <w:rPr>
                <w:sz w:val="19"/>
                <w:szCs w:val="19"/>
                <w:color w:val="auto"/>
              </w:rPr>
            </w:pPr>
          </w:p>
        </w:tc>
        <w:tc>
          <w:tcPr>
            <w:tcW w:w="23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3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74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1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34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6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AGGREGATED OPTION EXERCISES IN LAST FISCAL YEAR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FISCAL YEAR-END OPTION VALUES</w:t>
      </w:r>
    </w:p>
    <w:p>
      <w:pPr>
        <w:spacing w:after="0" w:line="184" w:lineRule="exact"/>
        <w:rPr>
          <w:sz w:val="20"/>
          <w:szCs w:val="20"/>
          <w:color w:val="auto"/>
        </w:rPr>
      </w:pPr>
    </w:p>
    <w:p>
      <w:pPr>
        <w:ind w:right="320" w:firstLine="222"/>
        <w:spacing w:after="0" w:line="277" w:lineRule="auto"/>
        <w:rPr>
          <w:sz w:val="20"/>
          <w:szCs w:val="20"/>
          <w:color w:val="auto"/>
        </w:rPr>
      </w:pPr>
      <w:r>
        <w:rPr>
          <w:rFonts w:ascii="Arial" w:cs="Arial" w:eastAsia="Arial" w:hAnsi="Arial"/>
          <w:sz w:val="18"/>
          <w:szCs w:val="18"/>
          <w:color w:val="auto"/>
        </w:rPr>
        <w:t>The following table shows the number of options exercised during fiscal 2004 and the number of unexercised options previously granted to the Named Executive Officers that were exercisable and unexercisable at January 31, 2004.</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Shares</w:t>
            </w:r>
          </w:p>
        </w:tc>
        <w:tc>
          <w:tcPr>
            <w:tcW w:w="2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9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Number of Securities</w:t>
            </w: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80" w:type="dxa"/>
            <w:vAlign w:val="bottom"/>
            <w:gridSpan w:val="3"/>
            <w:vMerge w:val="restart"/>
          </w:tcPr>
          <w:p>
            <w:pPr>
              <w:jc w:val="center"/>
              <w:ind w:right="188"/>
              <w:spacing w:after="0"/>
              <w:rPr>
                <w:sz w:val="20"/>
                <w:szCs w:val="20"/>
                <w:color w:val="auto"/>
              </w:rPr>
            </w:pPr>
            <w:r>
              <w:rPr>
                <w:rFonts w:ascii="Arial" w:cs="Arial" w:eastAsia="Arial" w:hAnsi="Arial"/>
                <w:sz w:val="14"/>
                <w:szCs w:val="14"/>
                <w:b w:val="1"/>
                <w:bCs w:val="1"/>
                <w:color w:val="auto"/>
                <w:w w:val="90"/>
              </w:rPr>
              <w:t>Value of Unexercised</w:t>
            </w:r>
          </w:p>
        </w:tc>
        <w:tc>
          <w:tcPr>
            <w:tcW w:w="0" w:type="dxa"/>
            <w:vAlign w:val="bottom"/>
          </w:tcPr>
          <w:p>
            <w:pPr>
              <w:spacing w:after="0"/>
              <w:rPr>
                <w:sz w:val="1"/>
                <w:szCs w:val="1"/>
                <w:color w:val="auto"/>
              </w:rPr>
            </w:pPr>
          </w:p>
        </w:tc>
      </w:tr>
      <w:tr>
        <w:trPr>
          <w:trHeight w:val="149"/>
        </w:trPr>
        <w:tc>
          <w:tcPr>
            <w:tcW w:w="23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4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1320" w:type="dxa"/>
            <w:vAlign w:val="bottom"/>
            <w:vMerge w:val="restart"/>
          </w:tcPr>
          <w:p>
            <w:pPr>
              <w:jc w:val="right"/>
              <w:ind w:right="114"/>
              <w:spacing w:after="0"/>
              <w:rPr>
                <w:sz w:val="20"/>
                <w:szCs w:val="20"/>
                <w:color w:val="auto"/>
              </w:rPr>
            </w:pPr>
            <w:r>
              <w:rPr>
                <w:rFonts w:ascii="Arial" w:cs="Arial" w:eastAsia="Arial" w:hAnsi="Arial"/>
                <w:sz w:val="14"/>
                <w:szCs w:val="14"/>
                <w:b w:val="1"/>
                <w:bCs w:val="1"/>
                <w:color w:val="auto"/>
              </w:rPr>
              <w:t>Value Realized</w:t>
            </w:r>
          </w:p>
        </w:tc>
        <w:tc>
          <w:tcPr>
            <w:tcW w:w="220" w:type="dxa"/>
            <w:vAlign w:val="bottom"/>
          </w:tcPr>
          <w:p>
            <w:pPr>
              <w:spacing w:after="0"/>
              <w:rPr>
                <w:sz w:val="12"/>
                <w:szCs w:val="12"/>
                <w:color w:val="auto"/>
              </w:rPr>
            </w:pPr>
          </w:p>
        </w:tc>
        <w:tc>
          <w:tcPr>
            <w:tcW w:w="292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2"/>
              </w:rPr>
              <w:t>Underlying Unexercised</w:t>
            </w: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3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340" w:type="dxa"/>
            <w:vAlign w:val="bottom"/>
            <w:vMerge w:val="restart"/>
          </w:tcPr>
          <w:p>
            <w:pPr>
              <w:ind w:left="980"/>
              <w:spacing w:after="0"/>
              <w:rPr>
                <w:sz w:val="20"/>
                <w:szCs w:val="20"/>
                <w:color w:val="auto"/>
              </w:rPr>
            </w:pPr>
            <w:r>
              <w:rPr>
                <w:rFonts w:ascii="Arial" w:cs="Arial" w:eastAsia="Arial" w:hAnsi="Arial"/>
                <w:sz w:val="14"/>
                <w:szCs w:val="14"/>
                <w:b w:val="1"/>
                <w:bCs w:val="1"/>
                <w:color w:val="auto"/>
              </w:rPr>
              <w:t>Name</w:t>
            </w:r>
          </w:p>
        </w:tc>
        <w:tc>
          <w:tcPr>
            <w:tcW w:w="200" w:type="dxa"/>
            <w:vAlign w:val="bottom"/>
          </w:tcPr>
          <w:p>
            <w:pPr>
              <w:spacing w:after="0"/>
              <w:rPr>
                <w:sz w:val="12"/>
                <w:szCs w:val="12"/>
                <w:color w:val="auto"/>
              </w:rPr>
            </w:pPr>
          </w:p>
        </w:tc>
        <w:tc>
          <w:tcPr>
            <w:tcW w:w="13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Acquired on</w:t>
            </w:r>
          </w:p>
        </w:tc>
        <w:tc>
          <w:tcPr>
            <w:tcW w:w="220" w:type="dxa"/>
            <w:vAlign w:val="bottom"/>
          </w:tcPr>
          <w:p>
            <w:pPr>
              <w:spacing w:after="0"/>
              <w:rPr>
                <w:sz w:val="12"/>
                <w:szCs w:val="12"/>
                <w:color w:val="auto"/>
              </w:rPr>
            </w:pPr>
          </w:p>
        </w:tc>
        <w:tc>
          <w:tcPr>
            <w:tcW w:w="132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860" w:type="dxa"/>
            <w:vAlign w:val="bottom"/>
            <w:gridSpan w:val="3"/>
          </w:tcPr>
          <w:p>
            <w:pPr>
              <w:jc w:val="center"/>
              <w:ind w:right="988"/>
              <w:spacing w:after="0" w:line="149" w:lineRule="exact"/>
              <w:rPr>
                <w:sz w:val="20"/>
                <w:szCs w:val="20"/>
                <w:color w:val="auto"/>
              </w:rPr>
            </w:pPr>
            <w:r>
              <w:rPr>
                <w:rFonts w:ascii="Arial" w:cs="Arial" w:eastAsia="Arial" w:hAnsi="Arial"/>
                <w:sz w:val="14"/>
                <w:szCs w:val="14"/>
                <w:b w:val="1"/>
                <w:bCs w:val="1"/>
                <w:color w:val="auto"/>
                <w:w w:val="92"/>
              </w:rPr>
              <w:t>Options at</w:t>
            </w: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380" w:type="dxa"/>
            <w:vAlign w:val="bottom"/>
            <w:gridSpan w:val="3"/>
          </w:tcPr>
          <w:p>
            <w:pPr>
              <w:jc w:val="center"/>
              <w:ind w:right="188"/>
              <w:spacing w:after="0" w:line="149" w:lineRule="exact"/>
              <w:rPr>
                <w:sz w:val="20"/>
                <w:szCs w:val="20"/>
                <w:color w:val="auto"/>
              </w:rPr>
            </w:pPr>
            <w:r>
              <w:rPr>
                <w:rFonts w:ascii="Arial" w:cs="Arial" w:eastAsia="Arial" w:hAnsi="Arial"/>
                <w:sz w:val="14"/>
                <w:szCs w:val="14"/>
                <w:b w:val="1"/>
                <w:bCs w:val="1"/>
                <w:color w:val="auto"/>
                <w:w w:val="94"/>
              </w:rPr>
              <w:t>In-the-Money Options at</w:t>
            </w:r>
          </w:p>
        </w:tc>
        <w:tc>
          <w:tcPr>
            <w:tcW w:w="0" w:type="dxa"/>
            <w:vAlign w:val="bottom"/>
          </w:tcPr>
          <w:p>
            <w:pPr>
              <w:spacing w:after="0"/>
              <w:rPr>
                <w:sz w:val="1"/>
                <w:szCs w:val="1"/>
                <w:color w:val="auto"/>
              </w:rPr>
            </w:pPr>
          </w:p>
        </w:tc>
      </w:tr>
      <w:tr>
        <w:trPr>
          <w:trHeight w:val="186"/>
        </w:trPr>
        <w:tc>
          <w:tcPr>
            <w:tcW w:w="2340" w:type="dxa"/>
            <w:vAlign w:val="bottom"/>
            <w:vMerge w:val="continue"/>
          </w:tcPr>
          <w:p>
            <w:pPr>
              <w:spacing w:after="0"/>
              <w:rPr>
                <w:sz w:val="16"/>
                <w:szCs w:val="16"/>
                <w:color w:val="auto"/>
              </w:rPr>
            </w:pPr>
          </w:p>
        </w:tc>
        <w:tc>
          <w:tcPr>
            <w:tcW w:w="200" w:type="dxa"/>
            <w:vAlign w:val="bottom"/>
          </w:tcPr>
          <w:p>
            <w:pPr>
              <w:spacing w:after="0"/>
              <w:rPr>
                <w:sz w:val="16"/>
                <w:szCs w:val="16"/>
                <w:color w:val="auto"/>
              </w:rPr>
            </w:pP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91"/>
              </w:rPr>
              <w:t>Exercise (#)(1)</w:t>
            </w:r>
          </w:p>
        </w:tc>
        <w:tc>
          <w:tcPr>
            <w:tcW w:w="1540" w:type="dxa"/>
            <w:vAlign w:val="bottom"/>
            <w:gridSpan w:val="2"/>
          </w:tcPr>
          <w:p>
            <w:pPr>
              <w:jc w:val="right"/>
              <w:ind w:right="414"/>
              <w:spacing w:after="0"/>
              <w:rPr>
                <w:sz w:val="20"/>
                <w:szCs w:val="20"/>
                <w:color w:val="auto"/>
              </w:rPr>
            </w:pPr>
            <w:r>
              <w:rPr>
                <w:rFonts w:ascii="Arial" w:cs="Arial" w:eastAsia="Arial" w:hAnsi="Arial"/>
                <w:sz w:val="14"/>
                <w:szCs w:val="14"/>
                <w:b w:val="1"/>
                <w:bCs w:val="1"/>
                <w:color w:val="auto"/>
              </w:rPr>
              <w:t>($)(1)</w:t>
            </w:r>
          </w:p>
        </w:tc>
        <w:tc>
          <w:tcPr>
            <w:tcW w:w="220" w:type="dxa"/>
            <w:vAlign w:val="bottom"/>
          </w:tcPr>
          <w:p>
            <w:pPr>
              <w:spacing w:after="0"/>
              <w:rPr>
                <w:sz w:val="16"/>
                <w:szCs w:val="16"/>
                <w:color w:val="auto"/>
              </w:rPr>
            </w:pPr>
          </w:p>
        </w:tc>
        <w:tc>
          <w:tcPr>
            <w:tcW w:w="29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4"/>
              </w:rPr>
              <w:t>January 31, 2004(#)</w:t>
            </w:r>
          </w:p>
        </w:tc>
        <w:tc>
          <w:tcPr>
            <w:tcW w:w="2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380" w:type="dxa"/>
            <w:vAlign w:val="bottom"/>
            <w:gridSpan w:val="3"/>
          </w:tcPr>
          <w:p>
            <w:pPr>
              <w:jc w:val="center"/>
              <w:ind w:right="168"/>
              <w:spacing w:after="0"/>
              <w:rPr>
                <w:sz w:val="20"/>
                <w:szCs w:val="20"/>
                <w:color w:val="auto"/>
              </w:rPr>
            </w:pPr>
            <w:r>
              <w:rPr>
                <w:rFonts w:ascii="Arial" w:cs="Arial" w:eastAsia="Arial" w:hAnsi="Arial"/>
                <w:sz w:val="14"/>
                <w:szCs w:val="14"/>
                <w:b w:val="1"/>
                <w:bCs w:val="1"/>
                <w:color w:val="auto"/>
                <w:w w:val="94"/>
              </w:rPr>
              <w:t>January 31, 2004($)</w:t>
            </w:r>
          </w:p>
        </w:tc>
        <w:tc>
          <w:tcPr>
            <w:tcW w:w="0" w:type="dxa"/>
            <w:vAlign w:val="bottom"/>
          </w:tcPr>
          <w:p>
            <w:pPr>
              <w:spacing w:after="0"/>
              <w:rPr>
                <w:sz w:val="1"/>
                <w:szCs w:val="1"/>
                <w:color w:val="auto"/>
              </w:rPr>
            </w:pPr>
          </w:p>
        </w:tc>
      </w:tr>
      <w:tr>
        <w:trPr>
          <w:trHeight w:val="53"/>
        </w:trPr>
        <w:tc>
          <w:tcPr>
            <w:tcW w:w="234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3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06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4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94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3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tcPr>
          <w:p>
            <w:pPr>
              <w:jc w:val="right"/>
              <w:ind w:right="8"/>
              <w:spacing w:after="0"/>
              <w:rPr>
                <w:sz w:val="20"/>
                <w:szCs w:val="20"/>
                <w:color w:val="auto"/>
              </w:rPr>
            </w:pPr>
            <w:r>
              <w:rPr>
                <w:rFonts w:ascii="Arial" w:cs="Arial" w:eastAsia="Arial" w:hAnsi="Arial"/>
                <w:sz w:val="14"/>
                <w:szCs w:val="14"/>
                <w:b w:val="1"/>
                <w:bCs w:val="1"/>
                <w:color w:val="auto"/>
              </w:rPr>
              <w:t>Exercisable</w:t>
            </w:r>
          </w:p>
        </w:tc>
        <w:tc>
          <w:tcPr>
            <w:tcW w:w="1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40" w:type="dxa"/>
            <w:vAlign w:val="bottom"/>
          </w:tcPr>
          <w:p>
            <w:pPr>
              <w:jc w:val="right"/>
              <w:ind w:right="228"/>
              <w:spacing w:after="0"/>
              <w:rPr>
                <w:sz w:val="20"/>
                <w:szCs w:val="20"/>
                <w:color w:val="auto"/>
              </w:rPr>
            </w:pPr>
            <w:r>
              <w:rPr>
                <w:rFonts w:ascii="Arial" w:cs="Arial" w:eastAsia="Arial" w:hAnsi="Arial"/>
                <w:sz w:val="14"/>
                <w:szCs w:val="14"/>
                <w:b w:val="1"/>
                <w:bCs w:val="1"/>
                <w:color w:val="auto"/>
              </w:rPr>
              <w:t>Unexercisable</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40" w:type="dxa"/>
            <w:vAlign w:val="bottom"/>
          </w:tcPr>
          <w:p>
            <w:pPr>
              <w:jc w:val="right"/>
              <w:ind w:right="159"/>
              <w:spacing w:after="0"/>
              <w:rPr>
                <w:sz w:val="20"/>
                <w:szCs w:val="20"/>
                <w:color w:val="auto"/>
              </w:rPr>
            </w:pPr>
            <w:r>
              <w:rPr>
                <w:rFonts w:ascii="Arial" w:cs="Arial" w:eastAsia="Arial" w:hAnsi="Arial"/>
                <w:sz w:val="14"/>
                <w:szCs w:val="14"/>
                <w:b w:val="1"/>
                <w:bCs w:val="1"/>
                <w:color w:val="auto"/>
                <w:w w:val="87"/>
              </w:rPr>
              <w:t>Exercisable</w:t>
            </w:r>
          </w:p>
        </w:tc>
        <w:tc>
          <w:tcPr>
            <w:tcW w:w="240" w:type="dxa"/>
            <w:vAlign w:val="bottom"/>
          </w:tcPr>
          <w:p>
            <w:pPr>
              <w:spacing w:after="0"/>
              <w:rPr>
                <w:sz w:val="20"/>
                <w:szCs w:val="20"/>
                <w:color w:val="auto"/>
              </w:rPr>
            </w:pPr>
          </w:p>
        </w:tc>
        <w:tc>
          <w:tcPr>
            <w:tcW w:w="1200" w:type="dxa"/>
            <w:vAlign w:val="bottom"/>
          </w:tcPr>
          <w:p>
            <w:pPr>
              <w:ind w:left="160"/>
              <w:spacing w:after="0"/>
              <w:rPr>
                <w:sz w:val="20"/>
                <w:szCs w:val="20"/>
                <w:color w:val="auto"/>
              </w:rPr>
            </w:pPr>
            <w:r>
              <w:rPr>
                <w:rFonts w:ascii="Arial" w:cs="Arial" w:eastAsia="Arial" w:hAnsi="Arial"/>
                <w:sz w:val="14"/>
                <w:szCs w:val="14"/>
                <w:b w:val="1"/>
                <w:bCs w:val="1"/>
                <w:color w:val="auto"/>
              </w:rPr>
              <w:t>Unexercisable</w:t>
            </w:r>
          </w:p>
        </w:tc>
        <w:tc>
          <w:tcPr>
            <w:tcW w:w="0" w:type="dxa"/>
            <w:vAlign w:val="bottom"/>
          </w:tcPr>
          <w:p>
            <w:pPr>
              <w:spacing w:after="0"/>
              <w:rPr>
                <w:sz w:val="1"/>
                <w:szCs w:val="1"/>
                <w:color w:val="auto"/>
              </w:rPr>
            </w:pPr>
          </w:p>
        </w:tc>
      </w:tr>
      <w:tr>
        <w:trPr>
          <w:trHeight w:val="53"/>
        </w:trPr>
        <w:tc>
          <w:tcPr>
            <w:tcW w:w="2340" w:type="dxa"/>
            <w:vAlign w:val="bottom"/>
          </w:tcPr>
          <w:p>
            <w:pPr>
              <w:spacing w:after="0"/>
              <w:rPr>
                <w:sz w:val="4"/>
                <w:szCs w:val="4"/>
                <w:color w:val="auto"/>
              </w:rPr>
            </w:pPr>
          </w:p>
        </w:tc>
        <w:tc>
          <w:tcPr>
            <w:tcW w:w="20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32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6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4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94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2340" w:type="dxa"/>
            <w:vAlign w:val="bottom"/>
          </w:tcPr>
          <w:p>
            <w:pPr>
              <w:spacing w:after="0"/>
              <w:rPr>
                <w:sz w:val="20"/>
                <w:szCs w:val="20"/>
                <w:color w:val="auto"/>
              </w:rPr>
            </w:pPr>
            <w:r>
              <w:rPr>
                <w:rFonts w:ascii="Arial" w:cs="Arial" w:eastAsia="Arial" w:hAnsi="Arial"/>
                <w:sz w:val="18"/>
                <w:szCs w:val="18"/>
                <w:color w:val="auto"/>
              </w:rPr>
              <w:t>Dr. Sehat Sutardja, Ph.D.</w:t>
            </w:r>
          </w:p>
        </w:tc>
        <w:tc>
          <w:tcPr>
            <w:tcW w:w="200" w:type="dxa"/>
            <w:vAlign w:val="bottom"/>
          </w:tcPr>
          <w:p>
            <w:pPr>
              <w:spacing w:after="0"/>
              <w:rPr>
                <w:sz w:val="24"/>
                <w:szCs w:val="24"/>
                <w:color w:val="auto"/>
              </w:rPr>
            </w:pPr>
          </w:p>
        </w:tc>
        <w:tc>
          <w:tcPr>
            <w:tcW w:w="134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1320" w:type="dxa"/>
            <w:vAlign w:val="bottom"/>
          </w:tcPr>
          <w:p>
            <w:pPr>
              <w:jc w:val="right"/>
              <w:ind w:right="214"/>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68"/>
              <w:spacing w:after="0"/>
              <w:rPr>
                <w:sz w:val="20"/>
                <w:szCs w:val="20"/>
                <w:color w:val="auto"/>
              </w:rPr>
            </w:pPr>
            <w:r>
              <w:rPr>
                <w:rFonts w:ascii="Arial" w:cs="Arial" w:eastAsia="Arial" w:hAnsi="Arial"/>
                <w:sz w:val="18"/>
                <w:szCs w:val="18"/>
                <w:color w:val="auto"/>
              </w:rPr>
              <w:t>79,166</w:t>
            </w:r>
          </w:p>
        </w:tc>
        <w:tc>
          <w:tcPr>
            <w:tcW w:w="1860" w:type="dxa"/>
            <w:vAlign w:val="bottom"/>
            <w:gridSpan w:val="3"/>
          </w:tcPr>
          <w:p>
            <w:pPr>
              <w:jc w:val="right"/>
              <w:ind w:right="368"/>
              <w:spacing w:after="0"/>
              <w:rPr>
                <w:sz w:val="20"/>
                <w:szCs w:val="20"/>
                <w:color w:val="auto"/>
              </w:rPr>
            </w:pPr>
            <w:r>
              <w:rPr>
                <w:rFonts w:ascii="Arial" w:cs="Arial" w:eastAsia="Arial" w:hAnsi="Arial"/>
                <w:sz w:val="18"/>
                <w:szCs w:val="18"/>
                <w:color w:val="auto"/>
              </w:rPr>
              <w:t>1,620,834</w:t>
            </w:r>
          </w:p>
        </w:tc>
        <w:tc>
          <w:tcPr>
            <w:tcW w:w="4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39"/>
              <w:spacing w:after="0"/>
              <w:rPr>
                <w:sz w:val="20"/>
                <w:szCs w:val="20"/>
                <w:color w:val="auto"/>
              </w:rPr>
            </w:pPr>
            <w:r>
              <w:rPr>
                <w:rFonts w:ascii="Arial" w:cs="Arial" w:eastAsia="Arial" w:hAnsi="Arial"/>
                <w:sz w:val="18"/>
                <w:szCs w:val="18"/>
                <w:color w:val="auto"/>
                <w:w w:val="87"/>
              </w:rPr>
              <w:t>1,392,530</w:t>
            </w:r>
          </w:p>
        </w:tc>
        <w:tc>
          <w:tcPr>
            <w:tcW w:w="1440" w:type="dxa"/>
            <w:vAlign w:val="bottom"/>
            <w:gridSpan w:val="2"/>
          </w:tcPr>
          <w:p>
            <w:pPr>
              <w:ind w:left="400"/>
              <w:spacing w:after="0"/>
              <w:rPr>
                <w:sz w:val="20"/>
                <w:szCs w:val="20"/>
                <w:color w:val="auto"/>
              </w:rPr>
            </w:pPr>
            <w:r>
              <w:rPr>
                <w:rFonts w:ascii="Arial" w:cs="Arial" w:eastAsia="Arial" w:hAnsi="Arial"/>
                <w:sz w:val="18"/>
                <w:szCs w:val="18"/>
                <w:color w:val="auto"/>
              </w:rPr>
              <w:t>$9,775,470</w:t>
            </w:r>
          </w:p>
        </w:tc>
        <w:tc>
          <w:tcPr>
            <w:tcW w:w="0" w:type="dxa"/>
            <w:vAlign w:val="bottom"/>
          </w:tcPr>
          <w:p>
            <w:pPr>
              <w:spacing w:after="0"/>
              <w:rPr>
                <w:sz w:val="1"/>
                <w:szCs w:val="1"/>
                <w:color w:val="auto"/>
              </w:rPr>
            </w:pPr>
          </w:p>
        </w:tc>
      </w:tr>
      <w:tr>
        <w:trPr>
          <w:trHeight w:val="216"/>
        </w:trPr>
        <w:tc>
          <w:tcPr>
            <w:tcW w:w="2340" w:type="dxa"/>
            <w:vAlign w:val="bottom"/>
          </w:tcPr>
          <w:p>
            <w:pPr>
              <w:spacing w:after="0"/>
              <w:rPr>
                <w:sz w:val="20"/>
                <w:szCs w:val="20"/>
                <w:color w:val="auto"/>
              </w:rPr>
            </w:pPr>
            <w:r>
              <w:rPr>
                <w:rFonts w:ascii="Arial" w:cs="Arial" w:eastAsia="Arial" w:hAnsi="Arial"/>
                <w:sz w:val="18"/>
                <w:szCs w:val="18"/>
                <w:color w:val="auto"/>
              </w:rPr>
              <w:t>Weili Dai</w:t>
            </w:r>
          </w:p>
        </w:tc>
        <w:tc>
          <w:tcPr>
            <w:tcW w:w="200" w:type="dxa"/>
            <w:vAlign w:val="bottom"/>
          </w:tcPr>
          <w:p>
            <w:pPr>
              <w:spacing w:after="0"/>
              <w:rPr>
                <w:sz w:val="18"/>
                <w:szCs w:val="18"/>
                <w:color w:val="auto"/>
              </w:rPr>
            </w:pPr>
          </w:p>
        </w:tc>
        <w:tc>
          <w:tcPr>
            <w:tcW w:w="134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320" w:type="dxa"/>
            <w:vAlign w:val="bottom"/>
          </w:tcPr>
          <w:p>
            <w:pPr>
              <w:jc w:val="right"/>
              <w:ind w:right="214"/>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68"/>
              <w:spacing w:after="0"/>
              <w:rPr>
                <w:sz w:val="20"/>
                <w:szCs w:val="20"/>
                <w:color w:val="auto"/>
              </w:rPr>
            </w:pPr>
            <w:r>
              <w:rPr>
                <w:rFonts w:ascii="Arial" w:cs="Arial" w:eastAsia="Arial" w:hAnsi="Arial"/>
                <w:sz w:val="18"/>
                <w:szCs w:val="18"/>
                <w:color w:val="auto"/>
              </w:rPr>
              <w:t>39,583</w:t>
            </w:r>
          </w:p>
        </w:tc>
        <w:tc>
          <w:tcPr>
            <w:tcW w:w="1860" w:type="dxa"/>
            <w:vAlign w:val="bottom"/>
            <w:gridSpan w:val="3"/>
          </w:tcPr>
          <w:p>
            <w:pPr>
              <w:jc w:val="right"/>
              <w:ind w:right="368"/>
              <w:spacing w:after="0"/>
              <w:rPr>
                <w:sz w:val="20"/>
                <w:szCs w:val="20"/>
                <w:color w:val="auto"/>
              </w:rPr>
            </w:pPr>
            <w:r>
              <w:rPr>
                <w:rFonts w:ascii="Arial" w:cs="Arial" w:eastAsia="Arial" w:hAnsi="Arial"/>
                <w:sz w:val="18"/>
                <w:szCs w:val="18"/>
                <w:color w:val="auto"/>
              </w:rPr>
              <w:t>1,060,417</w:t>
            </w:r>
          </w:p>
        </w:tc>
        <w:tc>
          <w:tcPr>
            <w:tcW w:w="4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39"/>
              <w:spacing w:after="0"/>
              <w:rPr>
                <w:sz w:val="20"/>
                <w:szCs w:val="20"/>
                <w:color w:val="auto"/>
              </w:rPr>
            </w:pPr>
            <w:r>
              <w:rPr>
                <w:rFonts w:ascii="Arial" w:cs="Arial" w:eastAsia="Arial" w:hAnsi="Arial"/>
                <w:sz w:val="18"/>
                <w:szCs w:val="18"/>
                <w:color w:val="auto"/>
              </w:rPr>
              <w:t>696,265</w:t>
            </w:r>
          </w:p>
        </w:tc>
        <w:tc>
          <w:tcPr>
            <w:tcW w:w="1440" w:type="dxa"/>
            <w:vAlign w:val="bottom"/>
            <w:gridSpan w:val="2"/>
          </w:tcPr>
          <w:p>
            <w:pPr>
              <w:ind w:left="400"/>
              <w:spacing w:after="0"/>
              <w:rPr>
                <w:sz w:val="20"/>
                <w:szCs w:val="20"/>
                <w:color w:val="auto"/>
              </w:rPr>
            </w:pPr>
            <w:r>
              <w:rPr>
                <w:rFonts w:ascii="Arial" w:cs="Arial" w:eastAsia="Arial" w:hAnsi="Arial"/>
                <w:sz w:val="18"/>
                <w:szCs w:val="18"/>
                <w:color w:val="auto"/>
              </w:rPr>
              <w:t>$6,162,735</w:t>
            </w:r>
          </w:p>
        </w:tc>
        <w:tc>
          <w:tcPr>
            <w:tcW w:w="0" w:type="dxa"/>
            <w:vAlign w:val="bottom"/>
          </w:tcPr>
          <w:p>
            <w:pPr>
              <w:spacing w:after="0"/>
              <w:rPr>
                <w:sz w:val="1"/>
                <w:szCs w:val="1"/>
                <w:color w:val="auto"/>
              </w:rPr>
            </w:pPr>
          </w:p>
        </w:tc>
      </w:tr>
      <w:tr>
        <w:trPr>
          <w:trHeight w:val="216"/>
        </w:trPr>
        <w:tc>
          <w:tcPr>
            <w:tcW w:w="2340" w:type="dxa"/>
            <w:vAlign w:val="bottom"/>
          </w:tcPr>
          <w:p>
            <w:pPr>
              <w:spacing w:after="0"/>
              <w:rPr>
                <w:sz w:val="20"/>
                <w:szCs w:val="20"/>
                <w:color w:val="auto"/>
              </w:rPr>
            </w:pPr>
            <w:r>
              <w:rPr>
                <w:rFonts w:ascii="Arial" w:cs="Arial" w:eastAsia="Arial" w:hAnsi="Arial"/>
                <w:sz w:val="18"/>
                <w:szCs w:val="18"/>
                <w:color w:val="auto"/>
              </w:rPr>
              <w:t>Dr. Pantas Sutardja, Ph.D.</w:t>
            </w:r>
          </w:p>
        </w:tc>
        <w:tc>
          <w:tcPr>
            <w:tcW w:w="200" w:type="dxa"/>
            <w:vAlign w:val="bottom"/>
          </w:tcPr>
          <w:p>
            <w:pPr>
              <w:spacing w:after="0"/>
              <w:rPr>
                <w:sz w:val="18"/>
                <w:szCs w:val="18"/>
                <w:color w:val="auto"/>
              </w:rPr>
            </w:pPr>
          </w:p>
        </w:tc>
        <w:tc>
          <w:tcPr>
            <w:tcW w:w="134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320" w:type="dxa"/>
            <w:vAlign w:val="bottom"/>
          </w:tcPr>
          <w:p>
            <w:pPr>
              <w:jc w:val="right"/>
              <w:ind w:right="214"/>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68"/>
              <w:spacing w:after="0"/>
              <w:rPr>
                <w:sz w:val="20"/>
                <w:szCs w:val="20"/>
                <w:color w:val="auto"/>
              </w:rPr>
            </w:pPr>
            <w:r>
              <w:rPr>
                <w:rFonts w:ascii="Arial" w:cs="Arial" w:eastAsia="Arial" w:hAnsi="Arial"/>
                <w:sz w:val="18"/>
                <w:szCs w:val="18"/>
                <w:color w:val="auto"/>
              </w:rPr>
              <w:t>39,583</w:t>
            </w:r>
          </w:p>
        </w:tc>
        <w:tc>
          <w:tcPr>
            <w:tcW w:w="1860" w:type="dxa"/>
            <w:vAlign w:val="bottom"/>
            <w:gridSpan w:val="3"/>
          </w:tcPr>
          <w:p>
            <w:pPr>
              <w:jc w:val="right"/>
              <w:ind w:right="368"/>
              <w:spacing w:after="0"/>
              <w:rPr>
                <w:sz w:val="20"/>
                <w:szCs w:val="20"/>
                <w:color w:val="auto"/>
              </w:rPr>
            </w:pPr>
            <w:r>
              <w:rPr>
                <w:rFonts w:ascii="Arial" w:cs="Arial" w:eastAsia="Arial" w:hAnsi="Arial"/>
                <w:sz w:val="18"/>
                <w:szCs w:val="18"/>
                <w:color w:val="auto"/>
              </w:rPr>
              <w:t>720,417</w:t>
            </w:r>
          </w:p>
        </w:tc>
        <w:tc>
          <w:tcPr>
            <w:tcW w:w="4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39"/>
              <w:spacing w:after="0"/>
              <w:rPr>
                <w:sz w:val="20"/>
                <w:szCs w:val="20"/>
                <w:color w:val="auto"/>
              </w:rPr>
            </w:pPr>
            <w:r>
              <w:rPr>
                <w:rFonts w:ascii="Arial" w:cs="Arial" w:eastAsia="Arial" w:hAnsi="Arial"/>
                <w:sz w:val="18"/>
                <w:szCs w:val="18"/>
                <w:color w:val="auto"/>
              </w:rPr>
              <w:t>696,265</w:t>
            </w:r>
          </w:p>
        </w:tc>
        <w:tc>
          <w:tcPr>
            <w:tcW w:w="1440" w:type="dxa"/>
            <w:vAlign w:val="bottom"/>
            <w:gridSpan w:val="2"/>
          </w:tcPr>
          <w:p>
            <w:pPr>
              <w:ind w:left="400"/>
              <w:spacing w:after="0"/>
              <w:rPr>
                <w:sz w:val="20"/>
                <w:szCs w:val="20"/>
                <w:color w:val="auto"/>
              </w:rPr>
            </w:pPr>
            <w:r>
              <w:rPr>
                <w:rFonts w:ascii="Arial" w:cs="Arial" w:eastAsia="Arial" w:hAnsi="Arial"/>
                <w:sz w:val="18"/>
                <w:szCs w:val="18"/>
                <w:color w:val="auto"/>
              </w:rPr>
              <w:t>$4,428,735</w:t>
            </w:r>
          </w:p>
        </w:tc>
        <w:tc>
          <w:tcPr>
            <w:tcW w:w="0" w:type="dxa"/>
            <w:vAlign w:val="bottom"/>
          </w:tcPr>
          <w:p>
            <w:pPr>
              <w:spacing w:after="0"/>
              <w:rPr>
                <w:sz w:val="1"/>
                <w:szCs w:val="1"/>
                <w:color w:val="auto"/>
              </w:rPr>
            </w:pPr>
          </w:p>
        </w:tc>
      </w:tr>
      <w:tr>
        <w:trPr>
          <w:trHeight w:val="230"/>
        </w:trPr>
        <w:tc>
          <w:tcPr>
            <w:tcW w:w="2340" w:type="dxa"/>
            <w:vAlign w:val="bottom"/>
          </w:tcPr>
          <w:p>
            <w:pPr>
              <w:spacing w:after="0"/>
              <w:rPr>
                <w:sz w:val="20"/>
                <w:szCs w:val="20"/>
                <w:color w:val="auto"/>
              </w:rPr>
            </w:pPr>
            <w:r>
              <w:rPr>
                <w:rFonts w:ascii="Arial" w:cs="Arial" w:eastAsia="Arial" w:hAnsi="Arial"/>
                <w:sz w:val="18"/>
                <w:szCs w:val="18"/>
                <w:color w:val="auto"/>
              </w:rPr>
              <w:t>George Hervey</w:t>
            </w:r>
          </w:p>
        </w:tc>
        <w:tc>
          <w:tcPr>
            <w:tcW w:w="1540" w:type="dxa"/>
            <w:vAlign w:val="bottom"/>
            <w:gridSpan w:val="2"/>
          </w:tcPr>
          <w:p>
            <w:pPr>
              <w:jc w:val="right"/>
              <w:ind w:right="359"/>
              <w:spacing w:after="0"/>
              <w:rPr>
                <w:sz w:val="20"/>
                <w:szCs w:val="20"/>
                <w:color w:val="auto"/>
              </w:rPr>
            </w:pPr>
            <w:r>
              <w:rPr>
                <w:rFonts w:ascii="Arial" w:cs="Arial" w:eastAsia="Arial" w:hAnsi="Arial"/>
                <w:sz w:val="18"/>
                <w:szCs w:val="18"/>
                <w:color w:val="auto"/>
              </w:rPr>
              <w:t>220,000</w:t>
            </w:r>
          </w:p>
        </w:tc>
        <w:tc>
          <w:tcPr>
            <w:tcW w:w="1540" w:type="dxa"/>
            <w:vAlign w:val="bottom"/>
            <w:gridSpan w:val="2"/>
          </w:tcPr>
          <w:p>
            <w:pPr>
              <w:jc w:val="right"/>
              <w:ind w:right="214"/>
              <w:spacing w:after="0"/>
              <w:rPr>
                <w:sz w:val="20"/>
                <w:szCs w:val="20"/>
                <w:color w:val="auto"/>
              </w:rPr>
            </w:pPr>
            <w:r>
              <w:rPr>
                <w:rFonts w:ascii="Arial" w:cs="Arial" w:eastAsia="Arial" w:hAnsi="Arial"/>
                <w:sz w:val="18"/>
                <w:szCs w:val="18"/>
                <w:color w:val="auto"/>
              </w:rPr>
              <w:t>$5,544,879</w:t>
            </w:r>
          </w:p>
        </w:tc>
        <w:tc>
          <w:tcPr>
            <w:tcW w:w="1280" w:type="dxa"/>
            <w:vAlign w:val="bottom"/>
            <w:gridSpan w:val="2"/>
          </w:tcPr>
          <w:p>
            <w:pPr>
              <w:jc w:val="right"/>
              <w:ind w:right="68"/>
              <w:spacing w:after="0"/>
              <w:rPr>
                <w:sz w:val="20"/>
                <w:szCs w:val="20"/>
                <w:color w:val="auto"/>
              </w:rPr>
            </w:pPr>
            <w:r>
              <w:rPr>
                <w:rFonts w:ascii="Arial" w:cs="Arial" w:eastAsia="Arial" w:hAnsi="Arial"/>
                <w:sz w:val="18"/>
                <w:szCs w:val="18"/>
                <w:color w:val="auto"/>
              </w:rPr>
              <w:t>240,565</w:t>
            </w:r>
          </w:p>
        </w:tc>
        <w:tc>
          <w:tcPr>
            <w:tcW w:w="1860" w:type="dxa"/>
            <w:vAlign w:val="bottom"/>
            <w:gridSpan w:val="3"/>
          </w:tcPr>
          <w:p>
            <w:pPr>
              <w:jc w:val="right"/>
              <w:ind w:right="368"/>
              <w:spacing w:after="0"/>
              <w:rPr>
                <w:sz w:val="20"/>
                <w:szCs w:val="20"/>
                <w:color w:val="auto"/>
              </w:rPr>
            </w:pPr>
            <w:r>
              <w:rPr>
                <w:rFonts w:ascii="Arial" w:cs="Arial" w:eastAsia="Arial" w:hAnsi="Arial"/>
                <w:sz w:val="18"/>
                <w:szCs w:val="18"/>
                <w:color w:val="auto"/>
              </w:rPr>
              <w:t>410,835</w:t>
            </w:r>
          </w:p>
        </w:tc>
        <w:tc>
          <w:tcPr>
            <w:tcW w:w="4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39"/>
              <w:spacing w:after="0"/>
              <w:rPr>
                <w:sz w:val="20"/>
                <w:szCs w:val="20"/>
                <w:color w:val="auto"/>
              </w:rPr>
            </w:pPr>
            <w:r>
              <w:rPr>
                <w:rFonts w:ascii="Arial" w:cs="Arial" w:eastAsia="Arial" w:hAnsi="Arial"/>
                <w:sz w:val="18"/>
                <w:szCs w:val="18"/>
                <w:color w:val="auto"/>
                <w:w w:val="87"/>
              </w:rPr>
              <w:t>6,864,059</w:t>
            </w:r>
          </w:p>
        </w:tc>
        <w:tc>
          <w:tcPr>
            <w:tcW w:w="1440" w:type="dxa"/>
            <w:vAlign w:val="bottom"/>
            <w:gridSpan w:val="2"/>
          </w:tcPr>
          <w:p>
            <w:pPr>
              <w:ind w:left="400"/>
              <w:spacing w:after="0"/>
              <w:rPr>
                <w:sz w:val="20"/>
                <w:szCs w:val="20"/>
                <w:color w:val="auto"/>
              </w:rPr>
            </w:pPr>
            <w:r>
              <w:rPr>
                <w:rFonts w:ascii="Arial" w:cs="Arial" w:eastAsia="Arial" w:hAnsi="Arial"/>
                <w:sz w:val="18"/>
                <w:szCs w:val="18"/>
                <w:color w:val="auto"/>
              </w:rPr>
              <w:t>$9,476,681</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340" w:right="280" w:hanging="326"/>
        <w:spacing w:after="0" w:line="277" w:lineRule="auto"/>
        <w:tabs>
          <w:tab w:leader="none" w:pos="3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the closing market price of the purchased shares as quoted on the Nasdaq National Market on the exercise date less the option exercise price paid for those shares.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189" w:lineRule="exact"/>
        <w:rPr>
          <w:sz w:val="20"/>
          <w:szCs w:val="20"/>
          <w:color w:val="auto"/>
        </w:rPr>
      </w:pPr>
    </w:p>
    <w:p>
      <w:pPr>
        <w:ind w:right="180" w:firstLine="222"/>
        <w:spacing w:after="0" w:line="259" w:lineRule="auto"/>
        <w:rPr>
          <w:sz w:val="20"/>
          <w:szCs w:val="20"/>
          <w:color w:val="auto"/>
        </w:rPr>
      </w:pPr>
      <w:r>
        <w:rPr>
          <w:rFonts w:ascii="Arial" w:cs="Arial" w:eastAsia="Arial" w:hAnsi="Arial"/>
          <w:sz w:val="18"/>
          <w:szCs w:val="18"/>
          <w:color w:val="auto"/>
        </w:rPr>
        <w:t>The Company does not have any employment agreements with any of its executive officers. The Company does not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56" w:lineRule="exact"/>
        <w:rPr>
          <w:sz w:val="20"/>
          <w:szCs w:val="20"/>
          <w:color w:val="auto"/>
        </w:rPr>
      </w:pPr>
    </w:p>
    <w:p>
      <w:pPr>
        <w:ind w:right="80" w:firstLine="225"/>
        <w:spacing w:after="0" w:line="258" w:lineRule="auto"/>
        <w:rPr>
          <w:sz w:val="20"/>
          <w:szCs w:val="20"/>
          <w:color w:val="auto"/>
        </w:rPr>
      </w:pPr>
      <w:r>
        <w:rPr>
          <w:rFonts w:ascii="Arial" w:cs="Arial" w:eastAsia="Arial" w:hAnsi="Arial"/>
          <w:sz w:val="18"/>
          <w:szCs w:val="18"/>
          <w:b w:val="1"/>
          <w:bCs w:val="1"/>
          <w:color w:val="auto"/>
        </w:rPr>
        <w:t>The Report of the Executive Compensation Committee, the Report of the Audit Committee and the Stock Price Performance Graph that appear immediately below shall not be deemed to be “soliciting material” or to be “filed” with the Securities and Exchange Commission, nor shall it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143" w:lineRule="exact"/>
        <w:rPr>
          <w:sz w:val="20"/>
          <w:szCs w:val="20"/>
          <w:color w:val="auto"/>
        </w:rPr>
      </w:pPr>
    </w:p>
    <w:p>
      <w:pPr>
        <w:ind w:right="1780" w:firstLine="1775"/>
        <w:spacing w:after="0" w:line="464" w:lineRule="auto"/>
        <w:rPr>
          <w:sz w:val="20"/>
          <w:szCs w:val="20"/>
          <w:color w:val="auto"/>
        </w:rPr>
      </w:pPr>
      <w:r>
        <w:rPr>
          <w:rFonts w:ascii="Arial" w:cs="Arial" w:eastAsia="Arial" w:hAnsi="Arial"/>
          <w:sz w:val="18"/>
          <w:szCs w:val="18"/>
          <w:b w:val="1"/>
          <w:bCs w:val="1"/>
          <w:color w:val="auto"/>
        </w:rPr>
        <w:t xml:space="preserve">JOINT REPORT OF THE EXECUTIVE COMPENSATION AND STOCK OPTION COMMITTEES </w:t>
      </w:r>
      <w:r>
        <w:rPr>
          <w:rFonts w:ascii="Arial" w:cs="Arial" w:eastAsia="Arial" w:hAnsi="Arial"/>
          <w:sz w:val="18"/>
          <w:szCs w:val="18"/>
          <w:color w:val="auto"/>
        </w:rPr>
        <w:t>To: The Board of Directors</w:t>
      </w:r>
    </w:p>
    <w:p>
      <w:pPr>
        <w:ind w:right="20" w:firstLine="222"/>
        <w:spacing w:after="0" w:line="255" w:lineRule="auto"/>
        <w:rPr>
          <w:sz w:val="20"/>
          <w:szCs w:val="20"/>
          <w:color w:val="auto"/>
        </w:rPr>
      </w:pPr>
      <w:r>
        <w:rPr>
          <w:rFonts w:ascii="Arial" w:cs="Arial" w:eastAsia="Arial" w:hAnsi="Arial"/>
          <w:sz w:val="18"/>
          <w:szCs w:val="18"/>
          <w:color w:val="auto"/>
        </w:rPr>
        <w:t>The responsibility of the Executive Compensation Committee is to oversee compensation practices, levels and components for the Company’s President and Chief Executive Officer, Executive Vice President, Vice President and Chief Financial Officer and Chief Technology Officer (collectively, the Company’s executive officers). The Stock Option Committee administers the Company’s option plans and is solely responsible for awarding stock option grants to all of the Company’s eligible employees, and also recommends compensation and stock option grants to the Executive Compensation Committee with respect to the Vice President of Finance and Chief Financial Officer. The Executive Compensation Committee met once in fiscal year 2004 to determine compensation packages for the Company’s executive officers. The Stock Option Committee met nine times throughout fiscal year 2004 to determine stock option grants for the Company’s eligible employees.</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Overall Executive Officer Compensation Philosophy</w:t>
      </w:r>
    </w:p>
    <w:p>
      <w:pPr>
        <w:spacing w:after="0" w:line="189" w:lineRule="exact"/>
        <w:rPr>
          <w:sz w:val="20"/>
          <w:szCs w:val="20"/>
          <w:color w:val="auto"/>
        </w:rPr>
      </w:pPr>
    </w:p>
    <w:p>
      <w:pPr>
        <w:ind w:right="260" w:firstLine="222"/>
        <w:spacing w:after="0" w:line="277" w:lineRule="auto"/>
        <w:rPr>
          <w:sz w:val="20"/>
          <w:szCs w:val="20"/>
          <w:color w:val="auto"/>
        </w:rPr>
      </w:pPr>
      <w:r>
        <w:rPr>
          <w:rFonts w:ascii="Arial" w:cs="Arial" w:eastAsia="Arial" w:hAnsi="Arial"/>
          <w:sz w:val="18"/>
          <w:szCs w:val="18"/>
          <w:color w:val="auto"/>
        </w:rPr>
        <w:t>The Committees believe that the compensation programs for the Company’s executive officers should reflect the Company’s performance and the value created for our shareholders by such persons’ efforts. In addition, the compensation</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0"/>
        <w:spacing w:after="0" w:line="308" w:lineRule="auto"/>
        <w:rPr>
          <w:sz w:val="20"/>
          <w:szCs w:val="20"/>
          <w:color w:val="auto"/>
        </w:rPr>
      </w:pPr>
      <w:r>
        <w:rPr>
          <w:rFonts w:ascii="Arial" w:cs="Arial" w:eastAsia="Arial" w:hAnsi="Arial"/>
          <w:sz w:val="17"/>
          <w:szCs w:val="17"/>
          <w:color w:val="auto"/>
        </w:rPr>
        <w:t>programs should support the short-term and long-term strategic goals and values of the Company, should reward individual contributions to the Company’s success and should reflect comparable market salaries for similar officers of comparable companies within the Company’s industry.</w:t>
      </w:r>
    </w:p>
    <w:p>
      <w:pPr>
        <w:spacing w:after="0" w:line="120" w:lineRule="exact"/>
        <w:rPr>
          <w:sz w:val="20"/>
          <w:szCs w:val="20"/>
          <w:color w:val="auto"/>
        </w:rPr>
      </w:pPr>
    </w:p>
    <w:p>
      <w:pPr>
        <w:ind w:right="220" w:firstLine="222"/>
        <w:spacing w:after="0" w:line="257" w:lineRule="auto"/>
        <w:rPr>
          <w:sz w:val="20"/>
          <w:szCs w:val="20"/>
          <w:color w:val="auto"/>
        </w:rPr>
      </w:pPr>
      <w:r>
        <w:rPr>
          <w:rFonts w:ascii="Arial" w:cs="Arial" w:eastAsia="Arial" w:hAnsi="Arial"/>
          <w:sz w:val="18"/>
          <w:szCs w:val="18"/>
          <w:color w:val="auto"/>
        </w:rPr>
        <w:t>The policy for the Executive Compensation Committee is to provide these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one or all of the following three elements: (i) a base salary; (ii) long-term incentives through the award of stock options under the Company’s stock option plans; and (iii) an additional discretionary award in the form of cash, options or both cash and options.</w:t>
      </w:r>
    </w:p>
    <w:p>
      <w:pPr>
        <w:spacing w:after="0" w:line="148" w:lineRule="exact"/>
        <w:rPr>
          <w:sz w:val="20"/>
          <w:szCs w:val="20"/>
          <w:color w:val="auto"/>
        </w:rPr>
      </w:pPr>
    </w:p>
    <w:p>
      <w:pPr>
        <w:jc w:val="both"/>
        <w:ind w:right="120" w:firstLine="225"/>
        <w:spacing w:after="0" w:line="264" w:lineRule="auto"/>
        <w:rPr>
          <w:sz w:val="20"/>
          <w:szCs w:val="20"/>
          <w:color w:val="auto"/>
        </w:rPr>
      </w:pPr>
      <w:r>
        <w:rPr>
          <w:rFonts w:ascii="Arial" w:cs="Arial" w:eastAsia="Arial" w:hAnsi="Arial"/>
          <w:sz w:val="18"/>
          <w:szCs w:val="18"/>
          <w:color w:val="auto"/>
        </w:rPr>
        <w:t>For fiscal year 2004, the compensation package of Dr. Sehat Sutardja, Ms. Weili Dai, Dr. Pantas Sutardja and George Hervey each consisted of: (i) a base salary; and (ii) an award of stock options under the Company’s stock option plans. In addition, Dr. Sehat Sutardja and Dr. Pantas Sutardja received $21,750 and $18,000, respectively, pursuant to the Company’s Patent Award Program.</w:t>
      </w:r>
    </w:p>
    <w:p>
      <w:pPr>
        <w:spacing w:after="0" w:line="141" w:lineRule="exact"/>
        <w:rPr>
          <w:sz w:val="20"/>
          <w:szCs w:val="20"/>
          <w:color w:val="auto"/>
        </w:rPr>
      </w:pPr>
    </w:p>
    <w:p>
      <w:pPr>
        <w:ind w:right="20" w:firstLine="222"/>
        <w:spacing w:after="0" w:line="273" w:lineRule="auto"/>
        <w:rPr>
          <w:sz w:val="20"/>
          <w:szCs w:val="20"/>
          <w:color w:val="auto"/>
        </w:rPr>
      </w:pPr>
      <w:r>
        <w:rPr>
          <w:rFonts w:ascii="Arial" w:cs="Arial" w:eastAsia="Arial" w:hAnsi="Arial"/>
          <w:sz w:val="17"/>
          <w:szCs w:val="17"/>
          <w:color w:val="auto"/>
        </w:rPr>
        <w:t>The Company and the Committees currently do not endorse employment contracts and, therefore, none of the current executive officers of the Company is a party to an employment contract. Marvell generally intends to qualify executive compensation for deductibility without limitation under section 162(m) of the Internal Revenue Code. Section 162(m) provides that, for purposes of regular income tax and the alternative minimum tax, the otherwise allowable deduction for compensation paid or accrued with respect to a covered employee of a publicly-traded company (other than certain exempt performance-based compensation) is limited to no more than $1.0 million per year. Marvell does not expect that the non-exempt compensation to be paid to any of its executive officers for the last fiscal year as calculated for purposes of section 162(m) will exceed the $1.0 million limit.</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Salary and Incentive Compensation Program</w:t>
      </w:r>
    </w:p>
    <w:p>
      <w:pPr>
        <w:spacing w:after="0" w:line="189" w:lineRule="exact"/>
        <w:rPr>
          <w:sz w:val="20"/>
          <w:szCs w:val="20"/>
          <w:color w:val="auto"/>
        </w:rPr>
      </w:pPr>
    </w:p>
    <w:p>
      <w:pPr>
        <w:ind w:right="320" w:firstLine="222"/>
        <w:spacing w:after="0" w:line="264" w:lineRule="auto"/>
        <w:rPr>
          <w:sz w:val="20"/>
          <w:szCs w:val="20"/>
          <w:color w:val="auto"/>
        </w:rPr>
      </w:pPr>
      <w:r>
        <w:rPr>
          <w:rFonts w:ascii="Arial" w:cs="Arial" w:eastAsia="Arial" w:hAnsi="Arial"/>
          <w:sz w:val="18"/>
          <w:szCs w:val="18"/>
          <w:color w:val="auto"/>
        </w:rPr>
        <w:t>The principal factors that the Committees took into account in establishing compensation packages for the 2004 fiscal year are described below. Either Committee may, however, in its discretion apply entirely different factors, such as different measures of financial performance, or create different compensation elements, in future fiscal years.</w:t>
      </w:r>
    </w:p>
    <w:p>
      <w:pPr>
        <w:spacing w:after="0" w:line="141" w:lineRule="exact"/>
        <w:rPr>
          <w:sz w:val="20"/>
          <w:szCs w:val="20"/>
          <w:color w:val="auto"/>
        </w:rPr>
      </w:pPr>
    </w:p>
    <w:p>
      <w:pPr>
        <w:ind w:right="80" w:firstLine="225"/>
        <w:spacing w:after="0" w:line="259" w:lineRule="auto"/>
        <w:rPr>
          <w:sz w:val="20"/>
          <w:szCs w:val="20"/>
          <w:color w:val="auto"/>
        </w:rPr>
      </w:pPr>
      <w:r>
        <w:rPr>
          <w:rFonts w:ascii="Arial" w:cs="Arial" w:eastAsia="Arial" w:hAnsi="Arial"/>
          <w:sz w:val="18"/>
          <w:szCs w:val="18"/>
          <w:i w:val="1"/>
          <w:iCs w:val="1"/>
          <w:color w:val="auto"/>
        </w:rPr>
        <w:t>Base Salaries</w:t>
      </w:r>
      <w:r>
        <w:rPr>
          <w:rFonts w:ascii="Arial" w:cs="Arial" w:eastAsia="Arial" w:hAnsi="Arial"/>
          <w:sz w:val="18"/>
          <w:szCs w:val="18"/>
          <w:color w:val="auto"/>
        </w:rPr>
        <w:t>. The base salary for each executive officer was generally established by the Executive Compensation Committee on the basis of the</w:t>
      </w:r>
      <w:r>
        <w:rPr>
          <w:rFonts w:ascii="Arial" w:cs="Arial" w:eastAsia="Arial" w:hAnsi="Arial"/>
          <w:sz w:val="18"/>
          <w:szCs w:val="18"/>
          <w:i w:val="1"/>
          <w:iCs w:val="1"/>
          <w:color w:val="auto"/>
        </w:rPr>
        <w:t xml:space="preserve"> </w:t>
      </w:r>
      <w:r>
        <w:rPr>
          <w:rFonts w:ascii="Arial" w:cs="Arial" w:eastAsia="Arial" w:hAnsi="Arial"/>
          <w:sz w:val="18"/>
          <w:szCs w:val="18"/>
          <w:color w:val="auto"/>
        </w:rPr>
        <w:t>individual’s level of responsibility and performance, as well as market information and the salaries paid to executive officers of comparable companies in the Company’s industry. The President and Chief Executive Officer is involved in recommending the amount of base salary and stock option awards for the Vice President of Finance and Chief Financial Officer.</w:t>
      </w:r>
    </w:p>
    <w:p>
      <w:pPr>
        <w:spacing w:after="0" w:line="160" w:lineRule="exact"/>
        <w:rPr>
          <w:sz w:val="20"/>
          <w:szCs w:val="20"/>
          <w:color w:val="auto"/>
        </w:rPr>
      </w:pPr>
    </w:p>
    <w:p>
      <w:pPr>
        <w:ind w:firstLine="225"/>
        <w:spacing w:after="0" w:line="286" w:lineRule="auto"/>
        <w:rPr>
          <w:sz w:val="20"/>
          <w:szCs w:val="20"/>
          <w:color w:val="auto"/>
        </w:rPr>
      </w:pPr>
      <w:r>
        <w:rPr>
          <w:rFonts w:ascii="Arial" w:cs="Arial" w:eastAsia="Arial" w:hAnsi="Arial"/>
          <w:sz w:val="16"/>
          <w:szCs w:val="16"/>
          <w:i w:val="1"/>
          <w:iCs w:val="1"/>
          <w:color w:val="auto"/>
        </w:rPr>
        <w:t>Stock Option Grants</w:t>
      </w:r>
      <w:r>
        <w:rPr>
          <w:rFonts w:ascii="Arial" w:cs="Arial" w:eastAsia="Arial" w:hAnsi="Arial"/>
          <w:sz w:val="16"/>
          <w:szCs w:val="16"/>
          <w:color w:val="auto"/>
        </w:rPr>
        <w:t>. In fiscal year 2004, the Company did not offer a long-term cash incentive plan to the executive officers. Stock options are granted to</w:t>
      </w:r>
      <w:r>
        <w:rPr>
          <w:rFonts w:ascii="Arial" w:cs="Arial" w:eastAsia="Arial" w:hAnsi="Arial"/>
          <w:sz w:val="16"/>
          <w:szCs w:val="16"/>
          <w:i w:val="1"/>
          <w:iCs w:val="1"/>
          <w:color w:val="auto"/>
        </w:rPr>
        <w:t xml:space="preserve"> </w:t>
      </w:r>
      <w:r>
        <w:rPr>
          <w:rFonts w:ascii="Arial" w:cs="Arial" w:eastAsia="Arial" w:hAnsi="Arial"/>
          <w:sz w:val="16"/>
          <w:szCs w:val="16"/>
          <w:color w:val="auto"/>
        </w:rPr>
        <w:t>reward the executive officers on a long-term basis and to align the interests of the executive officers with those of its shareholders. Stock options may be granted by the Executive Compensation Committee to the Company’s executive officers and the Stock Option Committee may grant other employees stock options under the Company’s Amended and Restated 1995 Stock Option Plan. Because of the direct relationship between the value of an option and the stock price, both the Executive Compensation and Stock Option Committees believe that options motivate those executive officers and employees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and employees in a competitive job market by providing significant long-term earnings potential. To this end, stock options generally vest and become fully exercisable over a period of years. Initial option grants typically vest as follows: 20% of the total shares underlying the option vest on the first anniversary of the vesting commencement date and 1.67% of the total shares vest on the monthly anniversary of the vesting commencement date thereafter. Options have an exercise price equal to the fair market value of a share of the Company’s common stock on the grant date thereof. The principal factors considered in granting stock options to executive officers of the Company are the executive officer’s prior performance, prior stock option grants, level of responsibility and other compensation, the executive officer’s ability to influence the Company’s long-term growth and profitability and comparison with comparable awards granted to similar officers in comparable companies in the Company’s industry.</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the President and CEO</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7"/>
          <w:szCs w:val="17"/>
          <w:color w:val="auto"/>
        </w:rPr>
        <w:t>During fiscal year 2004, the Executive Compensation Committee did not reset the base salary of Dr. Sehat Sutardja from its fiscal year 2003 level of</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$500,000. Dr. Sutardja’s base salary was not reset because the Executive Compensation Committee believes this base salary is at a level that approximates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median of base salary level for the chief executive officers of those companies with which the Company competes for executive talent. In fiscal year 2004,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Executive Compensation Committee granted Dr. Sehat Sutardja options to purchase 1,500,000 shares of the Company’s Common Stock. In determining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size of this grant, the Executive Compensation Committee considered prior stock option grants to Dr. Sutardja by the Company and the stock option awards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granted to chief executive officers of comparable companies in the Company’s industry.</w:t>
      </w:r>
    </w:p>
    <w:p>
      <w:pPr>
        <w:spacing w:after="0" w:line="170" w:lineRule="exact"/>
        <w:rPr>
          <w:sz w:val="20"/>
          <w:szCs w:val="20"/>
          <w:color w:val="auto"/>
        </w:rPr>
      </w:pPr>
    </w:p>
    <w:p>
      <w:pPr>
        <w:jc w:val="both"/>
        <w:ind w:right="460" w:firstLine="225"/>
        <w:spacing w:after="0" w:line="286" w:lineRule="auto"/>
        <w:rPr>
          <w:sz w:val="20"/>
          <w:szCs w:val="20"/>
          <w:color w:val="auto"/>
        </w:rPr>
      </w:pPr>
      <w:r>
        <w:rPr>
          <w:rFonts w:ascii="Arial" w:cs="Arial" w:eastAsia="Arial" w:hAnsi="Arial"/>
          <w:sz w:val="17"/>
          <w:szCs w:val="17"/>
          <w:color w:val="auto"/>
        </w:rPr>
        <w:t>It is the opinion of the Committees that each of their respective compensation policies and plans provide the necessary total remuneration program to properly align the interests of the executive officers, the employees and the interests of the Company’s shareholders through the use of competitive and equitable executive compensation in a balanced and reasonable manner, for both the short and long-term.</w:t>
      </w:r>
    </w:p>
    <w:p>
      <w:pPr>
        <w:spacing w:after="0" w:line="125" w:lineRule="exact"/>
        <w:rPr>
          <w:sz w:val="20"/>
          <w:szCs w:val="20"/>
          <w:color w:val="auto"/>
        </w:rPr>
      </w:pPr>
    </w:p>
    <w:p>
      <w:pPr>
        <w:ind w:left="240"/>
        <w:spacing w:after="0"/>
        <w:rPr>
          <w:sz w:val="20"/>
          <w:szCs w:val="20"/>
          <w:color w:val="auto"/>
        </w:rPr>
      </w:pPr>
      <w:r>
        <w:rPr>
          <w:rFonts w:ascii="Arial" w:cs="Arial" w:eastAsia="Arial" w:hAnsi="Arial"/>
          <w:sz w:val="18"/>
          <w:szCs w:val="18"/>
          <w:color w:val="auto"/>
        </w:rPr>
        <w:t>Jointly submitted by the Executive Compensation and Stock Option Committees of the Company’s Board of Directors: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March 31, 2004</w:t>
      </w: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340" w:type="dxa"/>
            <w:vAlign w:val="bottom"/>
          </w:tcPr>
          <w:p>
            <w:pPr>
              <w:jc w:val="center"/>
              <w:ind w:left="890"/>
              <w:spacing w:after="0"/>
              <w:rPr>
                <w:sz w:val="20"/>
                <w:szCs w:val="20"/>
                <w:color w:val="auto"/>
              </w:rPr>
            </w:pPr>
            <w:r>
              <w:rPr>
                <w:rFonts w:ascii="Arial" w:cs="Arial" w:eastAsia="Arial" w:hAnsi="Arial"/>
                <w:sz w:val="18"/>
                <w:szCs w:val="18"/>
                <w:b w:val="1"/>
                <w:bCs w:val="1"/>
                <w:color w:val="auto"/>
              </w:rPr>
              <w:t>EXECUTIVE COMPENSATION COMMITTEE</w:t>
            </w:r>
          </w:p>
        </w:tc>
        <w:tc>
          <w:tcPr>
            <w:tcW w:w="6080" w:type="dxa"/>
            <w:vAlign w:val="bottom"/>
          </w:tcPr>
          <w:p>
            <w:pPr>
              <w:jc w:val="center"/>
              <w:ind w:right="170"/>
              <w:spacing w:after="0"/>
              <w:rPr>
                <w:sz w:val="20"/>
                <w:szCs w:val="20"/>
                <w:color w:val="auto"/>
              </w:rPr>
            </w:pPr>
            <w:r>
              <w:rPr>
                <w:rFonts w:ascii="Arial" w:cs="Arial" w:eastAsia="Arial" w:hAnsi="Arial"/>
                <w:sz w:val="18"/>
                <w:szCs w:val="18"/>
                <w:b w:val="1"/>
                <w:bCs w:val="1"/>
                <w:color w:val="auto"/>
              </w:rPr>
              <w:t>STOCK OPTION COMMITTEE</w:t>
            </w:r>
          </w:p>
        </w:tc>
      </w:tr>
      <w:tr>
        <w:trPr>
          <w:trHeight w:val="216"/>
        </w:trPr>
        <w:tc>
          <w:tcPr>
            <w:tcW w:w="5340" w:type="dxa"/>
            <w:vAlign w:val="bottom"/>
          </w:tcPr>
          <w:p>
            <w:pPr>
              <w:jc w:val="center"/>
              <w:ind w:left="910"/>
              <w:spacing w:after="0"/>
              <w:rPr>
                <w:sz w:val="20"/>
                <w:szCs w:val="20"/>
                <w:color w:val="auto"/>
              </w:rPr>
            </w:pPr>
            <w:r>
              <w:rPr>
                <w:rFonts w:ascii="Arial" w:cs="Arial" w:eastAsia="Arial" w:hAnsi="Arial"/>
                <w:sz w:val="18"/>
                <w:szCs w:val="18"/>
                <w:color w:val="auto"/>
                <w:w w:val="93"/>
              </w:rPr>
              <w:t>Dr. John M. Cioffi, Ph.D.</w:t>
            </w:r>
          </w:p>
        </w:tc>
        <w:tc>
          <w:tcPr>
            <w:tcW w:w="6080" w:type="dxa"/>
            <w:vAlign w:val="bottom"/>
          </w:tcPr>
          <w:p>
            <w:pPr>
              <w:jc w:val="center"/>
              <w:ind w:right="170"/>
              <w:spacing w:after="0"/>
              <w:rPr>
                <w:sz w:val="20"/>
                <w:szCs w:val="20"/>
                <w:color w:val="auto"/>
              </w:rPr>
            </w:pPr>
            <w:r>
              <w:rPr>
                <w:rFonts w:ascii="Arial" w:cs="Arial" w:eastAsia="Arial" w:hAnsi="Arial"/>
                <w:sz w:val="18"/>
                <w:szCs w:val="18"/>
                <w:color w:val="auto"/>
                <w:w w:val="89"/>
              </w:rPr>
              <w:t>Dr. Sehat Sutardja, Ph.D.</w:t>
            </w:r>
          </w:p>
        </w:tc>
      </w:tr>
      <w:tr>
        <w:trPr>
          <w:trHeight w:val="216"/>
        </w:trPr>
        <w:tc>
          <w:tcPr>
            <w:tcW w:w="5340" w:type="dxa"/>
            <w:vAlign w:val="bottom"/>
          </w:tcPr>
          <w:p>
            <w:pPr>
              <w:jc w:val="center"/>
              <w:ind w:left="910"/>
              <w:spacing w:after="0"/>
              <w:rPr>
                <w:sz w:val="20"/>
                <w:szCs w:val="20"/>
                <w:color w:val="auto"/>
              </w:rPr>
            </w:pPr>
            <w:r>
              <w:rPr>
                <w:rFonts w:ascii="Arial" w:cs="Arial" w:eastAsia="Arial" w:hAnsi="Arial"/>
                <w:sz w:val="18"/>
                <w:szCs w:val="18"/>
                <w:color w:val="auto"/>
                <w:w w:val="91"/>
              </w:rPr>
              <w:t>Kuo Wei (Herbert) Chang</w:t>
            </w:r>
          </w:p>
        </w:tc>
        <w:tc>
          <w:tcPr>
            <w:tcW w:w="6080" w:type="dxa"/>
            <w:vAlign w:val="bottom"/>
          </w:tcPr>
          <w:p>
            <w:pPr>
              <w:jc w:val="center"/>
              <w:ind w:right="170"/>
              <w:spacing w:after="0"/>
              <w:rPr>
                <w:sz w:val="20"/>
                <w:szCs w:val="20"/>
                <w:color w:val="auto"/>
              </w:rPr>
            </w:pPr>
            <w:r>
              <w:rPr>
                <w:rFonts w:ascii="Arial" w:cs="Arial" w:eastAsia="Arial" w:hAnsi="Arial"/>
                <w:sz w:val="18"/>
                <w:szCs w:val="18"/>
                <w:color w:val="auto"/>
                <w:w w:val="98"/>
              </w:rPr>
              <w:t>Weili Dai</w:t>
            </w:r>
          </w:p>
        </w:tc>
      </w:tr>
      <w:tr>
        <w:trPr>
          <w:trHeight w:val="230"/>
        </w:trPr>
        <w:tc>
          <w:tcPr>
            <w:tcW w:w="5340" w:type="dxa"/>
            <w:vAlign w:val="bottom"/>
          </w:tcPr>
          <w:p>
            <w:pPr>
              <w:jc w:val="center"/>
              <w:ind w:left="910"/>
              <w:spacing w:after="0"/>
              <w:rPr>
                <w:sz w:val="20"/>
                <w:szCs w:val="20"/>
                <w:color w:val="auto"/>
              </w:rPr>
            </w:pPr>
            <w:r>
              <w:rPr>
                <w:rFonts w:ascii="Arial" w:cs="Arial" w:eastAsia="Arial" w:hAnsi="Arial"/>
                <w:sz w:val="18"/>
                <w:szCs w:val="18"/>
                <w:color w:val="auto"/>
                <w:w w:val="90"/>
              </w:rPr>
              <w:t>Dr. Paul R. Gray, Ph.D.</w:t>
            </w:r>
          </w:p>
        </w:tc>
        <w:tc>
          <w:tcPr>
            <w:tcW w:w="6080" w:type="dxa"/>
            <w:vAlign w:val="bottom"/>
          </w:tcPr>
          <w:p>
            <w:pPr>
              <w:spacing w:after="0"/>
              <w:rPr>
                <w:sz w:val="20"/>
                <w:szCs w:val="20"/>
                <w:color w:val="auto"/>
              </w:rPr>
            </w:pPr>
          </w:p>
        </w:tc>
      </w:tr>
      <w:tr>
        <w:trPr>
          <w:trHeight w:val="392"/>
        </w:trPr>
        <w:tc>
          <w:tcPr>
            <w:tcW w:w="5340" w:type="dxa"/>
            <w:vAlign w:val="bottom"/>
          </w:tcPr>
          <w:p>
            <w:pPr>
              <w:spacing w:after="0"/>
              <w:rPr>
                <w:sz w:val="24"/>
                <w:szCs w:val="24"/>
                <w:color w:val="auto"/>
              </w:rPr>
            </w:pPr>
          </w:p>
        </w:tc>
        <w:tc>
          <w:tcPr>
            <w:tcW w:w="6080" w:type="dxa"/>
            <w:vAlign w:val="bottom"/>
          </w:tcPr>
          <w:p>
            <w:pPr>
              <w:jc w:val="right"/>
              <w:ind w:right="5530"/>
              <w:spacing w:after="0"/>
              <w:rPr>
                <w:sz w:val="20"/>
                <w:szCs w:val="20"/>
                <w:color w:val="auto"/>
              </w:rPr>
            </w:pPr>
            <w:r>
              <w:rPr>
                <w:rFonts w:ascii="Arial" w:cs="Arial" w:eastAsia="Arial" w:hAnsi="Arial"/>
                <w:sz w:val="18"/>
                <w:szCs w:val="18"/>
                <w:color w:val="auto"/>
              </w:rPr>
              <w:t>19</w:t>
            </w:r>
          </w:p>
        </w:tc>
      </w:tr>
      <w:tr>
        <w:trPr>
          <w:trHeight w:val="226"/>
        </w:trPr>
        <w:tc>
          <w:tcPr>
            <w:tcW w:w="5340" w:type="dxa"/>
            <w:vAlign w:val="bottom"/>
            <w:tcBorders>
              <w:bottom w:val="single" w:sz="8" w:color="808080"/>
            </w:tcBorders>
          </w:tcPr>
          <w:p>
            <w:pPr>
              <w:spacing w:after="0"/>
              <w:rPr>
                <w:sz w:val="19"/>
                <w:szCs w:val="19"/>
                <w:color w:val="auto"/>
              </w:rPr>
            </w:pPr>
          </w:p>
        </w:tc>
        <w:tc>
          <w:tcPr>
            <w:tcW w:w="60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REPORT OF THE AUDIT COMMITTEE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185" w:lineRule="exact"/>
        <w:rPr>
          <w:sz w:val="20"/>
          <w:szCs w:val="20"/>
          <w:color w:val="auto"/>
        </w:rPr>
      </w:pPr>
    </w:p>
    <w:p>
      <w:pPr>
        <w:jc w:val="both"/>
        <w:ind w:right="20" w:firstLine="215"/>
        <w:spacing w:after="0" w:line="286" w:lineRule="auto"/>
        <w:rPr>
          <w:sz w:val="20"/>
          <w:szCs w:val="20"/>
          <w:color w:val="auto"/>
        </w:rPr>
      </w:pPr>
      <w:r>
        <w:rPr>
          <w:rFonts w:ascii="Arial" w:cs="Arial" w:eastAsia="Arial" w:hAnsi="Arial"/>
          <w:sz w:val="17"/>
          <w:szCs w:val="17"/>
          <w:color w:val="auto"/>
        </w:rPr>
        <w:t>As members of the Audit Committee for the 2004 fiscal year, we assist the Board of Directors in discharging its responsibilities relating to the oversight of the accounting, reporting, internal controls, financial practices and audit activities of the Company and its subsidiaries. The Board of Directors has determined that each member of the Audit Committee is an independent director as defined under the rules of The Nasdaq Stock Market.</w:t>
      </w:r>
    </w:p>
    <w:p>
      <w:pPr>
        <w:spacing w:after="0" w:line="125" w:lineRule="exact"/>
        <w:rPr>
          <w:sz w:val="20"/>
          <w:szCs w:val="20"/>
          <w:color w:val="auto"/>
        </w:rPr>
      </w:pPr>
    </w:p>
    <w:p>
      <w:pPr>
        <w:ind w:right="40" w:firstLine="215"/>
        <w:spacing w:after="0" w:line="255" w:lineRule="auto"/>
        <w:rPr>
          <w:sz w:val="20"/>
          <w:szCs w:val="20"/>
          <w:color w:val="auto"/>
        </w:rPr>
      </w:pPr>
      <w:r>
        <w:rPr>
          <w:rFonts w:ascii="Arial" w:cs="Arial" w:eastAsia="Arial" w:hAnsi="Arial"/>
          <w:sz w:val="18"/>
          <w:szCs w:val="18"/>
          <w:color w:val="auto"/>
        </w:rPr>
        <w:t>A copy of the Company’s 2004 amended and restated Audit Committee Charter is attached as an appendix to the Company’s 2004 proxy statement filed in connection with the Company’s 2004 Annual General Meeting of Shareholders. In fulfilling its oversight role, the Audit Committee has reviewed and discussed with management and the independent auditors the audited financial statements of the Company. It is not the duty of the Audit Committee to plan or conduct audits or to determine that the financial statements are complete and accurate and in accordance with generally accepted accounting principles. Management has the primary responsibility for the financial statements and the reporting process of the Company. PricewaterhouseCoopers LLP, the Company’s independent auditors, are responsible for expressing an opinion on the conformity of the Company’s audited financial statements to generally accepted accounting principles.</w:t>
      </w:r>
    </w:p>
    <w:p>
      <w:pPr>
        <w:spacing w:after="0" w:line="162" w:lineRule="exact"/>
        <w:rPr>
          <w:sz w:val="20"/>
          <w:szCs w:val="20"/>
          <w:color w:val="auto"/>
        </w:rPr>
      </w:pPr>
    </w:p>
    <w:p>
      <w:pPr>
        <w:ind w:right="40" w:firstLine="222"/>
        <w:spacing w:after="0" w:line="273" w:lineRule="auto"/>
        <w:rPr>
          <w:sz w:val="20"/>
          <w:szCs w:val="20"/>
          <w:color w:val="auto"/>
        </w:rPr>
      </w:pPr>
      <w:r>
        <w:rPr>
          <w:rFonts w:ascii="Arial" w:cs="Arial" w:eastAsia="Arial" w:hAnsi="Arial"/>
          <w:sz w:val="17"/>
          <w:szCs w:val="17"/>
          <w:color w:val="auto"/>
        </w:rPr>
        <w:t>The Audit Committee has met privately with PricewaterhouseCoopers and discussed with PricewaterhouseCoopers the matters required to be discussed by Statements on Auditing Standards No. 61 and No. 90 (Communication with Audit Committees). In addition, PricewaterhouseCoopers has provided to the Audit Committee the written disclosures and the letter required by Independence Standards Board Standard No. 1 (Independence Discussions with Audit Committees) and the Audit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138" w:lineRule="exact"/>
        <w:rPr>
          <w:sz w:val="20"/>
          <w:szCs w:val="20"/>
          <w:color w:val="auto"/>
        </w:rPr>
      </w:pPr>
    </w:p>
    <w:p>
      <w:pPr>
        <w:ind w:firstLine="225"/>
        <w:spacing w:after="0" w:line="279" w:lineRule="auto"/>
        <w:rPr>
          <w:sz w:val="20"/>
          <w:szCs w:val="20"/>
          <w:color w:val="auto"/>
        </w:rPr>
      </w:pPr>
      <w:r>
        <w:rPr>
          <w:rFonts w:ascii="Arial" w:cs="Arial" w:eastAsia="Arial" w:hAnsi="Arial"/>
          <w:sz w:val="17"/>
          <w:szCs w:val="17"/>
          <w:color w:val="auto"/>
        </w:rPr>
        <w:t>Based on the review and discussions referred to above, the Audit Committee recommended, and the Board of Directors approved, that the audited financial statements be included in the Company’s Annual Report on Form 10-K for the year ended January 31, 2004, for filing with the Securities and Exchange Commission and that PricewaterhouseCoopers be nominated for appointment as independent auditors for the Company for fiscal 2005, subject to the approval thereof by the Company’s shareholders at the Company’s next Annual General Meeting of Shareholders.</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color w:val="auto"/>
        </w:rPr>
        <w:t>March 31, 2004</w:t>
      </w:r>
    </w:p>
    <w:p>
      <w:pPr>
        <w:spacing w:after="0" w:line="194" w:lineRule="exact"/>
        <w:rPr>
          <w:sz w:val="20"/>
          <w:szCs w:val="20"/>
          <w:color w:val="auto"/>
        </w:rPr>
      </w:pPr>
    </w:p>
    <w:p>
      <w:pPr>
        <w:ind w:left="4820"/>
        <w:spacing w:after="0"/>
        <w:rPr>
          <w:sz w:val="20"/>
          <w:szCs w:val="20"/>
          <w:color w:val="auto"/>
        </w:rPr>
      </w:pPr>
      <w:r>
        <w:rPr>
          <w:rFonts w:ascii="Arial" w:cs="Arial" w:eastAsia="Arial" w:hAnsi="Arial"/>
          <w:sz w:val="18"/>
          <w:szCs w:val="18"/>
          <w:b w:val="1"/>
          <w:bCs w:val="1"/>
          <w:color w:val="auto"/>
        </w:rPr>
        <w:t>AUDIT COMMITTEE</w:t>
      </w:r>
    </w:p>
    <w:p>
      <w:pPr>
        <w:spacing w:after="0" w:line="189"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Kuo Wei (Herbert) Chang</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Ronald D. Verdoorn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CONCERNING INDEPENDENT AUDITORS</w:t>
      </w:r>
    </w:p>
    <w:p>
      <w:pPr>
        <w:spacing w:after="0" w:line="202" w:lineRule="exact"/>
        <w:rPr>
          <w:sz w:val="20"/>
          <w:szCs w:val="20"/>
          <w:color w:val="auto"/>
        </w:rPr>
      </w:pPr>
    </w:p>
    <w:p>
      <w:pPr>
        <w:ind w:right="80" w:firstLine="225"/>
        <w:spacing w:after="0" w:line="312" w:lineRule="auto"/>
        <w:rPr>
          <w:sz w:val="20"/>
          <w:szCs w:val="20"/>
          <w:color w:val="auto"/>
        </w:rPr>
      </w:pPr>
      <w:r>
        <w:rPr>
          <w:rFonts w:ascii="Arial" w:cs="Arial" w:eastAsia="Arial" w:hAnsi="Arial"/>
          <w:sz w:val="16"/>
          <w:szCs w:val="16"/>
          <w:color w:val="auto"/>
        </w:rPr>
        <w:t>PricewaterhouseCoopers LLP, independent public accountants, have been the auditors for the financial statements of the Company for each year since the year ended January 31, 1998. Representatives of PricewaterhouseCoopers will be present at the 2004 Annual General Meeting, and they will be given an opportunity to make a statement if they desire to do so and will be available to respond to any appropriate questions from shareholders.</w:t>
      </w:r>
    </w:p>
    <w:p>
      <w:pPr>
        <w:spacing w:after="0" w:line="106" w:lineRule="exact"/>
        <w:rPr>
          <w:sz w:val="20"/>
          <w:szCs w:val="20"/>
          <w:color w:val="auto"/>
        </w:rPr>
      </w:pPr>
    </w:p>
    <w:p>
      <w:pPr>
        <w:jc w:val="both"/>
        <w:ind w:right="180" w:firstLine="225"/>
        <w:spacing w:after="0" w:line="264"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2004, the Company and its subsidiaries retained PricewaterhouseCoopers to provide various other services in fiscal 2004. The aggregate fees billed for professional services by PricewaterhouseCoopers in fiscal 2004 for these various services were:</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202" w:lineRule="exact"/>
        <w:rPr>
          <w:sz w:val="20"/>
          <w:szCs w:val="20"/>
          <w:color w:val="auto"/>
        </w:rPr>
      </w:pPr>
    </w:p>
    <w:p>
      <w:pPr>
        <w:ind w:firstLine="222"/>
        <w:spacing w:after="0" w:line="259" w:lineRule="auto"/>
        <w:rPr>
          <w:sz w:val="20"/>
          <w:szCs w:val="20"/>
          <w:color w:val="auto"/>
        </w:rPr>
      </w:pPr>
      <w:r>
        <w:rPr>
          <w:rFonts w:ascii="Arial" w:cs="Arial" w:eastAsia="Arial" w:hAnsi="Arial"/>
          <w:sz w:val="18"/>
          <w:szCs w:val="18"/>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$923,000 for fiscal 2004 and $636,000 for fiscal 2003.</w:t>
      </w:r>
    </w:p>
    <w:p>
      <w:pPr>
        <w:spacing w:after="0" w:line="1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189" w:lineRule="exact"/>
        <w:rPr>
          <w:sz w:val="20"/>
          <w:szCs w:val="20"/>
          <w:color w:val="auto"/>
        </w:rPr>
      </w:pPr>
    </w:p>
    <w:p>
      <w:pPr>
        <w:ind w:right="60" w:firstLine="222"/>
        <w:spacing w:after="0" w:line="286" w:lineRule="auto"/>
        <w:rPr>
          <w:sz w:val="20"/>
          <w:szCs w:val="20"/>
          <w:color w:val="auto"/>
        </w:rPr>
      </w:pPr>
      <w:r>
        <w:rPr>
          <w:rFonts w:ascii="Arial" w:cs="Arial" w:eastAsia="Arial" w:hAnsi="Arial"/>
          <w:sz w:val="17"/>
          <w:szCs w:val="17"/>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$181,000 for fiscal 2004 and $0 for fiscal 2003. The nature of the audit-related services included certain due diligence and accounting advice related to acquisitions.</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189" w:lineRule="exact"/>
        <w:rPr>
          <w:sz w:val="20"/>
          <w:szCs w:val="20"/>
          <w:color w:val="auto"/>
        </w:rPr>
      </w:pPr>
    </w:p>
    <w:p>
      <w:pPr>
        <w:ind w:right="20" w:firstLine="222"/>
        <w:spacing w:after="0" w:line="277"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professional services related to tax advice, tax compliance, tax planning and foreign tax matters were $182,000 for fiscal 2004 and $373,000 for fiscal 2003.</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202" w:lineRule="exact"/>
        <w:rPr>
          <w:sz w:val="20"/>
          <w:szCs w:val="20"/>
          <w:color w:val="auto"/>
        </w:rPr>
      </w:pPr>
    </w:p>
    <w:p>
      <w:pPr>
        <w:ind w:right="320" w:firstLine="222"/>
        <w:spacing w:after="0" w:line="264"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services and products other than those reported in the categories above were $10,000 for fiscal 2004 and $10,000 for fiscal 2003. The nature of the other services included subscription to an accounting, auditing and reporting library and other miscellaneous services.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of Retention of Independent Auditors</w:t>
      </w:r>
    </w:p>
    <w:p>
      <w:pPr>
        <w:spacing w:after="0" w:line="189" w:lineRule="exact"/>
        <w:rPr>
          <w:sz w:val="20"/>
          <w:szCs w:val="20"/>
          <w:color w:val="auto"/>
        </w:rPr>
      </w:pPr>
    </w:p>
    <w:p>
      <w:pPr>
        <w:ind w:firstLine="222"/>
        <w:spacing w:after="0" w:line="259" w:lineRule="auto"/>
        <w:rPr>
          <w:sz w:val="20"/>
          <w:szCs w:val="20"/>
          <w:color w:val="auto"/>
        </w:rPr>
      </w:pPr>
      <w:r>
        <w:rPr>
          <w:rFonts w:ascii="Arial" w:cs="Arial" w:eastAsia="Arial" w:hAnsi="Arial"/>
          <w:sz w:val="18"/>
          <w:szCs w:val="18"/>
          <w:color w:val="auto"/>
        </w:rPr>
        <w:t>The engagement of PricewaterhouseCoopers LLP for non-audit accounting and tax services performed for the Company is limited to those circumstances where these services are considered integral to the audit services that PricewaterhouseCoopers LLP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w:t>
      </w:r>
    </w:p>
    <w:p>
      <w:pPr>
        <w:spacing w:after="0" w:line="160" w:lineRule="exact"/>
        <w:rPr>
          <w:sz w:val="20"/>
          <w:szCs w:val="20"/>
          <w:color w:val="auto"/>
        </w:rPr>
      </w:pPr>
    </w:p>
    <w:p>
      <w:pPr>
        <w:ind w:right="60" w:firstLine="215"/>
        <w:spacing w:after="0" w:line="264" w:lineRule="auto"/>
        <w:rPr>
          <w:sz w:val="20"/>
          <w:szCs w:val="20"/>
          <w:color w:val="auto"/>
        </w:rPr>
      </w:pPr>
      <w:r>
        <w:rPr>
          <w:rFonts w:ascii="Arial" w:cs="Arial" w:eastAsia="Arial" w:hAnsi="Arial"/>
          <w:sz w:val="18"/>
          <w:szCs w:val="18"/>
          <w:color w:val="auto"/>
        </w:rPr>
        <w:t>As noted in the report of the Audit Committee at page 20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PRICE PERFORMANCE GRAPH</w:t>
      </w:r>
    </w:p>
    <w:p>
      <w:pPr>
        <w:spacing w:after="0" w:line="202" w:lineRule="exact"/>
        <w:rPr>
          <w:sz w:val="20"/>
          <w:szCs w:val="20"/>
          <w:color w:val="auto"/>
        </w:rPr>
      </w:pPr>
    </w:p>
    <w:p>
      <w:pPr>
        <w:ind w:right="60" w:firstLine="222"/>
        <w:spacing w:after="0" w:line="273" w:lineRule="auto"/>
        <w:rPr>
          <w:sz w:val="20"/>
          <w:szCs w:val="20"/>
          <w:color w:val="auto"/>
        </w:rPr>
      </w:pPr>
      <w:r>
        <w:rPr>
          <w:rFonts w:ascii="Arial" w:cs="Arial" w:eastAsia="Arial" w:hAnsi="Arial"/>
          <w:sz w:val="17"/>
          <w:szCs w:val="17"/>
          <w:color w:val="auto"/>
        </w:rPr>
        <w:t>The graph below compares the cumulative total shareholder return of the Company’s Common Stock with the cumulative total return of the S&amp;P 500 Index, the JP Morgan H&amp;Q Technology Index and the Philadelphia Semiconductor Index since June 27, 2000, when the Company’s Common Stock was first registered under the Exchange Act, through January 31, 2004. The graph assumes that $100 was invested at the time of the Company’s initial public offering on June 27, 2000 in the Company’s Common Stock and each index and that any dividends were reinvested. No cash dividends have been declared 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134"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 xml:space="preserve">COMPARISON OF 43 MONTH CUMULATIVE TOTAL RETURN* </w:t>
      </w:r>
      <w:r>
        <w:rPr>
          <w:rFonts w:ascii="Arial" w:cs="Arial" w:eastAsia="Arial" w:hAnsi="Arial"/>
          <w:sz w:val="18"/>
          <w:szCs w:val="18"/>
          <w:color w:val="auto"/>
        </w:rPr>
        <w:t>AMONG MARVELL TECHNOLOGY GROUP LTD., THE S &amp; P 500 INDEX 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1720215</wp:posOffset>
            </wp:positionH>
            <wp:positionV relativeFrom="paragraph">
              <wp:posOffset>97790</wp:posOffset>
            </wp:positionV>
            <wp:extent cx="3816350" cy="339598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3816350" cy="33959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 $100 invested on 6/27/00 in stock and SOX index or on 5/31/00 in S &amp; P index-including reinvestment of dividends.</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Copyright © 2002, Standard &amp; Poor’s, a division of The McGraw-Hill Companies, Inc. All rights reserved.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www.researchdatagroup.com/S&amp;P.htm</w:t>
      </w:r>
    </w:p>
    <w:p>
      <w:pPr>
        <w:spacing w:after="0" w:line="37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900" w:type="dxa"/>
            <w:vAlign w:val="bottom"/>
          </w:tcPr>
          <w:p>
            <w:pPr>
              <w:spacing w:after="0"/>
              <w:rPr>
                <w:sz w:val="20"/>
                <w:szCs w:val="20"/>
                <w:color w:val="auto"/>
              </w:rPr>
            </w:pPr>
            <w:r>
              <w:rPr>
                <w:rFonts w:ascii="Arial" w:cs="Arial" w:eastAsia="Arial" w:hAnsi="Arial"/>
                <w:sz w:val="14"/>
                <w:szCs w:val="14"/>
                <w:b w:val="1"/>
                <w:bCs w:val="1"/>
                <w:color w:val="auto"/>
              </w:rPr>
              <w:t>TOTAL RETURN ANALYSIS</w:t>
            </w:r>
          </w:p>
        </w:tc>
        <w:tc>
          <w:tcPr>
            <w:tcW w:w="146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6/27/00</w:t>
            </w:r>
          </w:p>
        </w:tc>
        <w:tc>
          <w:tcPr>
            <w:tcW w:w="1260" w:type="dxa"/>
            <w:vAlign w:val="bottom"/>
            <w:gridSpan w:val="2"/>
          </w:tcPr>
          <w:p>
            <w:pPr>
              <w:jc w:val="center"/>
              <w:ind w:left="374"/>
              <w:spacing w:after="0"/>
              <w:rPr>
                <w:sz w:val="20"/>
                <w:szCs w:val="20"/>
                <w:color w:val="auto"/>
              </w:rPr>
            </w:pPr>
            <w:r>
              <w:rPr>
                <w:rFonts w:ascii="Arial" w:cs="Arial" w:eastAsia="Arial" w:hAnsi="Arial"/>
                <w:sz w:val="14"/>
                <w:szCs w:val="14"/>
                <w:b w:val="1"/>
                <w:bCs w:val="1"/>
                <w:color w:val="auto"/>
                <w:w w:val="94"/>
              </w:rPr>
              <w:t>1/26/01</w:t>
            </w:r>
          </w:p>
        </w:tc>
        <w:tc>
          <w:tcPr>
            <w:tcW w:w="1260" w:type="dxa"/>
            <w:vAlign w:val="bottom"/>
            <w:gridSpan w:val="2"/>
          </w:tcPr>
          <w:p>
            <w:pPr>
              <w:jc w:val="center"/>
              <w:ind w:left="374"/>
              <w:spacing w:after="0"/>
              <w:rPr>
                <w:sz w:val="20"/>
                <w:szCs w:val="20"/>
                <w:color w:val="auto"/>
              </w:rPr>
            </w:pPr>
            <w:r>
              <w:rPr>
                <w:rFonts w:ascii="Arial" w:cs="Arial" w:eastAsia="Arial" w:hAnsi="Arial"/>
                <w:sz w:val="14"/>
                <w:szCs w:val="14"/>
                <w:b w:val="1"/>
                <w:bCs w:val="1"/>
                <w:color w:val="auto"/>
                <w:w w:val="94"/>
              </w:rPr>
              <w:t>2/02/02</w:t>
            </w:r>
          </w:p>
        </w:tc>
        <w:tc>
          <w:tcPr>
            <w:tcW w:w="1280" w:type="dxa"/>
            <w:vAlign w:val="bottom"/>
            <w:gridSpan w:val="2"/>
          </w:tcPr>
          <w:p>
            <w:pPr>
              <w:jc w:val="center"/>
              <w:ind w:left="394"/>
              <w:spacing w:after="0"/>
              <w:rPr>
                <w:sz w:val="20"/>
                <w:szCs w:val="20"/>
                <w:color w:val="auto"/>
              </w:rPr>
            </w:pPr>
            <w:r>
              <w:rPr>
                <w:rFonts w:ascii="Arial" w:cs="Arial" w:eastAsia="Arial" w:hAnsi="Arial"/>
                <w:sz w:val="14"/>
                <w:szCs w:val="14"/>
                <w:b w:val="1"/>
                <w:bCs w:val="1"/>
                <w:color w:val="auto"/>
                <w:w w:val="94"/>
              </w:rPr>
              <w:t>2/01/03</w:t>
            </w:r>
          </w:p>
        </w:tc>
        <w:tc>
          <w:tcPr>
            <w:tcW w:w="1260" w:type="dxa"/>
            <w:vAlign w:val="bottom"/>
            <w:gridSpan w:val="2"/>
          </w:tcPr>
          <w:p>
            <w:pPr>
              <w:jc w:val="center"/>
              <w:ind w:left="374"/>
              <w:spacing w:after="0"/>
              <w:rPr>
                <w:sz w:val="20"/>
                <w:szCs w:val="20"/>
                <w:color w:val="auto"/>
              </w:rPr>
            </w:pPr>
            <w:r>
              <w:rPr>
                <w:rFonts w:ascii="Arial" w:cs="Arial" w:eastAsia="Arial" w:hAnsi="Arial"/>
                <w:sz w:val="14"/>
                <w:szCs w:val="14"/>
                <w:b w:val="1"/>
                <w:bCs w:val="1"/>
                <w:color w:val="auto"/>
                <w:w w:val="94"/>
              </w:rPr>
              <w:t>1/30/04</w:t>
            </w:r>
          </w:p>
        </w:tc>
      </w:tr>
      <w:tr>
        <w:trPr>
          <w:trHeight w:val="66"/>
        </w:trPr>
        <w:tc>
          <w:tcPr>
            <w:tcW w:w="4900" w:type="dxa"/>
            <w:vAlign w:val="bottom"/>
            <w:tcBorders>
              <w:bottom w:val="single" w:sz="8" w:color="808080"/>
            </w:tcBorders>
          </w:tcPr>
          <w:p>
            <w:pPr>
              <w:spacing w:after="0"/>
              <w:rPr>
                <w:sz w:val="5"/>
                <w:szCs w:val="5"/>
                <w:color w:val="auto"/>
              </w:rPr>
            </w:pPr>
          </w:p>
        </w:tc>
        <w:tc>
          <w:tcPr>
            <w:tcW w:w="460" w:type="dxa"/>
            <w:vAlign w:val="bottom"/>
          </w:tcPr>
          <w:p>
            <w:pPr>
              <w:spacing w:after="0"/>
              <w:rPr>
                <w:sz w:val="5"/>
                <w:szCs w:val="5"/>
                <w:color w:val="auto"/>
              </w:rPr>
            </w:pPr>
          </w:p>
        </w:tc>
        <w:tc>
          <w:tcPr>
            <w:tcW w:w="1000" w:type="dxa"/>
            <w:vAlign w:val="bottom"/>
            <w:tcBorders>
              <w:bottom w:val="single" w:sz="8" w:color="808080"/>
            </w:tcBorders>
          </w:tcPr>
          <w:p>
            <w:pPr>
              <w:spacing w:after="0"/>
              <w:rPr>
                <w:sz w:val="5"/>
                <w:szCs w:val="5"/>
                <w:color w:val="auto"/>
              </w:rPr>
            </w:pPr>
          </w:p>
        </w:tc>
        <w:tc>
          <w:tcPr>
            <w:tcW w:w="460" w:type="dxa"/>
            <w:vAlign w:val="bottom"/>
          </w:tcPr>
          <w:p>
            <w:pPr>
              <w:spacing w:after="0"/>
              <w:rPr>
                <w:sz w:val="5"/>
                <w:szCs w:val="5"/>
                <w:color w:val="auto"/>
              </w:rPr>
            </w:pPr>
          </w:p>
        </w:tc>
        <w:tc>
          <w:tcPr>
            <w:tcW w:w="800" w:type="dxa"/>
            <w:vAlign w:val="bottom"/>
            <w:tcBorders>
              <w:bottom w:val="single" w:sz="8" w:color="808080"/>
            </w:tcBorders>
          </w:tcPr>
          <w:p>
            <w:pPr>
              <w:spacing w:after="0"/>
              <w:rPr>
                <w:sz w:val="5"/>
                <w:szCs w:val="5"/>
                <w:color w:val="auto"/>
              </w:rPr>
            </w:pPr>
          </w:p>
        </w:tc>
        <w:tc>
          <w:tcPr>
            <w:tcW w:w="480" w:type="dxa"/>
            <w:vAlign w:val="bottom"/>
          </w:tcPr>
          <w:p>
            <w:pPr>
              <w:spacing w:after="0"/>
              <w:rPr>
                <w:sz w:val="5"/>
                <w:szCs w:val="5"/>
                <w:color w:val="auto"/>
              </w:rPr>
            </w:pPr>
          </w:p>
        </w:tc>
        <w:tc>
          <w:tcPr>
            <w:tcW w:w="780" w:type="dxa"/>
            <w:vAlign w:val="bottom"/>
            <w:tcBorders>
              <w:bottom w:val="single" w:sz="8" w:color="808080"/>
            </w:tcBorders>
          </w:tcPr>
          <w:p>
            <w:pPr>
              <w:spacing w:after="0"/>
              <w:rPr>
                <w:sz w:val="5"/>
                <w:szCs w:val="5"/>
                <w:color w:val="auto"/>
              </w:rPr>
            </w:pPr>
          </w:p>
        </w:tc>
        <w:tc>
          <w:tcPr>
            <w:tcW w:w="480" w:type="dxa"/>
            <w:vAlign w:val="bottom"/>
          </w:tcPr>
          <w:p>
            <w:pPr>
              <w:spacing w:after="0"/>
              <w:rPr>
                <w:sz w:val="5"/>
                <w:szCs w:val="5"/>
                <w:color w:val="auto"/>
              </w:rPr>
            </w:pPr>
          </w:p>
        </w:tc>
        <w:tc>
          <w:tcPr>
            <w:tcW w:w="800" w:type="dxa"/>
            <w:vAlign w:val="bottom"/>
            <w:tcBorders>
              <w:bottom w:val="single" w:sz="8" w:color="808080"/>
            </w:tcBorders>
          </w:tcPr>
          <w:p>
            <w:pPr>
              <w:spacing w:after="0"/>
              <w:rPr>
                <w:sz w:val="5"/>
                <w:szCs w:val="5"/>
                <w:color w:val="auto"/>
              </w:rPr>
            </w:pPr>
          </w:p>
        </w:tc>
        <w:tc>
          <w:tcPr>
            <w:tcW w:w="480" w:type="dxa"/>
            <w:vAlign w:val="bottom"/>
          </w:tcPr>
          <w:p>
            <w:pPr>
              <w:spacing w:after="0"/>
              <w:rPr>
                <w:sz w:val="5"/>
                <w:szCs w:val="5"/>
                <w:color w:val="auto"/>
              </w:rPr>
            </w:pPr>
          </w:p>
        </w:tc>
        <w:tc>
          <w:tcPr>
            <w:tcW w:w="780" w:type="dxa"/>
            <w:vAlign w:val="bottom"/>
            <w:tcBorders>
              <w:bottom w:val="single" w:sz="8" w:color="808080"/>
            </w:tcBorders>
          </w:tcPr>
          <w:p>
            <w:pPr>
              <w:spacing w:after="0"/>
              <w:rPr>
                <w:sz w:val="5"/>
                <w:szCs w:val="5"/>
                <w:color w:val="auto"/>
              </w:rPr>
            </w:pPr>
          </w:p>
        </w:tc>
      </w:tr>
      <w:tr>
        <w:trPr>
          <w:trHeight w:val="263"/>
        </w:trPr>
        <w:tc>
          <w:tcPr>
            <w:tcW w:w="4900" w:type="dxa"/>
            <w:vAlign w:val="bottom"/>
          </w:tcPr>
          <w:p>
            <w:pPr>
              <w:spacing w:after="0"/>
              <w:rPr>
                <w:sz w:val="20"/>
                <w:szCs w:val="20"/>
                <w:color w:val="auto"/>
              </w:rPr>
            </w:pPr>
            <w:r>
              <w:rPr>
                <w:rFonts w:ascii="Arial" w:cs="Arial" w:eastAsia="Arial" w:hAnsi="Arial"/>
                <w:sz w:val="18"/>
                <w:szCs w:val="18"/>
                <w:color w:val="auto"/>
              </w:rPr>
              <w:t>MARVELL TECHNOLOGY GROUP LTD.</w:t>
            </w:r>
          </w:p>
        </w:tc>
        <w:tc>
          <w:tcPr>
            <w:tcW w:w="1460" w:type="dxa"/>
            <w:vAlign w:val="bottom"/>
            <w:gridSpan w:val="2"/>
          </w:tcPr>
          <w:p>
            <w:pPr>
              <w:jc w:val="right"/>
              <w:ind w:right="300"/>
              <w:spacing w:after="0"/>
              <w:rPr>
                <w:sz w:val="20"/>
                <w:szCs w:val="20"/>
                <w:color w:val="auto"/>
              </w:rPr>
            </w:pPr>
            <w:r>
              <w:rPr>
                <w:rFonts w:ascii="Arial" w:cs="Arial" w:eastAsia="Arial" w:hAnsi="Arial"/>
                <w:sz w:val="18"/>
                <w:szCs w:val="18"/>
                <w:color w:val="auto"/>
              </w:rPr>
              <w:t>100.00</w:t>
            </w:r>
          </w:p>
        </w:tc>
        <w:tc>
          <w:tcPr>
            <w:tcW w:w="1260" w:type="dxa"/>
            <w:vAlign w:val="bottom"/>
            <w:gridSpan w:val="2"/>
          </w:tcPr>
          <w:p>
            <w:pPr>
              <w:jc w:val="center"/>
              <w:ind w:left="374"/>
              <w:spacing w:after="0"/>
              <w:rPr>
                <w:sz w:val="20"/>
                <w:szCs w:val="20"/>
                <w:color w:val="auto"/>
              </w:rPr>
            </w:pPr>
            <w:r>
              <w:rPr>
                <w:rFonts w:ascii="Arial" w:cs="Arial" w:eastAsia="Arial" w:hAnsi="Arial"/>
                <w:sz w:val="18"/>
                <w:szCs w:val="18"/>
                <w:color w:val="auto"/>
                <w:w w:val="88"/>
              </w:rPr>
              <w:t>61.92</w:t>
            </w:r>
          </w:p>
        </w:tc>
        <w:tc>
          <w:tcPr>
            <w:tcW w:w="1260" w:type="dxa"/>
            <w:vAlign w:val="bottom"/>
            <w:gridSpan w:val="2"/>
          </w:tcPr>
          <w:p>
            <w:pPr>
              <w:jc w:val="center"/>
              <w:ind w:left="394"/>
              <w:spacing w:after="0"/>
              <w:rPr>
                <w:sz w:val="20"/>
                <w:szCs w:val="20"/>
                <w:color w:val="auto"/>
              </w:rPr>
            </w:pPr>
            <w:r>
              <w:rPr>
                <w:rFonts w:ascii="Arial" w:cs="Arial" w:eastAsia="Arial" w:hAnsi="Arial"/>
                <w:sz w:val="18"/>
                <w:szCs w:val="18"/>
                <w:color w:val="auto"/>
                <w:w w:val="93"/>
              </w:rPr>
              <w:t>70.99</w:t>
            </w:r>
          </w:p>
        </w:tc>
        <w:tc>
          <w:tcPr>
            <w:tcW w:w="1280" w:type="dxa"/>
            <w:vAlign w:val="bottom"/>
            <w:gridSpan w:val="2"/>
          </w:tcPr>
          <w:p>
            <w:pPr>
              <w:jc w:val="center"/>
              <w:ind w:left="394"/>
              <w:spacing w:after="0"/>
              <w:rPr>
                <w:sz w:val="20"/>
                <w:szCs w:val="20"/>
                <w:color w:val="auto"/>
              </w:rPr>
            </w:pPr>
            <w:r>
              <w:rPr>
                <w:rFonts w:ascii="Arial" w:cs="Arial" w:eastAsia="Arial" w:hAnsi="Arial"/>
                <w:sz w:val="18"/>
                <w:szCs w:val="18"/>
                <w:color w:val="auto"/>
                <w:w w:val="88"/>
              </w:rPr>
              <w:t>32.36</w:t>
            </w:r>
          </w:p>
        </w:tc>
        <w:tc>
          <w:tcPr>
            <w:tcW w:w="1260" w:type="dxa"/>
            <w:vAlign w:val="bottom"/>
            <w:gridSpan w:val="2"/>
          </w:tcPr>
          <w:p>
            <w:pPr>
              <w:jc w:val="center"/>
              <w:ind w:left="394"/>
              <w:spacing w:after="0"/>
              <w:rPr>
                <w:sz w:val="20"/>
                <w:szCs w:val="20"/>
                <w:color w:val="auto"/>
              </w:rPr>
            </w:pPr>
            <w:r>
              <w:rPr>
                <w:rFonts w:ascii="Arial" w:cs="Arial" w:eastAsia="Arial" w:hAnsi="Arial"/>
                <w:sz w:val="18"/>
                <w:szCs w:val="18"/>
                <w:color w:val="auto"/>
                <w:w w:val="93"/>
              </w:rPr>
              <w:t>73.47</w:t>
            </w: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S&amp;P 500</w:t>
            </w:r>
          </w:p>
        </w:tc>
        <w:tc>
          <w:tcPr>
            <w:tcW w:w="1460" w:type="dxa"/>
            <w:vAlign w:val="bottom"/>
            <w:gridSpan w:val="2"/>
          </w:tcPr>
          <w:p>
            <w:pPr>
              <w:jc w:val="right"/>
              <w:ind w:right="300"/>
              <w:spacing w:after="0"/>
              <w:rPr>
                <w:sz w:val="20"/>
                <w:szCs w:val="20"/>
                <w:color w:val="auto"/>
              </w:rPr>
            </w:pPr>
            <w:r>
              <w:rPr>
                <w:rFonts w:ascii="Arial" w:cs="Arial" w:eastAsia="Arial" w:hAnsi="Arial"/>
                <w:sz w:val="18"/>
                <w:szCs w:val="18"/>
                <w:color w:val="auto"/>
              </w:rPr>
              <w:t>100.00</w:t>
            </w:r>
          </w:p>
        </w:tc>
        <w:tc>
          <w:tcPr>
            <w:tcW w:w="1260" w:type="dxa"/>
            <w:vAlign w:val="bottom"/>
            <w:gridSpan w:val="2"/>
          </w:tcPr>
          <w:p>
            <w:pPr>
              <w:jc w:val="center"/>
              <w:ind w:left="374"/>
              <w:spacing w:after="0"/>
              <w:rPr>
                <w:sz w:val="20"/>
                <w:szCs w:val="20"/>
                <w:color w:val="auto"/>
              </w:rPr>
            </w:pPr>
            <w:r>
              <w:rPr>
                <w:rFonts w:ascii="Arial" w:cs="Arial" w:eastAsia="Arial" w:hAnsi="Arial"/>
                <w:sz w:val="18"/>
                <w:szCs w:val="18"/>
                <w:color w:val="auto"/>
                <w:w w:val="88"/>
              </w:rPr>
              <w:t>96.85</w:t>
            </w:r>
          </w:p>
        </w:tc>
        <w:tc>
          <w:tcPr>
            <w:tcW w:w="1260" w:type="dxa"/>
            <w:vAlign w:val="bottom"/>
            <w:gridSpan w:val="2"/>
          </w:tcPr>
          <w:p>
            <w:pPr>
              <w:jc w:val="center"/>
              <w:ind w:left="394"/>
              <w:spacing w:after="0"/>
              <w:rPr>
                <w:sz w:val="20"/>
                <w:szCs w:val="20"/>
                <w:color w:val="auto"/>
              </w:rPr>
            </w:pPr>
            <w:r>
              <w:rPr>
                <w:rFonts w:ascii="Arial" w:cs="Arial" w:eastAsia="Arial" w:hAnsi="Arial"/>
                <w:sz w:val="18"/>
                <w:szCs w:val="18"/>
                <w:color w:val="auto"/>
                <w:w w:val="93"/>
              </w:rPr>
              <w:t>81.21</w:t>
            </w:r>
          </w:p>
        </w:tc>
        <w:tc>
          <w:tcPr>
            <w:tcW w:w="1280" w:type="dxa"/>
            <w:vAlign w:val="bottom"/>
            <w:gridSpan w:val="2"/>
          </w:tcPr>
          <w:p>
            <w:pPr>
              <w:jc w:val="center"/>
              <w:ind w:left="394"/>
              <w:spacing w:after="0"/>
              <w:rPr>
                <w:sz w:val="20"/>
                <w:szCs w:val="20"/>
                <w:color w:val="auto"/>
              </w:rPr>
            </w:pPr>
            <w:r>
              <w:rPr>
                <w:rFonts w:ascii="Arial" w:cs="Arial" w:eastAsia="Arial" w:hAnsi="Arial"/>
                <w:sz w:val="18"/>
                <w:szCs w:val="18"/>
                <w:color w:val="auto"/>
                <w:w w:val="88"/>
              </w:rPr>
              <w:t>62.52</w:t>
            </w:r>
          </w:p>
        </w:tc>
        <w:tc>
          <w:tcPr>
            <w:tcW w:w="1260" w:type="dxa"/>
            <w:vAlign w:val="bottom"/>
            <w:gridSpan w:val="2"/>
          </w:tcPr>
          <w:p>
            <w:pPr>
              <w:jc w:val="center"/>
              <w:ind w:left="394"/>
              <w:spacing w:after="0"/>
              <w:rPr>
                <w:sz w:val="20"/>
                <w:szCs w:val="20"/>
                <w:color w:val="auto"/>
              </w:rPr>
            </w:pPr>
            <w:r>
              <w:rPr>
                <w:rFonts w:ascii="Arial" w:cs="Arial" w:eastAsia="Arial" w:hAnsi="Arial"/>
                <w:sz w:val="18"/>
                <w:szCs w:val="18"/>
                <w:color w:val="auto"/>
                <w:w w:val="93"/>
              </w:rPr>
              <w:t>84.14</w:t>
            </w:r>
          </w:p>
        </w:tc>
      </w:tr>
      <w:tr>
        <w:trPr>
          <w:trHeight w:val="230"/>
        </w:trPr>
        <w:tc>
          <w:tcPr>
            <w:tcW w:w="4900" w:type="dxa"/>
            <w:vAlign w:val="bottom"/>
          </w:tcPr>
          <w:p>
            <w:pPr>
              <w:spacing w:after="0"/>
              <w:rPr>
                <w:sz w:val="20"/>
                <w:szCs w:val="20"/>
                <w:color w:val="auto"/>
              </w:rPr>
            </w:pPr>
            <w:r>
              <w:rPr>
                <w:rFonts w:ascii="Arial" w:cs="Arial" w:eastAsia="Arial" w:hAnsi="Arial"/>
                <w:sz w:val="18"/>
                <w:szCs w:val="18"/>
                <w:color w:val="auto"/>
              </w:rPr>
              <w:t>PHILADELPHIA SEMICONDUCTOR</w:t>
            </w:r>
          </w:p>
        </w:tc>
        <w:tc>
          <w:tcPr>
            <w:tcW w:w="1460" w:type="dxa"/>
            <w:vAlign w:val="bottom"/>
            <w:gridSpan w:val="2"/>
          </w:tcPr>
          <w:p>
            <w:pPr>
              <w:jc w:val="right"/>
              <w:ind w:right="300"/>
              <w:spacing w:after="0"/>
              <w:rPr>
                <w:sz w:val="20"/>
                <w:szCs w:val="20"/>
                <w:color w:val="auto"/>
              </w:rPr>
            </w:pPr>
            <w:r>
              <w:rPr>
                <w:rFonts w:ascii="Arial" w:cs="Arial" w:eastAsia="Arial" w:hAnsi="Arial"/>
                <w:sz w:val="18"/>
                <w:szCs w:val="18"/>
                <w:color w:val="auto"/>
              </w:rPr>
              <w:t>100.00</w:t>
            </w:r>
          </w:p>
        </w:tc>
        <w:tc>
          <w:tcPr>
            <w:tcW w:w="1260" w:type="dxa"/>
            <w:vAlign w:val="bottom"/>
            <w:gridSpan w:val="2"/>
          </w:tcPr>
          <w:p>
            <w:pPr>
              <w:jc w:val="center"/>
              <w:ind w:left="374"/>
              <w:spacing w:after="0"/>
              <w:rPr>
                <w:sz w:val="20"/>
                <w:szCs w:val="20"/>
                <w:color w:val="auto"/>
              </w:rPr>
            </w:pPr>
            <w:r>
              <w:rPr>
                <w:rFonts w:ascii="Arial" w:cs="Arial" w:eastAsia="Arial" w:hAnsi="Arial"/>
                <w:sz w:val="18"/>
                <w:szCs w:val="18"/>
                <w:color w:val="auto"/>
                <w:w w:val="88"/>
              </w:rPr>
              <w:t>57.26</w:t>
            </w:r>
          </w:p>
        </w:tc>
        <w:tc>
          <w:tcPr>
            <w:tcW w:w="1260" w:type="dxa"/>
            <w:vAlign w:val="bottom"/>
            <w:gridSpan w:val="2"/>
          </w:tcPr>
          <w:p>
            <w:pPr>
              <w:jc w:val="center"/>
              <w:ind w:left="394"/>
              <w:spacing w:after="0"/>
              <w:rPr>
                <w:sz w:val="20"/>
                <w:szCs w:val="20"/>
                <w:color w:val="auto"/>
              </w:rPr>
            </w:pPr>
            <w:r>
              <w:rPr>
                <w:rFonts w:ascii="Arial" w:cs="Arial" w:eastAsia="Arial" w:hAnsi="Arial"/>
                <w:sz w:val="18"/>
                <w:szCs w:val="18"/>
                <w:color w:val="auto"/>
                <w:w w:val="93"/>
              </w:rPr>
              <w:t>49.06</w:t>
            </w:r>
          </w:p>
        </w:tc>
        <w:tc>
          <w:tcPr>
            <w:tcW w:w="1280" w:type="dxa"/>
            <w:vAlign w:val="bottom"/>
            <w:gridSpan w:val="2"/>
          </w:tcPr>
          <w:p>
            <w:pPr>
              <w:jc w:val="center"/>
              <w:ind w:left="394"/>
              <w:spacing w:after="0"/>
              <w:rPr>
                <w:sz w:val="20"/>
                <w:szCs w:val="20"/>
                <w:color w:val="auto"/>
              </w:rPr>
            </w:pPr>
            <w:r>
              <w:rPr>
                <w:rFonts w:ascii="Arial" w:cs="Arial" w:eastAsia="Arial" w:hAnsi="Arial"/>
                <w:sz w:val="18"/>
                <w:szCs w:val="18"/>
                <w:color w:val="auto"/>
                <w:w w:val="88"/>
              </w:rPr>
              <w:t>23.52</w:t>
            </w:r>
          </w:p>
        </w:tc>
        <w:tc>
          <w:tcPr>
            <w:tcW w:w="1260" w:type="dxa"/>
            <w:vAlign w:val="bottom"/>
            <w:gridSpan w:val="2"/>
          </w:tcPr>
          <w:p>
            <w:pPr>
              <w:jc w:val="center"/>
              <w:ind w:left="394"/>
              <w:spacing w:after="0"/>
              <w:rPr>
                <w:sz w:val="20"/>
                <w:szCs w:val="20"/>
                <w:color w:val="auto"/>
              </w:rPr>
            </w:pPr>
            <w:r>
              <w:rPr>
                <w:rFonts w:ascii="Arial" w:cs="Arial" w:eastAsia="Arial" w:hAnsi="Arial"/>
                <w:sz w:val="18"/>
                <w:szCs w:val="18"/>
                <w:color w:val="auto"/>
                <w:w w:val="93"/>
              </w:rPr>
              <w:t>45.22</w:t>
            </w:r>
          </w:p>
        </w:tc>
      </w:tr>
      <w:tr>
        <w:trPr>
          <w:trHeight w:val="405"/>
        </w:trPr>
        <w:tc>
          <w:tcPr>
            <w:tcW w:w="4900" w:type="dxa"/>
            <w:vAlign w:val="bottom"/>
          </w:tcPr>
          <w:p>
            <w:pPr>
              <w:spacing w:after="0"/>
              <w:rPr>
                <w:sz w:val="24"/>
                <w:szCs w:val="24"/>
                <w:color w:val="auto"/>
              </w:rPr>
            </w:pPr>
          </w:p>
        </w:tc>
        <w:tc>
          <w:tcPr>
            <w:tcW w:w="1460" w:type="dxa"/>
            <w:vAlign w:val="bottom"/>
            <w:gridSpan w:val="2"/>
          </w:tcPr>
          <w:p>
            <w:pPr>
              <w:jc w:val="right"/>
              <w:ind w:right="560"/>
              <w:spacing w:after="0"/>
              <w:rPr>
                <w:sz w:val="20"/>
                <w:szCs w:val="20"/>
                <w:color w:val="auto"/>
              </w:rPr>
            </w:pPr>
            <w:r>
              <w:rPr>
                <w:rFonts w:ascii="Arial" w:cs="Arial" w:eastAsia="Arial" w:hAnsi="Arial"/>
                <w:sz w:val="18"/>
                <w:szCs w:val="18"/>
                <w:color w:val="auto"/>
              </w:rPr>
              <w:t>22</w:t>
            </w: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226"/>
        </w:trPr>
        <w:tc>
          <w:tcPr>
            <w:tcW w:w="490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c>
          <w:tcPr>
            <w:tcW w:w="8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7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8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7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202" w:lineRule="exact"/>
        <w:rPr>
          <w:sz w:val="20"/>
          <w:szCs w:val="20"/>
          <w:color w:val="auto"/>
        </w:rPr>
      </w:pPr>
    </w:p>
    <w:p>
      <w:pPr>
        <w:ind w:right="60" w:firstLine="225"/>
        <w:spacing w:after="0" w:line="286" w:lineRule="auto"/>
        <w:rPr>
          <w:sz w:val="20"/>
          <w:szCs w:val="20"/>
          <w:color w:val="auto"/>
        </w:rPr>
      </w:pPr>
      <w:r>
        <w:rPr>
          <w:rFonts w:ascii="Arial" w:cs="Arial" w:eastAsia="Arial" w:hAnsi="Arial"/>
          <w:sz w:val="17"/>
          <w:szCs w:val="17"/>
          <w:color w:val="auto"/>
        </w:rPr>
        <w:t>Since February 1, 2001,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25" w:lineRule="exact"/>
        <w:rPr>
          <w:sz w:val="20"/>
          <w:szCs w:val="20"/>
          <w:color w:val="auto"/>
        </w:rPr>
      </w:pPr>
    </w:p>
    <w:p>
      <w:pPr>
        <w:ind w:firstLine="225"/>
        <w:spacing w:after="0" w:line="257" w:lineRule="auto"/>
        <w:rPr>
          <w:sz w:val="20"/>
          <w:szCs w:val="20"/>
          <w:color w:val="auto"/>
        </w:rPr>
      </w:pPr>
      <w:r>
        <w:rPr>
          <w:rFonts w:ascii="Arial" w:cs="Arial" w:eastAsia="Arial" w:hAnsi="Arial"/>
          <w:sz w:val="18"/>
          <w:szCs w:val="18"/>
          <w:color w:val="auto"/>
        </w:rPr>
        <w:t>In October 2001, the Company entered into a lease agreement with a privately-held design technology firm for certain computer-aided design software. The Company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 December 2001 and the lease agreement was subsequently amended in 2002. Total principal, interest and maintenance payments over the 31/2 year term of the lease agreement will be $20.7 million.</w:t>
      </w:r>
    </w:p>
    <w:p>
      <w:pPr>
        <w:spacing w:after="0" w:line="148" w:lineRule="exact"/>
        <w:rPr>
          <w:sz w:val="20"/>
          <w:szCs w:val="20"/>
          <w:color w:val="auto"/>
        </w:rPr>
      </w:pPr>
    </w:p>
    <w:p>
      <w:pPr>
        <w:ind w:right="80" w:firstLine="225"/>
        <w:spacing w:after="0" w:line="297" w:lineRule="auto"/>
        <w:rPr>
          <w:sz w:val="20"/>
          <w:szCs w:val="20"/>
          <w:color w:val="auto"/>
        </w:rPr>
      </w:pPr>
      <w:r>
        <w:rPr>
          <w:rFonts w:ascii="Arial" w:cs="Arial" w:eastAsia="Arial" w:hAnsi="Arial"/>
          <w:sz w:val="16"/>
          <w:szCs w:val="16"/>
          <w:color w:val="auto"/>
        </w:rPr>
        <w:t>During fiscal year 2004, the Company incurred approximately $0.4 million of business travel and airplane operating expenses from an unrelated third-party entity, ACM Aviation, Inc. (ACM). The airplane provided by ACM to the Company is owned by Estopia Air, LLC (Estopia), a Delaware limited liability company, owned and controlled by Dr. Sehat Sutardja, the Company’s Chairman, President and Chief Executive Officer, and Weili Dai, the Company’s Executive Vice President and director. ACM manages and operates the airplane on behalf of Estopia. The $0.4 million of expenses was the result of the Company’s use of the plane for business travel purposes. The cost of such usage charged to the Company was determined based on market prices.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SHAREHOLDER PROPOSALS FOR THE 2005 ANNUAL GENERAL MEETING</w:t>
      </w:r>
    </w:p>
    <w:p>
      <w:pPr>
        <w:spacing w:after="0" w:line="189" w:lineRule="exact"/>
        <w:rPr>
          <w:sz w:val="20"/>
          <w:szCs w:val="20"/>
          <w:color w:val="auto"/>
        </w:rPr>
      </w:pPr>
    </w:p>
    <w:p>
      <w:pPr>
        <w:ind w:right="180" w:firstLine="225"/>
        <w:spacing w:after="0" w:line="255" w:lineRule="auto"/>
        <w:rPr>
          <w:sz w:val="20"/>
          <w:szCs w:val="20"/>
          <w:color w:val="auto"/>
        </w:rPr>
      </w:pPr>
      <w:r>
        <w:rPr>
          <w:rFonts w:ascii="Arial" w:cs="Arial" w:eastAsia="Arial" w:hAnsi="Arial"/>
          <w:sz w:val="18"/>
          <w:szCs w:val="18"/>
          <w:color w:val="auto"/>
        </w:rPr>
        <w:t>Under United States federal securities laws, any proposal of an eligible shareholder of the Company that such shareholder wishes to have considered for inclusion in the Company’s proxy solicitation materials relating to the Company’s 2005 Annual General Meeting of Shareholders must be received by the Company at its principal executive offices no later than December 24, 2004. Under United States federal securities laws, a shareholder is eligible to present proposals to the Board of Directors if he or she is the record or beneficial owner of at least one percent or $2,000 in market value of securities entitled to be voted at the 2005 Annual General Meeting and has held such securities for at least one year, and he or she continues to own such securities through the date on which the meeting is held.</w:t>
      </w:r>
    </w:p>
    <w:p>
      <w:pPr>
        <w:spacing w:after="0" w:line="153" w:lineRule="exact"/>
        <w:rPr>
          <w:sz w:val="20"/>
          <w:szCs w:val="20"/>
          <w:color w:val="auto"/>
        </w:rPr>
      </w:pPr>
    </w:p>
    <w:p>
      <w:pPr>
        <w:ind w:firstLine="215"/>
        <w:spacing w:after="0" w:line="286" w:lineRule="auto"/>
        <w:rPr>
          <w:sz w:val="20"/>
          <w:szCs w:val="20"/>
          <w:color w:val="auto"/>
        </w:rPr>
      </w:pPr>
      <w:r>
        <w:rPr>
          <w:rFonts w:ascii="Arial" w:cs="Arial" w:eastAsia="Arial" w:hAnsi="Arial"/>
          <w:sz w:val="16"/>
          <w:szCs w:val="16"/>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Second Amended and Restated Bye-Laws,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Second Amended and Restated Bye-Laws and whether any such proposal will be acted upon at the Annual General Meeting.</w:t>
      </w:r>
    </w:p>
    <w:p>
      <w:pPr>
        <w:spacing w:after="0" w:line="148" w:lineRule="exact"/>
        <w:rPr>
          <w:sz w:val="20"/>
          <w:szCs w:val="20"/>
          <w:color w:val="auto"/>
        </w:rPr>
      </w:pPr>
    </w:p>
    <w:p>
      <w:pPr>
        <w:ind w:right="580" w:firstLine="215"/>
        <w:spacing w:after="0" w:line="277" w:lineRule="auto"/>
        <w:rPr>
          <w:sz w:val="20"/>
          <w:szCs w:val="20"/>
          <w:color w:val="auto"/>
        </w:rPr>
      </w:pPr>
      <w:r>
        <w:rPr>
          <w:rFonts w:ascii="Arial" w:cs="Arial" w:eastAsia="Arial" w:hAnsi="Arial"/>
          <w:sz w:val="18"/>
          <w:szCs w:val="18"/>
          <w:color w:val="auto"/>
        </w:rPr>
        <w:t>All shareholder proposals should be sent to the Secretary at the Company’s principal executive offices located at Canon’s Court, 22 Victoria Street, Hamilton HM 12, Bermuda.</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225"/>
        <w:spacing w:after="0" w:line="291" w:lineRule="auto"/>
        <w:rPr>
          <w:sz w:val="20"/>
          <w:szCs w:val="20"/>
          <w:color w:val="auto"/>
        </w:rPr>
      </w:pPr>
      <w:r>
        <w:rPr>
          <w:rFonts w:ascii="Arial" w:cs="Arial" w:eastAsia="Arial" w:hAnsi="Arial"/>
          <w:sz w:val="16"/>
          <w:szCs w:val="16"/>
          <w:color w:val="auto"/>
        </w:rPr>
        <w:t>In addition, Section 79 of the Companies Act 1981 of Bermuda provides that shareholders representing either: (i) 5% of the total voting power of the shares of common stock eligible to vote at a general meeting of the Company or (ii) not less than one hundred shareholders may propose any resolution which may be properly be moved at the next Annual General Meeting of the Company or may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resolution must deposit with the Company funds sufficient to meet the Company’s expenses incurred to give effect to the shareholder proposal.</w:t>
      </w:r>
    </w:p>
    <w:p>
      <w:pPr>
        <w:spacing w:after="0" w:line="13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89" w:lineRule="exact"/>
        <w:rPr>
          <w:sz w:val="20"/>
          <w:szCs w:val="20"/>
          <w:color w:val="auto"/>
        </w:rPr>
      </w:pPr>
    </w:p>
    <w:p>
      <w:pPr>
        <w:ind w:right="80" w:firstLine="215"/>
        <w:spacing w:after="0" w:line="279" w:lineRule="auto"/>
        <w:rPr>
          <w:sz w:val="20"/>
          <w:szCs w:val="20"/>
          <w:color w:val="auto"/>
        </w:rPr>
      </w:pPr>
      <w:r>
        <w:rPr>
          <w:rFonts w:ascii="Arial" w:cs="Arial" w:eastAsia="Arial" w:hAnsi="Arial"/>
          <w:sz w:val="17"/>
          <w:szCs w:val="17"/>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on such other matters, in accordance with their respective best judgment on such matters.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02" w:lineRule="exact"/>
        <w:rPr>
          <w:sz w:val="20"/>
          <w:szCs w:val="20"/>
          <w:color w:val="auto"/>
        </w:rPr>
      </w:pPr>
    </w:p>
    <w:p>
      <w:pPr>
        <w:jc w:val="both"/>
        <w:ind w:right="160" w:firstLine="225"/>
        <w:spacing w:after="0" w:line="312" w:lineRule="auto"/>
        <w:rPr>
          <w:sz w:val="20"/>
          <w:szCs w:val="20"/>
          <w:color w:val="auto"/>
        </w:rPr>
      </w:pPr>
      <w:r>
        <w:rPr>
          <w:rFonts w:ascii="Arial" w:cs="Arial" w:eastAsia="Arial" w:hAnsi="Arial"/>
          <w:sz w:val="16"/>
          <w:szCs w:val="16"/>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06" w:lineRule="exact"/>
        <w:rPr>
          <w:sz w:val="20"/>
          <w:szCs w:val="20"/>
          <w:color w:val="auto"/>
        </w:rPr>
      </w:pPr>
    </w:p>
    <w:p>
      <w:pPr>
        <w:ind w:right="40" w:firstLine="225"/>
        <w:spacing w:after="0" w:line="269" w:lineRule="auto"/>
        <w:rPr>
          <w:sz w:val="20"/>
          <w:szCs w:val="20"/>
          <w:color w:val="auto"/>
        </w:rPr>
      </w:pPr>
      <w:r>
        <w:rPr>
          <w:rFonts w:ascii="Arial" w:cs="Arial" w:eastAsia="Arial" w:hAnsi="Arial"/>
          <w:sz w:val="17"/>
          <w:szCs w:val="17"/>
          <w:color w:val="auto"/>
        </w:rPr>
        <w:t>Based solely on its review of the copies of such reports received by it during or with respect to the fiscal year ended January 31, 2004, and written representations from such reporting persons, the Company believes that its officers, directors and 10% shareholders complied with all Section 16(a) filing requirements applicable to such individuals, with the exception of the following late filings: (a) Mr. Diosdado Banatao was late filing his Form 4 with respect to three transactions, which were subsequently reported on a Form 4; (b) Mr. Kuo Wei (Herbert) Chang was late filing his Form 4 with respect to four transactions, which were subsequently reported on a Form 4; (c) Dr. John Cioffi was late filing his Form 4 with respect to one transaction, which was subsequently reported on a Form 4; (d) Ms. Weili Dai was late filing her Form 4 with respect to one transaction, which was subsequently reported on a Form 4; (e) Dr. Paul Gray was late filing his Form 4 with respect to one transaction, which was subsequently reported on a Form 4; (f) Mr. George Hervey was late filing his Form 4 with respect to five transactions, which were subsequently reported on a Form 4; (g) Dr. Pantas Sutardja was late filing his Form 4 with respect to one transaction, which was subsequently reported on a Form 4; (h) Dr. Sehat Sutardja was late filing his Form 4 with respect to three transactions, which were subsequently reported on a Form 4; (i) Mr. Ronald Verdoorn was late filing his Form 4 with respect to two transactions, which were subsequently reported on a Form 4; and (j) Mr. Manuel Alba omitted shares held that should have been reported on his Form 3 dated January 31, 2001, which were subsequently reported on a Form 5.</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202" w:lineRule="exact"/>
        <w:rPr>
          <w:sz w:val="20"/>
          <w:szCs w:val="20"/>
          <w:color w:val="auto"/>
        </w:rPr>
      </w:pPr>
    </w:p>
    <w:p>
      <w:pPr>
        <w:ind w:firstLine="215"/>
        <w:spacing w:after="0" w:line="259"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January 31, 2004 without the exhibits thereto. </w:t>
      </w:r>
      <w:r>
        <w:rPr>
          <w:rFonts w:ascii="Arial" w:cs="Arial" w:eastAsia="Arial" w:hAnsi="Arial"/>
          <w:sz w:val="18"/>
          <w:szCs w:val="18"/>
          <w:b w:val="1"/>
          <w:bCs w:val="1"/>
          <w:color w:val="auto"/>
        </w:rPr>
        <w:t>The Company will provide, without charge, a copy of its 2004 Form 10-K, or a copy of the exhibits to its</w:t>
      </w:r>
      <w:r>
        <w:rPr>
          <w:rFonts w:ascii="Arial" w:cs="Arial" w:eastAsia="Arial" w:hAnsi="Arial"/>
          <w:sz w:val="18"/>
          <w:szCs w:val="18"/>
          <w:color w:val="auto"/>
        </w:rPr>
        <w:t xml:space="preserve"> </w:t>
      </w:r>
      <w:r>
        <w:rPr>
          <w:rFonts w:ascii="Arial" w:cs="Arial" w:eastAsia="Arial" w:hAnsi="Arial"/>
          <w:sz w:val="18"/>
          <w:szCs w:val="18"/>
          <w:b w:val="1"/>
          <w:bCs w:val="1"/>
          <w:color w:val="auto"/>
        </w:rPr>
        <w:t>2004 Form 10-K, upon the written or oral request of any shareholder or beneficial owner of Common Stock. Requests should be directed to the following person at the following address:</w:t>
      </w:r>
    </w:p>
    <w:p>
      <w:pPr>
        <w:spacing w:after="0" w:line="14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Matthew Gloss, Esq.</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Vice President of Business Affairs and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General Counsel</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700 First Avenue, MS-509</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Telephone: (408) 222-2500</w:t>
      </w:r>
    </w:p>
    <w:p>
      <w:pPr>
        <w:spacing w:after="0" w:line="386"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4421505</wp:posOffset>
            </wp:positionH>
            <wp:positionV relativeFrom="paragraph">
              <wp:posOffset>152400</wp:posOffset>
            </wp:positionV>
            <wp:extent cx="1071880" cy="47180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WEILI DAI</w:t>
      </w:r>
    </w:p>
    <w:p>
      <w:pPr>
        <w:spacing w:after="0" w:line="23" w:lineRule="exact"/>
        <w:rPr>
          <w:sz w:val="20"/>
          <w:szCs w:val="20"/>
          <w:color w:val="auto"/>
        </w:rPr>
      </w:pPr>
    </w:p>
    <w:p>
      <w:pPr>
        <w:ind w:left="6960"/>
        <w:spacing w:after="0"/>
        <w:rPr>
          <w:sz w:val="20"/>
          <w:szCs w:val="20"/>
          <w:color w:val="auto"/>
        </w:rPr>
      </w:pPr>
      <w:r>
        <w:rPr>
          <w:rFonts w:ascii="Arial" w:cs="Arial" w:eastAsia="Arial" w:hAnsi="Arial"/>
          <w:sz w:val="18"/>
          <w:szCs w:val="18"/>
          <w:i w:val="1"/>
          <w:iCs w:val="1"/>
          <w:color w:val="auto"/>
        </w:rPr>
        <w:t>Secretary</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April 26, 2004</w:t>
      </w:r>
    </w:p>
    <w:p>
      <w:pPr>
        <w:spacing w:after="0" w:line="166" w:lineRule="exact"/>
        <w:rPr>
          <w:sz w:val="20"/>
          <w:szCs w:val="20"/>
          <w:color w:val="auto"/>
        </w:rPr>
      </w:pPr>
    </w:p>
    <w:p>
      <w:pPr>
        <w:jc w:val="center"/>
        <w:ind w:left="260" w:right="1820"/>
        <w:spacing w:after="0" w:line="261" w:lineRule="auto"/>
        <w:rPr>
          <w:sz w:val="20"/>
          <w:szCs w:val="20"/>
          <w:color w:val="auto"/>
        </w:rPr>
      </w:pPr>
      <w:r>
        <w:rPr>
          <w:rFonts w:ascii="Arial" w:cs="Arial" w:eastAsia="Arial" w:hAnsi="Arial"/>
          <w:sz w:val="18"/>
          <w:szCs w:val="18"/>
          <w:b w:val="1"/>
          <w:bCs w:val="1"/>
          <w:color w:val="auto"/>
        </w:rPr>
        <w:t xml:space="preserve">PLEASE SIGN, DATE AND RETURN THE ENCLOSED PROXY CARD PROMPTLY. NO POSTAGE IS REQUIRED IF MAILED IN THE UNITED STATES. </w:t>
      </w:r>
      <w:r>
        <w:rPr>
          <w:rFonts w:ascii="Arial" w:cs="Arial" w:eastAsia="Arial" w:hAnsi="Arial"/>
          <w:sz w:val="18"/>
          <w:szCs w:val="18"/>
          <w:color w:val="auto"/>
        </w:rPr>
        <w:t>If you have any questions, or have any difficulty voting your shares, please contact Matthew Gloss, Esq., Vice President of Business Affairs and General Counsel of Marvell Semiconductor, Inc., at (408) 222-2500.</w:t>
      </w:r>
    </w:p>
    <w:p>
      <w:pPr>
        <w:spacing w:after="0" w:line="1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Annual General Meeting of Shareholders of</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85" w:lineRule="exact"/>
        <w:rPr>
          <w:sz w:val="20"/>
          <w:szCs w:val="20"/>
          <w:color w:val="auto"/>
        </w:rPr>
      </w:pPr>
    </w:p>
    <w:p>
      <w:pPr>
        <w:ind w:left="4660"/>
        <w:spacing w:after="0"/>
        <w:rPr>
          <w:sz w:val="20"/>
          <w:szCs w:val="20"/>
          <w:color w:val="auto"/>
        </w:rPr>
      </w:pPr>
      <w:r>
        <w:rPr>
          <w:rFonts w:ascii="Arial" w:cs="Arial" w:eastAsia="Arial" w:hAnsi="Arial"/>
          <w:sz w:val="18"/>
          <w:szCs w:val="18"/>
          <w:b w:val="1"/>
          <w:bCs w:val="1"/>
          <w:color w:val="auto"/>
        </w:rPr>
        <w:t>will be held at the offices of</w:t>
      </w:r>
    </w:p>
    <w:p>
      <w:pPr>
        <w:spacing w:after="0" w:line="27" w:lineRule="exact"/>
        <w:rPr>
          <w:sz w:val="20"/>
          <w:szCs w:val="20"/>
          <w:color w:val="auto"/>
        </w:rPr>
      </w:pPr>
    </w:p>
    <w:p>
      <w:pPr>
        <w:ind w:left="4620"/>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Sunnyvale, California 94089</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Friday, May 28, 2004</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at 2:00 P.M., Local Time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DIRECTIONS:</w:t>
      </w:r>
    </w:p>
    <w:p>
      <w:pPr>
        <w:spacing w:after="0" w:line="192" w:lineRule="exact"/>
        <w:rPr>
          <w:sz w:val="20"/>
          <w:szCs w:val="20"/>
          <w:color w:val="auto"/>
        </w:rPr>
      </w:pPr>
    </w:p>
    <w:p>
      <w:pPr>
        <w:ind w:right="480"/>
        <w:spacing w:after="0" w:line="210" w:lineRule="auto"/>
        <w:rPr>
          <w:sz w:val="20"/>
          <w:szCs w:val="20"/>
          <w:color w:val="auto"/>
        </w:rPr>
      </w:pPr>
      <w:r>
        <w:rPr>
          <w:rFonts w:ascii="Arial" w:cs="Arial" w:eastAsia="Arial" w:hAnsi="Arial"/>
          <w:sz w:val="18"/>
          <w:szCs w:val="18"/>
          <w:b w:val="1"/>
          <w:bCs w:val="1"/>
          <w:color w:val="auto"/>
        </w:rPr>
        <w:t xml:space="preserve">FROM SAN FRANCISCO AIRPORT: </w:t>
      </w:r>
      <w:r>
        <w:rPr>
          <w:rFonts w:ascii="Arial" w:cs="Arial" w:eastAsia="Arial" w:hAnsi="Arial"/>
          <w:sz w:val="18"/>
          <w:szCs w:val="18"/>
          <w:color w:val="auto"/>
        </w:rPr>
        <w:t>Take the 101 South. Take the Highway 237 exit East. Take the Mathilda Avenue exit North. Turn left onto 3</w:t>
      </w:r>
      <w:r>
        <w:rPr>
          <w:rFonts w:ascii="Arial" w:cs="Arial" w:eastAsia="Arial" w:hAnsi="Arial"/>
          <w:sz w:val="30"/>
          <w:szCs w:val="30"/>
          <w:color w:val="auto"/>
          <w:vertAlign w:val="superscript"/>
        </w:rPr>
        <w:t>rd</w:t>
      </w:r>
      <w:r>
        <w:rPr>
          <w:rFonts w:ascii="Arial" w:cs="Arial" w:eastAsia="Arial" w:hAnsi="Arial"/>
          <w:sz w:val="18"/>
          <w:szCs w:val="18"/>
          <w:b w:val="1"/>
          <w:bCs w:val="1"/>
          <w:color w:val="auto"/>
        </w:rPr>
        <w:t xml:space="preserve"> </w:t>
      </w:r>
      <w:r>
        <w:rPr>
          <w:rFonts w:ascii="Arial" w:cs="Arial" w:eastAsia="Arial" w:hAnsi="Arial"/>
          <w:sz w:val="18"/>
          <w:szCs w:val="18"/>
          <w:color w:val="auto"/>
        </w:rPr>
        <w:t>Avenue. Turn right into the Marvell parking lot. (approximate time 30 minutes)</w:t>
      </w:r>
    </w:p>
    <w:p>
      <w:pPr>
        <w:spacing w:after="0" w:line="165" w:lineRule="exact"/>
        <w:rPr>
          <w:sz w:val="20"/>
          <w:szCs w:val="20"/>
          <w:color w:val="auto"/>
        </w:rPr>
      </w:pPr>
    </w:p>
    <w:p>
      <w:pPr>
        <w:spacing w:after="0" w:line="210" w:lineRule="auto"/>
        <w:rPr>
          <w:sz w:val="20"/>
          <w:szCs w:val="20"/>
          <w:color w:val="auto"/>
        </w:rPr>
      </w:pPr>
      <w:r>
        <w:rPr>
          <w:rFonts w:ascii="Arial" w:cs="Arial" w:eastAsia="Arial" w:hAnsi="Arial"/>
          <w:sz w:val="18"/>
          <w:szCs w:val="18"/>
          <w:b w:val="1"/>
          <w:bCs w:val="1"/>
          <w:color w:val="auto"/>
        </w:rPr>
        <w:t xml:space="preserve">FROM SAN JOSE AIRPORT: </w:t>
      </w:r>
      <w:r>
        <w:rPr>
          <w:rFonts w:ascii="Arial" w:cs="Arial" w:eastAsia="Arial" w:hAnsi="Arial"/>
          <w:sz w:val="18"/>
          <w:szCs w:val="18"/>
          <w:color w:val="auto"/>
        </w:rPr>
        <w:t>Take the 101 North. Take the Mathilda Avenue North exit. Turn left onto 3</w:t>
      </w:r>
      <w:r>
        <w:rPr>
          <w:rFonts w:ascii="Arial" w:cs="Arial" w:eastAsia="Arial" w:hAnsi="Arial"/>
          <w:sz w:val="30"/>
          <w:szCs w:val="30"/>
          <w:color w:val="auto"/>
          <w:vertAlign w:val="superscript"/>
        </w:rPr>
        <w:t>rd</w:t>
      </w:r>
      <w:r>
        <w:rPr>
          <w:rFonts w:ascii="Arial" w:cs="Arial" w:eastAsia="Arial" w:hAnsi="Arial"/>
          <w:sz w:val="18"/>
          <w:szCs w:val="18"/>
          <w:b w:val="1"/>
          <w:bCs w:val="1"/>
          <w:color w:val="auto"/>
        </w:rPr>
        <w:t xml:space="preserve"> </w:t>
      </w:r>
      <w:r>
        <w:rPr>
          <w:rFonts w:ascii="Arial" w:cs="Arial" w:eastAsia="Arial" w:hAnsi="Arial"/>
          <w:sz w:val="18"/>
          <w:szCs w:val="18"/>
          <w:color w:val="auto"/>
        </w:rPr>
        <w:t>Avenue. Turn right into the Marvell parking lot.</w:t>
      </w:r>
      <w:r>
        <w:rPr>
          <w:rFonts w:ascii="Arial" w:cs="Arial" w:eastAsia="Arial" w:hAnsi="Arial"/>
          <w:sz w:val="18"/>
          <w:szCs w:val="18"/>
          <w:b w:val="1"/>
          <w:bCs w:val="1"/>
          <w:color w:val="auto"/>
        </w:rPr>
        <w:t xml:space="preserve"> </w:t>
      </w:r>
      <w:r>
        <w:rPr>
          <w:rFonts w:ascii="Arial" w:cs="Arial" w:eastAsia="Arial" w:hAnsi="Arial"/>
          <w:sz w:val="18"/>
          <w:szCs w:val="18"/>
          <w:color w:val="auto"/>
        </w:rPr>
        <w:t>(approximate time 15 minutes)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APPENDIX A</w:t>
      </w:r>
    </w:p>
    <w:p>
      <w:pPr>
        <w:spacing w:after="0" w:line="19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Amended and Restated Audit Committee Charter</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2004</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189"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The primary purpose of the Audit Committee (the “Committee”) is to assist the Board of Directors (the “Board”) of Marvell Technology Group Ltd. (the “Company”) in fulfilling its responsibility to oversee management’s conduct of the Company’s financial reporting process, including by reviewing the financial reports and other financial information provided by the Company to its shareholders, the Company’s systems of internal accounting, financial and disclosure controls and the annual independent audit of the Company’s financial statements.</w:t>
      </w:r>
    </w:p>
    <w:p>
      <w:pPr>
        <w:spacing w:after="0" w:line="160"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In discharging its oversight role, the Committee is empowered to investigate any matter brought to its attention with full access to all books, records, facilities and personnel of the Company and the power to retain outside counsel, auditors or other experts for this purpose. The Board and the Committee are in place to represent the Company’s shareholders; accordingly, the outside auditor is ultimately accountable to the Board and the Committee.</w:t>
      </w:r>
    </w:p>
    <w:p>
      <w:pPr>
        <w:spacing w:after="0" w:line="106" w:lineRule="exact"/>
        <w:rPr>
          <w:sz w:val="20"/>
          <w:szCs w:val="20"/>
          <w:color w:val="auto"/>
        </w:rPr>
      </w:pPr>
    </w:p>
    <w:p>
      <w:pPr>
        <w:spacing w:after="0"/>
        <w:rPr>
          <w:sz w:val="20"/>
          <w:szCs w:val="20"/>
          <w:color w:val="auto"/>
        </w:rPr>
      </w:pPr>
      <w:r>
        <w:rPr>
          <w:rFonts w:ascii="Arial" w:cs="Arial" w:eastAsia="Arial" w:hAnsi="Arial"/>
          <w:sz w:val="18"/>
          <w:szCs w:val="18"/>
          <w:color w:val="auto"/>
        </w:rPr>
        <w:t>The Committee shall review the adequacy of this Charter on an annual basis.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Membership and Meetings</w:t>
      </w:r>
    </w:p>
    <w:p>
      <w:pPr>
        <w:spacing w:after="0" w:line="202"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The Committee shall be comprised of not less than three non-employee members of the Board. The Board shall designate a chairman of the Committee. The Committee’s composition will meet the independence, experience and other requirements of, or as may be established by, the Nasdaq Stock Market (“Nasdaq”) and the Securities and Exchange Commission (the “SEC”).</w:t>
      </w:r>
    </w:p>
    <w:p>
      <w:pPr>
        <w:spacing w:after="0" w:line="141" w:lineRule="exact"/>
        <w:rPr>
          <w:sz w:val="20"/>
          <w:szCs w:val="20"/>
          <w:color w:val="auto"/>
        </w:rPr>
      </w:pPr>
    </w:p>
    <w:p>
      <w:pPr>
        <w:spacing w:after="0"/>
        <w:rPr>
          <w:sz w:val="20"/>
          <w:szCs w:val="20"/>
          <w:color w:val="auto"/>
        </w:rPr>
      </w:pPr>
      <w:r>
        <w:rPr>
          <w:rFonts w:ascii="Arial" w:cs="Arial" w:eastAsia="Arial" w:hAnsi="Arial"/>
          <w:sz w:val="18"/>
          <w:szCs w:val="18"/>
          <w:color w:val="auto"/>
        </w:rPr>
        <w:t>Accordingly, all of the members will be directors who:</w:t>
      </w:r>
    </w:p>
    <w:p>
      <w:pPr>
        <w:spacing w:after="0" w:line="225" w:lineRule="exact"/>
        <w:rPr>
          <w:sz w:val="20"/>
          <w:szCs w:val="20"/>
          <w:color w:val="auto"/>
        </w:rPr>
      </w:pPr>
    </w:p>
    <w:p>
      <w:pPr>
        <w:ind w:left="220" w:hanging="167"/>
        <w:spacing w:after="0"/>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Have no relationship to the Company that may interfere with the exercise of their independence from management and the Company; and</w:t>
      </w:r>
    </w:p>
    <w:p>
      <w:pPr>
        <w:spacing w:after="0" w:line="225" w:lineRule="exact"/>
        <w:rPr>
          <w:rFonts w:ascii="Arial" w:cs="Arial" w:eastAsia="Arial" w:hAnsi="Arial"/>
          <w:sz w:val="18"/>
          <w:szCs w:val="18"/>
          <w:color w:val="auto"/>
        </w:rPr>
      </w:pPr>
    </w:p>
    <w:p>
      <w:pPr>
        <w:ind w:right="1840" w:firstLine="53"/>
        <w:spacing w:after="0" w:line="501" w:lineRule="auto"/>
        <w:tabs>
          <w:tab w:leader="none" w:pos="216" w:val="left"/>
        </w:tabs>
        <w:numPr>
          <w:ilvl w:val="0"/>
          <w:numId w:val="18"/>
        </w:numPr>
        <w:rPr>
          <w:rFonts w:ascii="Arial" w:cs="Arial" w:eastAsia="Arial" w:hAnsi="Arial"/>
          <w:sz w:val="18"/>
          <w:szCs w:val="18"/>
          <w:color w:val="auto"/>
        </w:rPr>
      </w:pPr>
      <w:r>
        <w:rPr>
          <w:rFonts w:ascii="Arial" w:cs="Arial" w:eastAsia="Arial" w:hAnsi="Arial"/>
          <w:sz w:val="18"/>
          <w:szCs w:val="18"/>
          <w:color w:val="auto"/>
        </w:rPr>
        <w:t>Are financially literate or who become financially literate within a reasonable period of time after appointment to the Committee. Additionally, the Committee must:</w:t>
      </w:r>
    </w:p>
    <w:p>
      <w:pPr>
        <w:ind w:left="220" w:hanging="167"/>
        <w:spacing w:after="0"/>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Include at least one financial expert, in accordance with the requirements of all regulatory bodies, including the SEC;</w:t>
      </w:r>
    </w:p>
    <w:p>
      <w:pPr>
        <w:spacing w:after="0" w:line="225" w:lineRule="exact"/>
        <w:rPr>
          <w:rFonts w:ascii="Arial" w:cs="Arial" w:eastAsia="Arial" w:hAnsi="Arial"/>
          <w:sz w:val="18"/>
          <w:szCs w:val="18"/>
          <w:color w:val="auto"/>
        </w:rPr>
      </w:pPr>
    </w:p>
    <w:p>
      <w:pPr>
        <w:ind w:left="220" w:hanging="167"/>
        <w:spacing w:after="0"/>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Be independent and may not accept compensatory fees, other than board of director fees, from the Company or its subsidiaries;</w:t>
      </w:r>
    </w:p>
    <w:p>
      <w:pPr>
        <w:spacing w:after="0" w:line="225" w:lineRule="exact"/>
        <w:rPr>
          <w:rFonts w:ascii="Arial" w:cs="Arial" w:eastAsia="Arial" w:hAnsi="Arial"/>
          <w:sz w:val="18"/>
          <w:szCs w:val="18"/>
          <w:color w:val="auto"/>
        </w:rPr>
      </w:pPr>
    </w:p>
    <w:p>
      <w:pPr>
        <w:ind w:left="220" w:right="20" w:hanging="167"/>
        <w:spacing w:after="0" w:line="277" w:lineRule="auto"/>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Be provided appropriate funding to fulfill its responsibilities and to have the authority to engage, terminate and compensate independent counsel and other advisers, as it deems necessary to fulfill its duties;</w:t>
      </w:r>
    </w:p>
    <w:p>
      <w:pPr>
        <w:spacing w:after="0" w:line="170" w:lineRule="exact"/>
        <w:rPr>
          <w:rFonts w:ascii="Arial" w:cs="Arial" w:eastAsia="Arial" w:hAnsi="Arial"/>
          <w:sz w:val="18"/>
          <w:szCs w:val="18"/>
          <w:color w:val="auto"/>
        </w:rPr>
      </w:pPr>
    </w:p>
    <w:p>
      <w:pPr>
        <w:ind w:left="220" w:hanging="167"/>
        <w:spacing w:after="0"/>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Appoint, compensate, and oversee the work of the external auditors, with the external auditors reporting directly to the Committee;</w:t>
      </w:r>
    </w:p>
    <w:p>
      <w:pPr>
        <w:spacing w:after="0" w:line="225" w:lineRule="exact"/>
        <w:rPr>
          <w:rFonts w:ascii="Arial" w:cs="Arial" w:eastAsia="Arial" w:hAnsi="Arial"/>
          <w:sz w:val="18"/>
          <w:szCs w:val="18"/>
          <w:color w:val="auto"/>
        </w:rPr>
      </w:pPr>
    </w:p>
    <w:p>
      <w:pPr>
        <w:ind w:left="220" w:hanging="167"/>
        <w:spacing w:after="0"/>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Resolve any disputes between management and the external auditors regarding financial reporting;</w:t>
      </w:r>
    </w:p>
    <w:p>
      <w:pPr>
        <w:spacing w:after="0" w:line="225" w:lineRule="exact"/>
        <w:rPr>
          <w:rFonts w:ascii="Arial" w:cs="Arial" w:eastAsia="Arial" w:hAnsi="Arial"/>
          <w:sz w:val="18"/>
          <w:szCs w:val="18"/>
          <w:color w:val="auto"/>
        </w:rPr>
      </w:pPr>
    </w:p>
    <w:p>
      <w:pPr>
        <w:ind w:left="220" w:hanging="167"/>
        <w:spacing w:after="0"/>
        <w:tabs>
          <w:tab w:leader="none" w:pos="220" w:val="left"/>
        </w:tabs>
        <w:numPr>
          <w:ilvl w:val="0"/>
          <w:numId w:val="18"/>
        </w:numPr>
        <w:rPr>
          <w:rFonts w:ascii="Arial" w:cs="Arial" w:eastAsia="Arial" w:hAnsi="Arial"/>
          <w:sz w:val="17"/>
          <w:szCs w:val="17"/>
          <w:color w:val="auto"/>
        </w:rPr>
      </w:pPr>
      <w:r>
        <w:rPr>
          <w:rFonts w:ascii="Arial" w:cs="Arial" w:eastAsia="Arial" w:hAnsi="Arial"/>
          <w:sz w:val="17"/>
          <w:szCs w:val="17"/>
          <w:color w:val="auto"/>
        </w:rPr>
        <w:t>Pre-approve all external audit and non-audit services, including the fees and terms of all non-audit services provided by the external auditors;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431800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0" w:hanging="167"/>
        <w:spacing w:after="0"/>
        <w:tabs>
          <w:tab w:leader="none" w:pos="2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Establish a process for handling anonymous concerns and complaints from employees regarding questionable accounting or auditing matters;</w:t>
      </w:r>
    </w:p>
    <w:p>
      <w:pPr>
        <w:spacing w:after="0" w:line="236" w:lineRule="exact"/>
        <w:rPr>
          <w:rFonts w:ascii="Arial" w:cs="Arial" w:eastAsia="Arial" w:hAnsi="Arial"/>
          <w:sz w:val="17"/>
          <w:szCs w:val="17"/>
          <w:color w:val="auto"/>
        </w:rPr>
      </w:pPr>
    </w:p>
    <w:p>
      <w:pPr>
        <w:ind w:left="220" w:hanging="167"/>
        <w:spacing w:after="0"/>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Oversee new certifications by management in regard to fairness and completeness of reported financial information, disclosures, and internal controls;</w:t>
      </w:r>
    </w:p>
    <w:p>
      <w:pPr>
        <w:spacing w:after="0" w:line="248" w:lineRule="exact"/>
        <w:rPr>
          <w:rFonts w:ascii="Arial" w:cs="Arial" w:eastAsia="Arial" w:hAnsi="Arial"/>
          <w:sz w:val="16"/>
          <w:szCs w:val="16"/>
          <w:color w:val="auto"/>
        </w:rPr>
      </w:pPr>
    </w:p>
    <w:p>
      <w:pPr>
        <w:ind w:left="220" w:right="240" w:hanging="167"/>
        <w:spacing w:after="0" w:line="277"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Obtain from the external auditor written reports on all critical accounting policies and practices, all GAAP treatments discussed within the organization, and other pertinent communications;</w:t>
      </w:r>
    </w:p>
    <w:p>
      <w:pPr>
        <w:spacing w:after="0" w:line="170" w:lineRule="exact"/>
        <w:rPr>
          <w:rFonts w:ascii="Arial" w:cs="Arial" w:eastAsia="Arial" w:hAnsi="Arial"/>
          <w:sz w:val="18"/>
          <w:szCs w:val="18"/>
          <w:color w:val="auto"/>
        </w:rPr>
      </w:pPr>
    </w:p>
    <w:p>
      <w:pPr>
        <w:ind w:left="220" w:right="180" w:hanging="167"/>
        <w:spacing w:after="0" w:line="279" w:lineRule="auto"/>
        <w:tabs>
          <w:tab w:leader="none" w:pos="2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Obtain and review an annual report by the external auditor describing the external auditor’s internal quality control procedures and any material issues raised by the most recent internal quality control review or peer review of the external auditor’s firm, or by any inquiry or investigation by the governmental or professional authorities, within the preceding five years, respecting one or more independent audits carried out by the external auditor’s firm and steps taken to address those issues and all relationships between the external auditor and the Company;</w:t>
      </w:r>
    </w:p>
    <w:p>
      <w:pPr>
        <w:spacing w:after="0" w:line="171" w:lineRule="exact"/>
        <w:rPr>
          <w:rFonts w:ascii="Arial" w:cs="Arial" w:eastAsia="Arial" w:hAnsi="Arial"/>
          <w:sz w:val="17"/>
          <w:szCs w:val="17"/>
          <w:color w:val="auto"/>
        </w:rPr>
      </w:pPr>
    </w:p>
    <w:p>
      <w:pPr>
        <w:ind w:left="220" w:right="440" w:hanging="167"/>
        <w:spacing w:after="0" w:line="286" w:lineRule="auto"/>
        <w:tabs>
          <w:tab w:leader="none" w:pos="2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Discuss with the external auditors significant matters in the financial statements and the quality and acceptability of financial reporting decisions and judgments. Included in these discussions should be reports of disagreements with management, difficulties encountered during the audit, significant deficiencies in internal control, fraud and illegal acts, and major issues discussed with management prior to retention;</w:t>
      </w:r>
    </w:p>
    <w:p>
      <w:pPr>
        <w:spacing w:after="0" w:line="165" w:lineRule="exact"/>
        <w:rPr>
          <w:rFonts w:ascii="Arial" w:cs="Arial" w:eastAsia="Arial" w:hAnsi="Arial"/>
          <w:sz w:val="17"/>
          <w:szCs w:val="17"/>
          <w:color w:val="auto"/>
        </w:rPr>
      </w:pPr>
    </w:p>
    <w:p>
      <w:pPr>
        <w:ind w:left="220" w:hanging="167"/>
        <w:spacing w:after="0" w:line="308" w:lineRule="auto"/>
        <w:tabs>
          <w:tab w:leader="none" w:pos="2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Oversee the responsibilities of and maintain a direct reporting relationship with the Company’s Director of Internal Audit and such person’s staff, including maintaining a regular meeting schedule with the IA Director independent of and apart from its meetings with Company management;</w:t>
      </w:r>
    </w:p>
    <w:p>
      <w:pPr>
        <w:spacing w:after="0" w:line="146" w:lineRule="exact"/>
        <w:rPr>
          <w:rFonts w:ascii="Arial" w:cs="Arial" w:eastAsia="Arial" w:hAnsi="Arial"/>
          <w:sz w:val="17"/>
          <w:szCs w:val="17"/>
          <w:color w:val="auto"/>
        </w:rPr>
      </w:pPr>
    </w:p>
    <w:p>
      <w:pPr>
        <w:ind w:left="220" w:hanging="167"/>
        <w:spacing w:after="0"/>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Prepare the Committee report that the SEC rules require be included in the Company’s annual proxy statement;</w:t>
      </w:r>
    </w:p>
    <w:p>
      <w:pPr>
        <w:spacing w:after="0" w:line="225" w:lineRule="exact"/>
        <w:rPr>
          <w:rFonts w:ascii="Arial" w:cs="Arial" w:eastAsia="Arial" w:hAnsi="Arial"/>
          <w:sz w:val="18"/>
          <w:szCs w:val="18"/>
          <w:color w:val="auto"/>
        </w:rPr>
      </w:pPr>
    </w:p>
    <w:p>
      <w:pPr>
        <w:ind w:left="220" w:right="520" w:hanging="167"/>
        <w:spacing w:after="0" w:line="277"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its review and discussion with management and the external auditors, recommend to the Board whether the financial statements should be included in the Company’s annual report on Form 10-K;</w:t>
      </w:r>
    </w:p>
    <w:p>
      <w:pPr>
        <w:spacing w:after="0" w:line="170" w:lineRule="exact"/>
        <w:rPr>
          <w:rFonts w:ascii="Arial" w:cs="Arial" w:eastAsia="Arial" w:hAnsi="Arial"/>
          <w:sz w:val="18"/>
          <w:szCs w:val="18"/>
          <w:color w:val="auto"/>
        </w:rPr>
      </w:pPr>
    </w:p>
    <w:p>
      <w:pPr>
        <w:ind w:left="220" w:hanging="167"/>
        <w:spacing w:after="0"/>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Perform an annual performance evaluation of the Committee and assessment of its Charter;</w:t>
      </w:r>
    </w:p>
    <w:p>
      <w:pPr>
        <w:spacing w:after="0" w:line="225" w:lineRule="exact"/>
        <w:rPr>
          <w:rFonts w:ascii="Arial" w:cs="Arial" w:eastAsia="Arial" w:hAnsi="Arial"/>
          <w:sz w:val="18"/>
          <w:szCs w:val="18"/>
          <w:color w:val="auto"/>
        </w:rPr>
      </w:pPr>
    </w:p>
    <w:p>
      <w:pPr>
        <w:ind w:left="220" w:right="100" w:hanging="167"/>
        <w:spacing w:after="0" w:line="277"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Look to the internal auditors for assurance that applicable policies, rules, and regulations have been complied with, and that the corporate culture includes effectively operating and open communications provisions; and,</w:t>
      </w:r>
    </w:p>
    <w:p>
      <w:pPr>
        <w:spacing w:after="0" w:line="170" w:lineRule="exact"/>
        <w:rPr>
          <w:rFonts w:ascii="Arial" w:cs="Arial" w:eastAsia="Arial" w:hAnsi="Arial"/>
          <w:sz w:val="18"/>
          <w:szCs w:val="18"/>
          <w:color w:val="auto"/>
        </w:rPr>
      </w:pPr>
    </w:p>
    <w:p>
      <w:pPr>
        <w:ind w:left="220" w:hanging="167"/>
        <w:spacing w:after="0"/>
        <w:tabs>
          <w:tab w:leader="none" w:pos="2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Perform such other duties enumerated in, and consistent with, this Charter and as otherwise required by Section 404 of the Sarbanes Oxley Act.</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The Committee shall meet at least four times annually or more frequently as the committee may deem appropriate.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Responsibilities</w:t>
      </w:r>
    </w:p>
    <w:p>
      <w:pPr>
        <w:spacing w:after="0" w:line="189" w:lineRule="exact"/>
        <w:rPr>
          <w:sz w:val="20"/>
          <w:szCs w:val="20"/>
          <w:color w:val="auto"/>
        </w:rPr>
      </w:pPr>
    </w:p>
    <w:p>
      <w:pPr>
        <w:ind w:right="160"/>
        <w:spacing w:after="0" w:line="276" w:lineRule="auto"/>
        <w:rPr>
          <w:sz w:val="20"/>
          <w:szCs w:val="20"/>
          <w:color w:val="auto"/>
        </w:rPr>
      </w:pPr>
      <w:r>
        <w:rPr>
          <w:rFonts w:ascii="Arial" w:cs="Arial" w:eastAsia="Arial" w:hAnsi="Arial"/>
          <w:sz w:val="17"/>
          <w:szCs w:val="17"/>
          <w:color w:val="auto"/>
        </w:rPr>
        <w:t>The Committee’s job is one of oversight and it recognizes that the Company’s management is responsible for preparing the Company’s financial statements and that the independent auditors are responsible for auditing those financial statements. Additionally, the Committee recognizes that financial management including any internal audit staff, as well as the outside auditors, have more time, knowledge and more detailed information about the Company than do Committee members; consequently, in carrying out its oversight responsibilities, the Committee is not providing any expert or special assurance as to the Company’s financial statements or any professional certification as to the outside auditor’s work.</w:t>
      </w:r>
    </w:p>
    <w:p>
      <w:pPr>
        <w:spacing w:after="0" w:line="132"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following functions shall be the common recurring activities of the Committee in carrying out its oversight function. These functions are set forth as a guide with the understanding that the Committee may diverge from this guide as appropriate given the circumstances: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0" w:right="40" w:hanging="167"/>
        <w:spacing w:after="0" w:line="259"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Review and discuss with management and the independent auditors the audited financial statements to be included in the Company’s Annual Report on Form 10-K (or the Annual Report to Shareholders if distributed prior to the filing of Form 10-K), and review and consider with the outside auditors the matters required to be discussed by Statement of Auditing Standards (“SAS”) No. 61 and No. 90 and all other applicable standards and rules, as all may be amended from time to time;</w:t>
      </w:r>
    </w:p>
    <w:p>
      <w:pPr>
        <w:spacing w:after="0" w:line="186" w:lineRule="exact"/>
        <w:rPr>
          <w:rFonts w:ascii="Arial" w:cs="Arial" w:eastAsia="Arial" w:hAnsi="Arial"/>
          <w:sz w:val="18"/>
          <w:szCs w:val="18"/>
          <w:color w:val="auto"/>
        </w:rPr>
      </w:pPr>
    </w:p>
    <w:p>
      <w:pPr>
        <w:ind w:left="220" w:right="120" w:hanging="167"/>
        <w:spacing w:after="0" w:line="342" w:lineRule="auto"/>
        <w:tabs>
          <w:tab w:leader="none" w:pos="2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Review with the outside auditors the Company’s interim financial results to be included in the Company’s quarterly reports to be filed with Securities and Exchange Commission and the matters required to be discussed by SAS No. 61; this review will occur prior to the Company’s filing of the Form 10-Q;</w:t>
      </w:r>
    </w:p>
    <w:p>
      <w:pPr>
        <w:spacing w:after="0" w:line="123" w:lineRule="exact"/>
        <w:rPr>
          <w:rFonts w:ascii="Arial" w:cs="Arial" w:eastAsia="Arial" w:hAnsi="Arial"/>
          <w:sz w:val="16"/>
          <w:szCs w:val="16"/>
          <w:color w:val="auto"/>
        </w:rPr>
      </w:pPr>
    </w:p>
    <w:p>
      <w:pPr>
        <w:ind w:left="220" w:hanging="167"/>
        <w:spacing w:after="0"/>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Discuss with management the quality and adequacy of the Company’s internal controls;</w:t>
      </w:r>
    </w:p>
    <w:p>
      <w:pPr>
        <w:spacing w:after="0" w:line="225" w:lineRule="exact"/>
        <w:rPr>
          <w:rFonts w:ascii="Arial" w:cs="Arial" w:eastAsia="Arial" w:hAnsi="Arial"/>
          <w:sz w:val="18"/>
          <w:szCs w:val="18"/>
          <w:color w:val="auto"/>
        </w:rPr>
      </w:pPr>
    </w:p>
    <w:p>
      <w:pPr>
        <w:ind w:left="220" w:right="480" w:hanging="167"/>
        <w:spacing w:after="0" w:line="277"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Discuss with external auditors any significant matters regarding internal controls over financial reporting that have come to their attention during the conduct of their audit; and,</w:t>
      </w:r>
    </w:p>
    <w:p>
      <w:pPr>
        <w:spacing w:after="0" w:line="170" w:lineRule="exact"/>
        <w:rPr>
          <w:rFonts w:ascii="Arial" w:cs="Arial" w:eastAsia="Arial" w:hAnsi="Arial"/>
          <w:sz w:val="18"/>
          <w:szCs w:val="18"/>
          <w:color w:val="auto"/>
        </w:rPr>
      </w:pPr>
    </w:p>
    <w:p>
      <w:pPr>
        <w:ind w:left="220" w:hanging="167"/>
        <w:spacing w:after="0" w:line="264"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Review disclosures made to the Committee by the Company’s chief executive officer and chief financial officer during their certification process for Forms 10-K and 10-Q about any significant deficiencies in the design or operation of internal controls or material weaknesses therein and any fraud involving management or other employees who have a significant role in the Company’s internal controls.</w:t>
      </w:r>
    </w:p>
    <w:p>
      <w:pPr>
        <w:spacing w:after="0" w:line="181" w:lineRule="exact"/>
        <w:rPr>
          <w:rFonts w:ascii="Arial" w:cs="Arial" w:eastAsia="Arial" w:hAnsi="Arial"/>
          <w:sz w:val="18"/>
          <w:szCs w:val="18"/>
          <w:color w:val="auto"/>
        </w:rPr>
      </w:pPr>
    </w:p>
    <w:p>
      <w:pPr>
        <w:ind w:left="220" w:right="340" w:hanging="167"/>
        <w:spacing w:after="0" w:line="277"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audit committee shall review the independence and performance of the auditors. With respect to the independence of the independent auditors, the Committee shall:</w:t>
      </w:r>
    </w:p>
    <w:p>
      <w:pPr>
        <w:spacing w:after="0" w:line="170" w:lineRule="exact"/>
        <w:rPr>
          <w:rFonts w:ascii="Arial" w:cs="Arial" w:eastAsia="Arial" w:hAnsi="Arial"/>
          <w:sz w:val="18"/>
          <w:szCs w:val="18"/>
          <w:color w:val="auto"/>
        </w:rPr>
      </w:pPr>
    </w:p>
    <w:p>
      <w:pPr>
        <w:ind w:left="460" w:right="320" w:hanging="177"/>
        <w:spacing w:after="0" w:line="277" w:lineRule="auto"/>
        <w:tabs>
          <w:tab w:leader="none" w:pos="4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Request from the outside auditors annually, a formal written statement delineating all relationships between the auditor and the Company consistent with Independence Standards Board Standard Number 1;</w:t>
      </w:r>
    </w:p>
    <w:p>
      <w:pPr>
        <w:spacing w:after="0" w:line="170" w:lineRule="exact"/>
        <w:rPr>
          <w:rFonts w:ascii="Arial" w:cs="Arial" w:eastAsia="Arial" w:hAnsi="Arial"/>
          <w:sz w:val="18"/>
          <w:szCs w:val="18"/>
          <w:color w:val="auto"/>
        </w:rPr>
      </w:pPr>
    </w:p>
    <w:p>
      <w:pPr>
        <w:ind w:left="460" w:hanging="177"/>
        <w:spacing w:after="0"/>
        <w:tabs>
          <w:tab w:leader="none" w:pos="4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Discuss with the outside auditors any such disclosed relationships and their impact on the outside auditor’s independence; and,</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Recommend that the Board take appropriate action to oversee the independence of the outside auditor.</w:t>
      </w:r>
    </w:p>
    <w:p>
      <w:pPr>
        <w:spacing w:after="0" w:line="225" w:lineRule="exact"/>
        <w:rPr>
          <w:rFonts w:ascii="Arial" w:cs="Arial" w:eastAsia="Arial" w:hAnsi="Arial"/>
          <w:sz w:val="18"/>
          <w:szCs w:val="18"/>
          <w:color w:val="auto"/>
        </w:rPr>
      </w:pPr>
    </w:p>
    <w:p>
      <w:pPr>
        <w:ind w:left="220" w:right="300" w:hanging="167"/>
        <w:spacing w:after="0" w:line="277"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Committee, subject to any action that may be taken by the full Board, shall have the ultimate authority and responsibility to select (or nominate for shareholder approval), evaluate and, where appropriate, replace the outside auditor.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Matters</w:t>
      </w:r>
    </w:p>
    <w:p>
      <w:pPr>
        <w:spacing w:after="0" w:line="20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The Committee shall prepare such reports as are required by the Securities and Exchange Commission for inclusion in the Company’s annual proxy statement and maintain minutes of its meetings.</w:t>
      </w:r>
    </w:p>
    <w:sectPr>
      <w:pgSz w:w="11900" w:h="16838" w:orient="portrait"/>
      <w:cols w:equalWidth="0" w:num="1">
        <w:col w:w="11420"/>
      </w:cols>
      <w:pgMar w:left="240" w:top="41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16231B"/>
    <w:multiLevelType w:val="hybridMultilevel"/>
    <w:lvl w:ilvl="0">
      <w:lvlJc w:val="left"/>
      <w:lvlText w:val="☒"/>
      <w:numFmt w:val="bullet"/>
      <w:start w:val="1"/>
    </w:lvl>
  </w:abstractNum>
  <w:abstractNum w:abstractNumId="1">
    <w:nsid w:val="1F16E9E8"/>
    <w:multiLevelType w:val="hybridMultilevel"/>
    <w:lvl w:ilvl="0">
      <w:lvlJc w:val="left"/>
      <w:lvlText w:val="☒"/>
      <w:numFmt w:val="bullet"/>
      <w:start w:val="1"/>
    </w:lvl>
  </w:abstractNum>
  <w:abstractNum w:abstractNumId="2">
    <w:nsid w:val="1190CDE7"/>
    <w:multiLevelType w:val="hybridMultilevel"/>
    <w:lvl w:ilvl="0">
      <w:lvlJc w:val="left"/>
      <w:lvlText w:val="(%1)"/>
      <w:numFmt w:val="decimal"/>
      <w:start w:val="1"/>
    </w:lvl>
  </w:abstractNum>
  <w:abstractNum w:abstractNumId="3">
    <w:nsid w:val="66EF438D"/>
    <w:multiLevelType w:val="hybridMultilevel"/>
    <w:lvl w:ilvl="0">
      <w:lvlJc w:val="left"/>
      <w:lvlText w:val="(%1)"/>
      <w:numFmt w:val="decimal"/>
      <w:start w:val="1"/>
    </w:lvl>
  </w:abstractNum>
  <w:abstractNum w:abstractNumId="4">
    <w:nsid w:val="140E0F76"/>
    <w:multiLevelType w:val="hybridMultilevel"/>
    <w:lvl w:ilvl="0">
      <w:lvlJc w:val="left"/>
      <w:lvlText w:val="%1."/>
      <w:numFmt w:val="decimal"/>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1)"/>
      <w:numFmt w:val="decimal"/>
      <w:start w:val="1"/>
    </w:lvl>
  </w:abstractNum>
  <w:abstractNum w:abstractNumId="7">
    <w:nsid w:val="DED7263"/>
    <w:multiLevelType w:val="hybridMultilevel"/>
    <w:lvl w:ilvl="0">
      <w:lvlJc w:val="left"/>
      <w:lvlText w:val="(%1)"/>
      <w:numFmt w:val="decimal"/>
      <w:start w:val="1"/>
    </w:lvl>
  </w:abstractNum>
  <w:abstractNum w:abstractNumId="8">
    <w:nsid w:val="7FDCC233"/>
    <w:multiLevelType w:val="hybridMultilevel"/>
    <w:lvl w:ilvl="0">
      <w:lvlJc w:val="left"/>
      <w:lvlText w:val="(%1)"/>
      <w:numFmt w:val="decimal"/>
      <w:start w:val="1"/>
    </w:lvl>
  </w:abstractNum>
  <w:abstractNum w:abstractNumId="9">
    <w:nsid w:val="1BEFD79F"/>
    <w:multiLevelType w:val="hybridMultilevel"/>
    <w:lvl w:ilvl="0">
      <w:lvlJc w:val="left"/>
      <w:lvlText w:val="•"/>
      <w:numFmt w:val="bullet"/>
      <w:start w:val="1"/>
    </w:lvl>
  </w:abstractNum>
  <w:abstractNum w:abstractNumId="10">
    <w:nsid w:val="41A7C4C9"/>
    <w:multiLevelType w:val="hybridMultilevel"/>
    <w:lvl w:ilvl="0">
      <w:lvlJc w:val="left"/>
      <w:lvlText w:val="*"/>
      <w:numFmt w:val="bullet"/>
      <w:start w:val="1"/>
    </w:lvl>
    <w:lvl w:ilvl="1">
      <w:lvlJc w:val="left"/>
      <w:lvlText w:val="**"/>
      <w:numFmt w:val="bullet"/>
      <w:start w:val="1"/>
    </w:lvl>
    <w:lvl w:ilvl="2">
      <w:lvlJc w:val="left"/>
      <w:lvlText w:val="(%3)"/>
      <w:numFmt w:val="decimal"/>
      <w:start w:val="1"/>
    </w:lvl>
  </w:abstractNum>
  <w:abstractNum w:abstractNumId="11">
    <w:nsid w:val="6B68079A"/>
    <w:multiLevelType w:val="hybridMultilevel"/>
    <w:lvl w:ilvl="0">
      <w:lvlJc w:val="left"/>
      <w:lvlText w:val="(%1)"/>
      <w:numFmt w:val="decimal"/>
      <w:start w:val="2"/>
    </w:lvl>
  </w:abstractNum>
  <w:abstractNum w:abstractNumId="12">
    <w:nsid w:val="4E6AFB66"/>
    <w:multiLevelType w:val="hybridMultilevel"/>
    <w:lvl w:ilvl="0">
      <w:lvlJc w:val="left"/>
      <w:lvlText w:val="(%1)"/>
      <w:numFmt w:val="decimal"/>
      <w:start w:val="7"/>
    </w:lvl>
  </w:abstractNum>
  <w:abstractNum w:abstractNumId="13">
    <w:nsid w:val="25E45D32"/>
    <w:multiLevelType w:val="hybridMultilevel"/>
    <w:lvl w:ilvl="0">
      <w:lvlJc w:val="left"/>
      <w:lvlText w:val="•"/>
      <w:numFmt w:val="bullet"/>
      <w:start w:val="1"/>
    </w:lvl>
  </w:abstractNum>
  <w:abstractNum w:abstractNumId="14">
    <w:nsid w:val="519B500D"/>
    <w:multiLevelType w:val="hybridMultilevel"/>
    <w:lvl w:ilvl="0">
      <w:lvlJc w:val="left"/>
      <w:lvlText w:val="•"/>
      <w:numFmt w:val="bullet"/>
      <w:start w:val="1"/>
    </w:lvl>
  </w:abstractNum>
  <w:abstractNum w:abstractNumId="15">
    <w:nsid w:val="431BD7B7"/>
    <w:multiLevelType w:val="hybridMultilevel"/>
    <w:lvl w:ilvl="0">
      <w:lvlJc w:val="left"/>
      <w:lvlText w:val="(%1)"/>
      <w:numFmt w:val="decimal"/>
      <w:start w:val="1"/>
    </w:lvl>
  </w:abstractNum>
  <w:abstractNum w:abstractNumId="16">
    <w:nsid w:val="3F2DBA31"/>
    <w:multiLevelType w:val="hybridMultilevel"/>
    <w:lvl w:ilvl="0">
      <w:lvlJc w:val="left"/>
      <w:lvlText w:val="(%1)"/>
      <w:numFmt w:val="decimal"/>
      <w:start w:val="1"/>
    </w:lvl>
  </w:abstractNum>
  <w:abstractNum w:abstractNumId="17">
    <w:nsid w:val="7C83E458"/>
    <w:multiLevelType w:val="hybridMultilevel"/>
    <w:lvl w:ilvl="0">
      <w:lvlJc w:val="left"/>
      <w:lvlText w:val="•"/>
      <w:numFmt w:val="bullet"/>
      <w:start w:val="1"/>
    </w:lvl>
  </w:abstractNum>
  <w:abstractNum w:abstractNumId="18">
    <w:nsid w:val="257130A3"/>
    <w:multiLevelType w:val="hybridMultilevel"/>
    <w:lvl w:ilvl="0">
      <w:lvlJc w:val="left"/>
      <w:lvlText w:val="•"/>
      <w:numFmt w:val="bullet"/>
      <w:start w:val="1"/>
    </w:lvl>
  </w:abstractNum>
  <w:abstractNum w:abstractNumId="19">
    <w:nsid w:val="62BBD95A"/>
    <w:multiLevelType w:val="hybridMultilevel"/>
    <w:lvl w:ilvl="0">
      <w:lvlJc w:val="left"/>
      <w:lvlText w:val="•"/>
      <w:numFmt w:val="bullet"/>
      <w:start w:val="1"/>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jpe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jpe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2019-12-14T20:25:56Z</dcterms:created>
  <dcterms:modified xsi:type="dcterms:W3CDTF">2019-12-14T20:25:56Z</dcterms:modified>
</cp:coreProperties>
</file>