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3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37465</wp:posOffset>
            </wp:positionH>
            <wp:positionV relativeFrom="paragraph">
              <wp:posOffset>-240030</wp:posOffset>
            </wp:positionV>
            <wp:extent cx="134620" cy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6520" w:type="dxa"/>
            <w:vAlign w:val="bottom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34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6520" w:type="dxa"/>
            <w:vAlign w:val="bottom"/>
            <w:vMerge w:val="restart"/>
          </w:tcPr>
          <w:p>
            <w:pPr>
              <w:jc w:val="center"/>
              <w:ind w:right="21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5458460</wp:posOffset>
            </wp:positionH>
            <wp:positionV relativeFrom="paragraph">
              <wp:posOffset>-644525</wp:posOffset>
            </wp:positionV>
            <wp:extent cx="59055" cy="6578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4126230</wp:posOffset>
            </wp:positionH>
            <wp:positionV relativeFrom="paragraph">
              <wp:posOffset>-644525</wp:posOffset>
            </wp:positionV>
            <wp:extent cx="59055" cy="657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-1722755</wp:posOffset>
            </wp:positionH>
            <wp:positionV relativeFrom="paragraph">
              <wp:posOffset>19050</wp:posOffset>
            </wp:positionV>
            <wp:extent cx="7324090" cy="74428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744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60"/>
            <w:col w:w="8820"/>
          </w:cols>
          <w:pgMar w:left="240" w:top="224" w:right="139" w:bottom="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DAI WEILI</w:t>
        </w:r>
      </w:hyperlink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1380" w:val="left"/>
          <w:tab w:leader="none" w:pos="26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(Last)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(First)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(Middle)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700 FIRST AVENUE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2. Issuer Name </w:t>
      </w: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and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Ticker or Trading Symbol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MARVELL TECHNOLOGY GROUP LTD</w:t>
        </w:r>
      </w:hyperlink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40" w:hanging="132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21"/>
          <w:szCs w:val="21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MRVL </w:t>
      </w:r>
      <w:r>
        <w:rPr>
          <w:rFonts w:ascii="Arial" w:cs="Arial" w:eastAsia="Arial" w:hAnsi="Arial"/>
          <w:sz w:val="21"/>
          <w:szCs w:val="21"/>
          <w:color w:val="000000"/>
        </w:rPr>
        <w:t>]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3. Date of Earliest Transaction (Month/Day/Year)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04/13/2004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0" w:right="680" w:hanging="10"/>
        <w:spacing w:after="0" w:line="251" w:lineRule="auto"/>
        <w:tabs>
          <w:tab w:leader="none" w:pos="157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Relationship of Reporting Person(s) to Issuer (Check all applicable)</w:t>
      </w:r>
    </w:p>
    <w:p>
      <w:pPr>
        <w:spacing w:after="0" w:line="11" w:lineRule="exact"/>
        <w:rPr>
          <w:sz w:val="24"/>
          <w:szCs w:val="24"/>
          <w:color w:val="auto"/>
        </w:rPr>
      </w:pPr>
    </w:p>
    <w:tbl>
      <w:tblPr>
        <w:tblLayout w:type="fixed"/>
        <w:tblInd w:w="2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18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jc w:val="center"/>
        <w:ind w:right="17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Executive Vice President</w:t>
      </w:r>
    </w:p>
    <w:p>
      <w:pPr>
        <w:spacing w:after="0" w:line="2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3">
            <w:col w:w="3340" w:space="720"/>
            <w:col w:w="3740" w:space="250"/>
            <w:col w:w="3470"/>
          </w:cols>
          <w:pgMar w:left="240" w:top="224" w:right="139" w:bottom="0" w:gutter="0" w:footer="0" w:header="0"/>
          <w:type w:val="continuous"/>
        </w:sectPr>
      </w:pP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9A9A9A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60" w:type="dxa"/>
            <w:vAlign w:val="bottom"/>
            <w:gridSpan w:val="9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900" w:type="dxa"/>
            <w:vAlign w:val="bottom"/>
            <w:gridSpan w:val="11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6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0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5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SUNNYVALE   CA</w:t>
            </w:r>
          </w:p>
        </w:tc>
        <w:tc>
          <w:tcPr>
            <w:tcW w:w="11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94089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80" w:type="dxa"/>
            <w:vAlign w:val="bottom"/>
            <w:gridSpan w:val="8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vMerge w:val="restart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00" w:type="dxa"/>
            <w:vAlign w:val="bottom"/>
            <w:gridSpan w:val="8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1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2"/>
            <w:vMerge w:val="restart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74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560" w:type="dxa"/>
            <w:vAlign w:val="bottom"/>
            <w:tcBorders>
              <w:top w:val="single" w:sz="8" w:color="2C2C2C"/>
            </w:tcBorders>
            <w:gridSpan w:val="17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00" w:type="dxa"/>
            <w:vAlign w:val="bottom"/>
            <w:gridSpan w:val="3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79"/>
              </w:rPr>
              <w:t>3.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80" w:type="dxa"/>
            <w:vAlign w:val="bottom"/>
            <w:gridSpan w:val="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</w:tcPr>
          <w:p>
            <w:pPr>
              <w:ind w:left="8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ind w:right="261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8)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2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ind w:left="2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36,550</w:t>
            </w:r>
          </w:p>
        </w:tc>
        <w:tc>
          <w:tcPr>
            <w:tcW w:w="5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48.082</w:t>
            </w:r>
          </w:p>
        </w:tc>
        <w:tc>
          <w:tcPr>
            <w:tcW w:w="128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7,908,450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04/13/2004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36,550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48.082</w:t>
            </w:r>
          </w:p>
        </w:tc>
        <w:tc>
          <w:tcPr>
            <w:tcW w:w="12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7,908,450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Spouse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7"/>
                <w:vertAlign w:val="superscript"/>
              </w:rPr>
              <w:t>(1)</w:t>
            </w:r>
          </w:p>
        </w:tc>
        <w:tc>
          <w:tcPr>
            <w:tcW w:w="1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5,800,000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Sutardja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Family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Partners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8"/>
              </w:rPr>
              <w:t>91,112</w:t>
            </w: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40" w:type="dxa"/>
            <w:vAlign w:val="bottom"/>
            <w:tcBorders>
              <w:bottom w:val="single" w:sz="8" w:color="2C2C2C"/>
            </w:tcBorders>
            <w:gridSpan w:val="8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16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60" w:type="dxa"/>
            <w:vAlign w:val="bottom"/>
            <w:gridSpan w:val="14"/>
          </w:tcPr>
          <w:p>
            <w:pPr>
              <w:jc w:val="center"/>
              <w:ind w:left="4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0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460" w:type="dxa"/>
            <w:vAlign w:val="bottom"/>
            <w:gridSpan w:val="5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 of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 Underlying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gridSpan w:val="5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Direct (D)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Following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Reported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2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 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24.01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100,000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60"/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spacing w:after="0" w:line="1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1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24.01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06/06/2012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200,000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18"/>
                <w:szCs w:val="18"/>
                <w:color w:val="008000"/>
                <w:vertAlign w:val="superscript"/>
              </w:rPr>
              <w:t>(5)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36.5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1,000,000</w:t>
            </w:r>
          </w:p>
        </w:tc>
        <w:tc>
          <w:tcPr>
            <w:tcW w:w="640" w:type="dxa"/>
            <w:vAlign w:val="bottom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8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"/>
                <w:szCs w:val="9"/>
                <w:color w:val="0000FF"/>
              </w:rPr>
              <w:t>Stock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Buy)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36.5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jc w:val="right"/>
              <w:ind w:right="24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(7)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12/26/2013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1,500,000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9"/>
              </w:rPr>
              <w:t>1,500,000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jc w:val="center"/>
              <w:ind w:left="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I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20" w:type="dxa"/>
            <w:vAlign w:val="bottom"/>
            <w:gridSpan w:val="3"/>
          </w:tcPr>
          <w:p>
            <w:pPr>
              <w:ind w:left="2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Spouse</w:t>
            </w:r>
            <w:r>
              <w:rPr>
                <w:rFonts w:ascii="Arial" w:cs="Arial" w:eastAsia="Arial" w:hAnsi="Arial"/>
                <w:sz w:val="20"/>
                <w:szCs w:val="20"/>
                <w:color w:val="008000"/>
                <w:vertAlign w:val="superscript"/>
              </w:rPr>
              <w:t>(7)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7" w:lineRule="exact"/>
        <w:rPr>
          <w:sz w:val="24"/>
          <w:szCs w:val="24"/>
          <w:color w:val="auto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disclaims beneficial ownership of the shares held by Spouse, Dr. Sehat Sutardja.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is a general partner of The Sutardja Family Partners, a California family limited partnership.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These shares are held jointly by Reporting Person and her spouse, Dr. Sehat Sutardja.</w:t>
      </w:r>
    </w:p>
    <w:p>
      <w:pPr>
        <w:spacing w:after="0" w:line="49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100,000 shares which vests as follows: 25% on 06/06/03, and 2,083.33 shares per month from 07/06/03 - 06/06/06.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36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200,000 shares which vests as follows: 25% on 06/06/03, and 4,166.66 shares per month from 07/06/03 - 06/06/06. Options become exerciseable as they vest. The Reporting Person disclaims benefical ownership in the Stock Option (Right to Buy) held by her spouse, Dr. Sehat Sutardja.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4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directly one Stock Option (Right to Buy) of 1,000,000 shares which vests as follows: 25 % on 12/26/04, and 20,833 shares per month from 01/26/05 - 12/26/07. Options become exerciseable as they vest.</w:t>
      </w:r>
    </w:p>
    <w:p>
      <w:pPr>
        <w:spacing w:after="0" w:line="16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720" w:firstLine="6"/>
        <w:spacing w:after="0" w:line="264" w:lineRule="auto"/>
        <w:tabs>
          <w:tab w:leader="none" w:pos="173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Reporting Person owns indirectly one Stock Option (Right to Buy) of 1,500,000 which vests as follows; 25% on 12/26/04, and 31,250 shares per month from 01/26/05 - 12/26/07. Options become exerciseable as they vest. The Reporting Person disclaims beneficial ownership in the Stock Option (Right to Buy) held by her spouse, Dr. Sehat Sutardja.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Ms. Weili Dai</w:t>
            </w:r>
          </w:p>
        </w:tc>
        <w:tc>
          <w:tcPr>
            <w:tcW w:w="2100" w:type="dxa"/>
            <w:vAlign w:val="bottom"/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04/15/2004</w:t>
            </w:r>
          </w:p>
        </w:tc>
      </w:tr>
      <w:tr>
        <w:trPr>
          <w:trHeight w:val="20"/>
        </w:trPr>
        <w:tc>
          <w:tcPr>
            <w:tcW w:w="9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p>
      <w:pPr>
        <w:ind w:left="6860"/>
        <w:spacing w:after="0"/>
        <w:tabs>
          <w:tab w:leader="none" w:pos="91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ectPr>
          <w:pgSz w:w="11900" w:h="16838" w:orient="portrait"/>
          <w:cols w:equalWidth="0" w:num="1">
            <w:col w:w="11520"/>
          </w:cols>
          <w:pgMar w:left="240" w:top="224" w:right="139" w:bottom="0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right="2519" w:firstLine="6"/>
        <w:spacing w:after="0" w:line="318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179"/>
      </w:cols>
      <w:pgMar w:left="280" w:top="1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["/>
      <w:numFmt w:val="bullet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5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625558EC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://www.sec.gov/cgi-bin/browse-edgar?action=getcompany&amp;CIK=0001134140" TargetMode="External"/><Relationship Id="rId13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2019-12-17T03:11:08Z</dcterms:created>
  <dcterms:modified xsi:type="dcterms:W3CDTF">2019-12-17T03:11:08Z</dcterms:modified>
</cp:coreProperties>
</file>