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jc w:val="right"/>
        <w:spacing w:after="0"/>
        <w:rPr>
          <w:sz w:val="20"/>
          <w:szCs w:val="20"/>
          <w:color w:val="auto"/>
        </w:rPr>
      </w:pPr>
      <w:r>
        <w:rPr>
          <w:rFonts w:ascii="Arial" w:cs="Arial" w:eastAsia="Arial" w:hAnsi="Arial"/>
          <w:sz w:val="18"/>
          <w:szCs w:val="18"/>
          <w:color w:val="auto"/>
        </w:rPr>
        <w:t>Filed pursuant to Rule 424(b)(3)</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Registration No. 333-106833</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PROSPECTUS SUPPLEMENT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 Prospectus dated October 6, 2003</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3,986,921 Shares</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20"/>
          <w:szCs w:val="20"/>
          <w:b w:val="1"/>
          <w:bCs w:val="1"/>
          <w:color w:val="auto"/>
        </w:rPr>
        <w:t>COMMON STOCK</w:t>
      </w:r>
    </w:p>
    <w:p>
      <w:pPr>
        <w:spacing w:after="0" w:line="21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This prospectus supplement relates to the resale, from time to time, of up to 3,986,921 shares of our common stock by our shareholders.</w:t>
      </w:r>
    </w:p>
    <w:p>
      <w:pPr>
        <w:spacing w:after="0" w:line="185" w:lineRule="exact"/>
        <w:rPr>
          <w:sz w:val="20"/>
          <w:szCs w:val="20"/>
          <w:color w:val="auto"/>
        </w:rPr>
      </w:pPr>
    </w:p>
    <w:p>
      <w:pPr>
        <w:ind w:right="620" w:firstLine="222"/>
        <w:spacing w:after="0" w:line="277" w:lineRule="auto"/>
        <w:rPr>
          <w:sz w:val="20"/>
          <w:szCs w:val="20"/>
          <w:color w:val="auto"/>
        </w:rPr>
      </w:pPr>
      <w:r>
        <w:rPr>
          <w:rFonts w:ascii="Arial" w:cs="Arial" w:eastAsia="Arial" w:hAnsi="Arial"/>
          <w:sz w:val="18"/>
          <w:szCs w:val="18"/>
          <w:color w:val="auto"/>
        </w:rPr>
        <w:t>This prospectus supplement should be read in conjunction with the prospectus dated October 6, 2003, which is to be delivered with this prospectus supplement.</w:t>
      </w:r>
    </w:p>
    <w:p>
      <w:pPr>
        <w:spacing w:after="0" w:line="130" w:lineRule="exact"/>
        <w:rPr>
          <w:sz w:val="20"/>
          <w:szCs w:val="20"/>
          <w:color w:val="auto"/>
        </w:rPr>
      </w:pPr>
    </w:p>
    <w:p>
      <w:pPr>
        <w:ind w:right="760" w:firstLine="222"/>
        <w:spacing w:after="0" w:line="277" w:lineRule="auto"/>
        <w:rPr>
          <w:sz w:val="20"/>
          <w:szCs w:val="20"/>
          <w:color w:val="auto"/>
        </w:rPr>
      </w:pPr>
      <w:r>
        <w:rPr>
          <w:rFonts w:ascii="Arial" w:cs="Arial" w:eastAsia="Arial" w:hAnsi="Arial"/>
          <w:sz w:val="18"/>
          <w:szCs w:val="18"/>
          <w:color w:val="auto"/>
        </w:rPr>
        <w:t>The information in the table appearing under the heading “Selling Shareholders” in the prospectus is supplemented and superseded in part by the information appearing in the table below:</w:t>
      </w:r>
    </w:p>
    <w:p>
      <w:pPr>
        <w:spacing w:after="0" w:line="3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400" w:type="dxa"/>
            <w:vAlign w:val="bottom"/>
          </w:tcPr>
          <w:p>
            <w:pPr>
              <w:jc w:val="center"/>
              <w:spacing w:after="0"/>
              <w:rPr>
                <w:sz w:val="20"/>
                <w:szCs w:val="20"/>
                <w:color w:val="auto"/>
              </w:rPr>
            </w:pPr>
            <w:r>
              <w:rPr>
                <w:rFonts w:ascii="Arial" w:cs="Arial" w:eastAsia="Arial" w:hAnsi="Arial"/>
                <w:sz w:val="14"/>
                <w:szCs w:val="14"/>
                <w:b w:val="1"/>
                <w:bCs w:val="1"/>
                <w:color w:val="auto"/>
                <w:w w:val="85"/>
              </w:rPr>
              <w:t>Shares</w:t>
            </w:r>
          </w:p>
        </w:tc>
        <w:tc>
          <w:tcPr>
            <w:tcW w:w="500" w:type="dxa"/>
            <w:vAlign w:val="bottom"/>
          </w:tcPr>
          <w:p>
            <w:pPr>
              <w:spacing w:after="0"/>
              <w:rPr>
                <w:sz w:val="14"/>
                <w:szCs w:val="14"/>
                <w:color w:val="auto"/>
              </w:rPr>
            </w:pPr>
          </w:p>
        </w:tc>
        <w:tc>
          <w:tcPr>
            <w:tcW w:w="12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Number of</w:t>
            </w:r>
          </w:p>
        </w:tc>
        <w:tc>
          <w:tcPr>
            <w:tcW w:w="500" w:type="dxa"/>
            <w:vAlign w:val="bottom"/>
          </w:tcPr>
          <w:p>
            <w:pPr>
              <w:spacing w:after="0"/>
              <w:rPr>
                <w:sz w:val="14"/>
                <w:szCs w:val="14"/>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9"/>
              </w:rPr>
              <w:t>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Beneficially</w:t>
            </w:r>
          </w:p>
        </w:tc>
        <w:tc>
          <w:tcPr>
            <w:tcW w:w="500" w:type="dxa"/>
            <w:vAlign w:val="bottom"/>
          </w:tcPr>
          <w:p>
            <w:pPr>
              <w:spacing w:after="0"/>
              <w:rPr>
                <w:sz w:val="12"/>
                <w:szCs w:val="12"/>
                <w:color w:val="auto"/>
              </w:rPr>
            </w:pPr>
          </w:p>
        </w:tc>
        <w:tc>
          <w:tcPr>
            <w:tcW w:w="1280" w:type="dxa"/>
            <w:vAlign w:val="bottom"/>
            <w:vMerge w:val="continue"/>
          </w:tcPr>
          <w:p>
            <w:pPr>
              <w:spacing w:after="0"/>
              <w:rPr>
                <w:sz w:val="12"/>
                <w:szCs w:val="12"/>
                <w:color w:val="auto"/>
              </w:rPr>
            </w:pPr>
          </w:p>
        </w:tc>
        <w:tc>
          <w:tcPr>
            <w:tcW w:w="50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Beneficially</w:t>
            </w:r>
          </w:p>
        </w:tc>
        <w:tc>
          <w:tcPr>
            <w:tcW w:w="0" w:type="dxa"/>
            <w:vAlign w:val="bottom"/>
          </w:tcPr>
          <w:p>
            <w:pPr>
              <w:spacing w:after="0"/>
              <w:rPr>
                <w:sz w:val="1"/>
                <w:szCs w:val="1"/>
                <w:color w:val="auto"/>
              </w:rPr>
            </w:pPr>
          </w:p>
        </w:tc>
      </w:tr>
      <w:tr>
        <w:trPr>
          <w:trHeight w:val="149"/>
        </w:trPr>
        <w:tc>
          <w:tcPr>
            <w:tcW w:w="60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500" w:type="dxa"/>
            <w:vAlign w:val="bottom"/>
          </w:tcPr>
          <w:p>
            <w:pPr>
              <w:spacing w:after="0"/>
              <w:rPr>
                <w:sz w:val="12"/>
                <w:szCs w:val="12"/>
                <w:color w:val="auto"/>
              </w:rPr>
            </w:pPr>
          </w:p>
        </w:tc>
        <w:tc>
          <w:tcPr>
            <w:tcW w:w="1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Owned Prior to</w:t>
            </w:r>
          </w:p>
        </w:tc>
        <w:tc>
          <w:tcPr>
            <w:tcW w:w="500" w:type="dxa"/>
            <w:vAlign w:val="bottom"/>
          </w:tcPr>
          <w:p>
            <w:pPr>
              <w:spacing w:after="0"/>
              <w:rPr>
                <w:sz w:val="12"/>
                <w:szCs w:val="12"/>
                <w:color w:val="auto"/>
              </w:rPr>
            </w:pPr>
          </w:p>
        </w:tc>
        <w:tc>
          <w:tcPr>
            <w:tcW w:w="12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Shares Being</w:t>
            </w:r>
          </w:p>
        </w:tc>
        <w:tc>
          <w:tcPr>
            <w:tcW w:w="50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Owned After</w:t>
            </w:r>
          </w:p>
        </w:tc>
        <w:tc>
          <w:tcPr>
            <w:tcW w:w="0" w:type="dxa"/>
            <w:vAlign w:val="bottom"/>
          </w:tcPr>
          <w:p>
            <w:pPr>
              <w:spacing w:after="0"/>
              <w:rPr>
                <w:sz w:val="1"/>
                <w:szCs w:val="1"/>
                <w:color w:val="auto"/>
              </w:rPr>
            </w:pPr>
          </w:p>
        </w:tc>
      </w:tr>
      <w:tr>
        <w:trPr>
          <w:trHeight w:val="186"/>
        </w:trPr>
        <w:tc>
          <w:tcPr>
            <w:tcW w:w="6060" w:type="dxa"/>
            <w:vAlign w:val="bottom"/>
            <w:gridSpan w:val="2"/>
            <w:vMerge w:val="continue"/>
          </w:tcPr>
          <w:p>
            <w:pPr>
              <w:spacing w:after="0"/>
              <w:rPr>
                <w:sz w:val="16"/>
                <w:szCs w:val="16"/>
                <w:color w:val="auto"/>
              </w:rPr>
            </w:pPr>
          </w:p>
        </w:tc>
        <w:tc>
          <w:tcPr>
            <w:tcW w:w="500" w:type="dxa"/>
            <w:vAlign w:val="bottom"/>
          </w:tcPr>
          <w:p>
            <w:pPr>
              <w:spacing w:after="0"/>
              <w:rPr>
                <w:sz w:val="16"/>
                <w:szCs w:val="16"/>
                <w:color w:val="auto"/>
              </w:rPr>
            </w:pPr>
          </w:p>
        </w:tc>
        <w:tc>
          <w:tcPr>
            <w:tcW w:w="1400" w:type="dxa"/>
            <w:vAlign w:val="bottom"/>
          </w:tcPr>
          <w:p>
            <w:pPr>
              <w:jc w:val="center"/>
              <w:spacing w:after="0"/>
              <w:rPr>
                <w:sz w:val="20"/>
                <w:szCs w:val="20"/>
                <w:color w:val="auto"/>
              </w:rPr>
            </w:pPr>
            <w:r>
              <w:rPr>
                <w:rFonts w:ascii="Arial" w:cs="Arial" w:eastAsia="Arial" w:hAnsi="Arial"/>
                <w:sz w:val="14"/>
                <w:szCs w:val="14"/>
                <w:b w:val="1"/>
                <w:bCs w:val="1"/>
                <w:color w:val="auto"/>
                <w:w w:val="95"/>
              </w:rPr>
              <w:t>Offering</w:t>
            </w:r>
          </w:p>
        </w:tc>
        <w:tc>
          <w:tcPr>
            <w:tcW w:w="500" w:type="dxa"/>
            <w:vAlign w:val="bottom"/>
          </w:tcPr>
          <w:p>
            <w:pPr>
              <w:spacing w:after="0"/>
              <w:rPr>
                <w:sz w:val="16"/>
                <w:szCs w:val="16"/>
                <w:color w:val="auto"/>
              </w:rPr>
            </w:pPr>
          </w:p>
        </w:tc>
        <w:tc>
          <w:tcPr>
            <w:tcW w:w="1280" w:type="dxa"/>
            <w:vAlign w:val="bottom"/>
          </w:tcPr>
          <w:p>
            <w:pPr>
              <w:jc w:val="center"/>
              <w:spacing w:after="0"/>
              <w:rPr>
                <w:sz w:val="20"/>
                <w:szCs w:val="20"/>
                <w:color w:val="auto"/>
              </w:rPr>
            </w:pPr>
            <w:r>
              <w:rPr>
                <w:rFonts w:ascii="Arial" w:cs="Arial" w:eastAsia="Arial" w:hAnsi="Arial"/>
                <w:sz w:val="14"/>
                <w:szCs w:val="14"/>
                <w:b w:val="1"/>
                <w:bCs w:val="1"/>
                <w:color w:val="auto"/>
                <w:w w:val="96"/>
              </w:rPr>
              <w:t>Offered</w:t>
            </w:r>
          </w:p>
        </w:tc>
        <w:tc>
          <w:tcPr>
            <w:tcW w:w="500" w:type="dxa"/>
            <w:vAlign w:val="bottom"/>
          </w:tcPr>
          <w:p>
            <w:pPr>
              <w:spacing w:after="0"/>
              <w:rPr>
                <w:sz w:val="16"/>
                <w:szCs w:val="16"/>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95"/>
              </w:rPr>
              <w:t>Offering</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604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40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1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6040" w:type="dxa"/>
            <w:vAlign w:val="bottom"/>
          </w:tcPr>
          <w:p>
            <w:pPr>
              <w:spacing w:after="0"/>
              <w:rPr>
                <w:sz w:val="6"/>
                <w:szCs w:val="6"/>
                <w:color w:val="auto"/>
              </w:rPr>
            </w:pPr>
          </w:p>
        </w:tc>
        <w:tc>
          <w:tcPr>
            <w:tcW w:w="5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500" w:type="dxa"/>
            <w:vAlign w:val="bottom"/>
          </w:tcPr>
          <w:p>
            <w:pPr>
              <w:spacing w:after="0"/>
              <w:rPr>
                <w:sz w:val="6"/>
                <w:szCs w:val="6"/>
                <w:color w:val="auto"/>
              </w:rPr>
            </w:pPr>
          </w:p>
        </w:tc>
        <w:tc>
          <w:tcPr>
            <w:tcW w:w="1280" w:type="dxa"/>
            <w:vAlign w:val="bottom"/>
          </w:tcPr>
          <w:p>
            <w:pPr>
              <w:spacing w:after="0"/>
              <w:rPr>
                <w:sz w:val="6"/>
                <w:szCs w:val="6"/>
                <w:color w:val="auto"/>
              </w:rPr>
            </w:pPr>
          </w:p>
        </w:tc>
        <w:tc>
          <w:tcPr>
            <w:tcW w:w="500" w:type="dxa"/>
            <w:vAlign w:val="bottom"/>
          </w:tcPr>
          <w:p>
            <w:pPr>
              <w:spacing w:after="0"/>
              <w:rPr>
                <w:sz w:val="6"/>
                <w:szCs w:val="6"/>
                <w:color w:val="auto"/>
              </w:rPr>
            </w:pPr>
          </w:p>
        </w:tc>
        <w:tc>
          <w:tcPr>
            <w:tcW w:w="1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Yehuda Zisapel</w:t>
            </w:r>
          </w:p>
        </w:tc>
        <w:tc>
          <w:tcPr>
            <w:tcW w:w="1900" w:type="dxa"/>
            <w:vAlign w:val="bottom"/>
            <w:gridSpan w:val="2"/>
            <w:shd w:val="clear" w:color="auto" w:fill="EEEEEE"/>
          </w:tcPr>
          <w:p>
            <w:pPr>
              <w:jc w:val="right"/>
              <w:ind w:right="328"/>
              <w:spacing w:after="0"/>
              <w:rPr>
                <w:sz w:val="20"/>
                <w:szCs w:val="20"/>
                <w:color w:val="auto"/>
              </w:rPr>
            </w:pPr>
            <w:r>
              <w:rPr>
                <w:rFonts w:ascii="Arial" w:cs="Arial" w:eastAsia="Arial" w:hAnsi="Arial"/>
                <w:sz w:val="18"/>
                <w:szCs w:val="18"/>
                <w:color w:val="auto"/>
              </w:rPr>
              <w:t>535,683</w:t>
            </w:r>
          </w:p>
        </w:tc>
        <w:tc>
          <w:tcPr>
            <w:tcW w:w="178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535,683</w:t>
            </w:r>
          </w:p>
        </w:tc>
        <w:tc>
          <w:tcPr>
            <w:tcW w:w="1680" w:type="dxa"/>
            <w:vAlign w:val="bottom"/>
            <w:gridSpan w:val="2"/>
            <w:shd w:val="clear" w:color="auto" w:fill="EEEEEE"/>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Carm-Ad Ltd.(1)</w:t>
            </w:r>
          </w:p>
        </w:tc>
        <w:tc>
          <w:tcPr>
            <w:tcW w:w="1900" w:type="dxa"/>
            <w:vAlign w:val="bottom"/>
            <w:gridSpan w:val="2"/>
          </w:tcPr>
          <w:p>
            <w:pPr>
              <w:jc w:val="right"/>
              <w:ind w:right="328"/>
              <w:spacing w:after="0"/>
              <w:rPr>
                <w:sz w:val="20"/>
                <w:szCs w:val="20"/>
                <w:color w:val="auto"/>
              </w:rPr>
            </w:pPr>
            <w:r>
              <w:rPr>
                <w:rFonts w:ascii="Arial" w:cs="Arial" w:eastAsia="Arial" w:hAnsi="Arial"/>
                <w:sz w:val="18"/>
                <w:szCs w:val="18"/>
                <w:color w:val="auto"/>
              </w:rPr>
              <w:t>72,951</w:t>
            </w:r>
          </w:p>
        </w:tc>
        <w:tc>
          <w:tcPr>
            <w:tcW w:w="1780" w:type="dxa"/>
            <w:vAlign w:val="bottom"/>
            <w:gridSpan w:val="2"/>
          </w:tcPr>
          <w:p>
            <w:pPr>
              <w:jc w:val="right"/>
              <w:ind w:right="268"/>
              <w:spacing w:after="0"/>
              <w:rPr>
                <w:sz w:val="20"/>
                <w:szCs w:val="20"/>
                <w:color w:val="auto"/>
              </w:rPr>
            </w:pPr>
            <w:r>
              <w:rPr>
                <w:rFonts w:ascii="Arial" w:cs="Arial" w:eastAsia="Arial" w:hAnsi="Arial"/>
                <w:sz w:val="18"/>
                <w:szCs w:val="18"/>
                <w:color w:val="auto"/>
              </w:rPr>
              <w:t>72,951</w:t>
            </w:r>
          </w:p>
        </w:tc>
        <w:tc>
          <w:tcPr>
            <w:tcW w:w="1680" w:type="dxa"/>
            <w:vAlign w:val="bottom"/>
            <w:gridSpan w:val="2"/>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Zohar Zisapel</w:t>
            </w:r>
          </w:p>
        </w:tc>
        <w:tc>
          <w:tcPr>
            <w:tcW w:w="1900" w:type="dxa"/>
            <w:vAlign w:val="bottom"/>
            <w:gridSpan w:val="2"/>
            <w:shd w:val="clear" w:color="auto" w:fill="EEEEEE"/>
          </w:tcPr>
          <w:p>
            <w:pPr>
              <w:jc w:val="right"/>
              <w:ind w:right="328"/>
              <w:spacing w:after="0"/>
              <w:rPr>
                <w:sz w:val="20"/>
                <w:szCs w:val="20"/>
                <w:color w:val="auto"/>
              </w:rPr>
            </w:pPr>
            <w:r>
              <w:rPr>
                <w:rFonts w:ascii="Arial" w:cs="Arial" w:eastAsia="Arial" w:hAnsi="Arial"/>
                <w:sz w:val="18"/>
                <w:szCs w:val="18"/>
                <w:color w:val="auto"/>
              </w:rPr>
              <w:t>92,098</w:t>
            </w:r>
          </w:p>
        </w:tc>
        <w:tc>
          <w:tcPr>
            <w:tcW w:w="178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92,098</w:t>
            </w:r>
          </w:p>
        </w:tc>
        <w:tc>
          <w:tcPr>
            <w:tcW w:w="1680" w:type="dxa"/>
            <w:vAlign w:val="bottom"/>
            <w:gridSpan w:val="2"/>
            <w:shd w:val="clear" w:color="auto" w:fill="EEEEEE"/>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Lomsha Ltd.(2)</w:t>
            </w:r>
          </w:p>
        </w:tc>
        <w:tc>
          <w:tcPr>
            <w:tcW w:w="1900" w:type="dxa"/>
            <w:vAlign w:val="bottom"/>
            <w:gridSpan w:val="2"/>
          </w:tcPr>
          <w:p>
            <w:pPr>
              <w:jc w:val="right"/>
              <w:ind w:right="328"/>
              <w:spacing w:after="0"/>
              <w:rPr>
                <w:sz w:val="20"/>
                <w:szCs w:val="20"/>
                <w:color w:val="auto"/>
              </w:rPr>
            </w:pPr>
            <w:r>
              <w:rPr>
                <w:rFonts w:ascii="Arial" w:cs="Arial" w:eastAsia="Arial" w:hAnsi="Arial"/>
                <w:sz w:val="18"/>
                <w:szCs w:val="18"/>
                <w:color w:val="auto"/>
              </w:rPr>
              <w:t>47,993</w:t>
            </w:r>
          </w:p>
        </w:tc>
        <w:tc>
          <w:tcPr>
            <w:tcW w:w="1780" w:type="dxa"/>
            <w:vAlign w:val="bottom"/>
            <w:gridSpan w:val="2"/>
          </w:tcPr>
          <w:p>
            <w:pPr>
              <w:jc w:val="right"/>
              <w:ind w:right="268"/>
              <w:spacing w:after="0"/>
              <w:rPr>
                <w:sz w:val="20"/>
                <w:szCs w:val="20"/>
                <w:color w:val="auto"/>
              </w:rPr>
            </w:pPr>
            <w:r>
              <w:rPr>
                <w:rFonts w:ascii="Arial" w:cs="Arial" w:eastAsia="Arial" w:hAnsi="Arial"/>
                <w:sz w:val="18"/>
                <w:szCs w:val="18"/>
                <w:color w:val="auto"/>
              </w:rPr>
              <w:t>47,993</w:t>
            </w:r>
          </w:p>
        </w:tc>
        <w:tc>
          <w:tcPr>
            <w:tcW w:w="1680" w:type="dxa"/>
            <w:vAlign w:val="bottom"/>
            <w:gridSpan w:val="2"/>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Michael and Klil Holdings (93) Ltd.(2)</w:t>
            </w:r>
          </w:p>
        </w:tc>
        <w:tc>
          <w:tcPr>
            <w:tcW w:w="1900" w:type="dxa"/>
            <w:vAlign w:val="bottom"/>
            <w:gridSpan w:val="2"/>
            <w:shd w:val="clear" w:color="auto" w:fill="EEEEEE"/>
          </w:tcPr>
          <w:p>
            <w:pPr>
              <w:jc w:val="right"/>
              <w:ind w:right="328"/>
              <w:spacing w:after="0"/>
              <w:rPr>
                <w:sz w:val="20"/>
                <w:szCs w:val="20"/>
                <w:color w:val="auto"/>
              </w:rPr>
            </w:pPr>
            <w:r>
              <w:rPr>
                <w:rFonts w:ascii="Arial" w:cs="Arial" w:eastAsia="Arial" w:hAnsi="Arial"/>
                <w:sz w:val="18"/>
                <w:szCs w:val="18"/>
                <w:color w:val="auto"/>
              </w:rPr>
              <w:t>47,993</w:t>
            </w:r>
          </w:p>
        </w:tc>
        <w:tc>
          <w:tcPr>
            <w:tcW w:w="178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47,993</w:t>
            </w:r>
          </w:p>
        </w:tc>
        <w:tc>
          <w:tcPr>
            <w:tcW w:w="1680" w:type="dxa"/>
            <w:vAlign w:val="bottom"/>
            <w:gridSpan w:val="2"/>
            <w:shd w:val="clear" w:color="auto" w:fill="EEEEEE"/>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Yossi Elihav</w:t>
            </w:r>
          </w:p>
        </w:tc>
        <w:tc>
          <w:tcPr>
            <w:tcW w:w="1900" w:type="dxa"/>
            <w:vAlign w:val="bottom"/>
            <w:gridSpan w:val="2"/>
          </w:tcPr>
          <w:p>
            <w:pPr>
              <w:jc w:val="right"/>
              <w:ind w:right="328"/>
              <w:spacing w:after="0"/>
              <w:rPr>
                <w:sz w:val="20"/>
                <w:szCs w:val="20"/>
                <w:color w:val="auto"/>
              </w:rPr>
            </w:pPr>
            <w:r>
              <w:rPr>
                <w:rFonts w:ascii="Arial" w:cs="Arial" w:eastAsia="Arial" w:hAnsi="Arial"/>
                <w:sz w:val="18"/>
                <w:szCs w:val="18"/>
                <w:color w:val="auto"/>
              </w:rPr>
              <w:t>27,786</w:t>
            </w:r>
          </w:p>
        </w:tc>
        <w:tc>
          <w:tcPr>
            <w:tcW w:w="1780" w:type="dxa"/>
            <w:vAlign w:val="bottom"/>
            <w:gridSpan w:val="2"/>
          </w:tcPr>
          <w:p>
            <w:pPr>
              <w:jc w:val="right"/>
              <w:ind w:right="268"/>
              <w:spacing w:after="0"/>
              <w:rPr>
                <w:sz w:val="20"/>
                <w:szCs w:val="20"/>
                <w:color w:val="auto"/>
              </w:rPr>
            </w:pPr>
            <w:r>
              <w:rPr>
                <w:rFonts w:ascii="Arial" w:cs="Arial" w:eastAsia="Arial" w:hAnsi="Arial"/>
                <w:sz w:val="18"/>
                <w:szCs w:val="18"/>
                <w:color w:val="auto"/>
              </w:rPr>
              <w:t>27,786</w:t>
            </w:r>
          </w:p>
        </w:tc>
        <w:tc>
          <w:tcPr>
            <w:tcW w:w="1680" w:type="dxa"/>
            <w:vAlign w:val="bottom"/>
            <w:gridSpan w:val="2"/>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Bynet Data Communications Ltd. (Trust)(1)</w:t>
            </w:r>
          </w:p>
        </w:tc>
        <w:tc>
          <w:tcPr>
            <w:tcW w:w="1900" w:type="dxa"/>
            <w:vAlign w:val="bottom"/>
            <w:gridSpan w:val="2"/>
            <w:shd w:val="clear" w:color="auto" w:fill="EEEEEE"/>
          </w:tcPr>
          <w:p>
            <w:pPr>
              <w:jc w:val="right"/>
              <w:ind w:right="328"/>
              <w:spacing w:after="0"/>
              <w:rPr>
                <w:sz w:val="20"/>
                <w:szCs w:val="20"/>
                <w:color w:val="auto"/>
              </w:rPr>
            </w:pPr>
            <w:r>
              <w:rPr>
                <w:rFonts w:ascii="Arial" w:cs="Arial" w:eastAsia="Arial" w:hAnsi="Arial"/>
                <w:sz w:val="18"/>
                <w:szCs w:val="18"/>
                <w:color w:val="auto"/>
              </w:rPr>
              <w:t>52,032</w:t>
            </w:r>
          </w:p>
        </w:tc>
        <w:tc>
          <w:tcPr>
            <w:tcW w:w="178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52,032</w:t>
            </w:r>
          </w:p>
        </w:tc>
        <w:tc>
          <w:tcPr>
            <w:tcW w:w="1680" w:type="dxa"/>
            <w:vAlign w:val="bottom"/>
            <w:gridSpan w:val="2"/>
            <w:shd w:val="clear" w:color="auto" w:fill="EEEEEE"/>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RAD Data Communications Ltd. (Trust)(2)</w:t>
            </w:r>
          </w:p>
        </w:tc>
        <w:tc>
          <w:tcPr>
            <w:tcW w:w="1900" w:type="dxa"/>
            <w:vAlign w:val="bottom"/>
            <w:gridSpan w:val="2"/>
          </w:tcPr>
          <w:p>
            <w:pPr>
              <w:jc w:val="right"/>
              <w:ind w:right="328"/>
              <w:spacing w:after="0"/>
              <w:rPr>
                <w:sz w:val="20"/>
                <w:szCs w:val="20"/>
                <w:color w:val="auto"/>
              </w:rPr>
            </w:pPr>
            <w:r>
              <w:rPr>
                <w:rFonts w:ascii="Arial" w:cs="Arial" w:eastAsia="Arial" w:hAnsi="Arial"/>
                <w:sz w:val="18"/>
                <w:szCs w:val="18"/>
                <w:color w:val="auto"/>
              </w:rPr>
              <w:t>56,234</w:t>
            </w:r>
          </w:p>
        </w:tc>
        <w:tc>
          <w:tcPr>
            <w:tcW w:w="1780" w:type="dxa"/>
            <w:vAlign w:val="bottom"/>
            <w:gridSpan w:val="2"/>
          </w:tcPr>
          <w:p>
            <w:pPr>
              <w:jc w:val="right"/>
              <w:ind w:right="268"/>
              <w:spacing w:after="0"/>
              <w:rPr>
                <w:sz w:val="20"/>
                <w:szCs w:val="20"/>
                <w:color w:val="auto"/>
              </w:rPr>
            </w:pPr>
            <w:r>
              <w:rPr>
                <w:rFonts w:ascii="Arial" w:cs="Arial" w:eastAsia="Arial" w:hAnsi="Arial"/>
                <w:sz w:val="18"/>
                <w:szCs w:val="18"/>
                <w:color w:val="auto"/>
              </w:rPr>
              <w:t>56,234</w:t>
            </w:r>
          </w:p>
        </w:tc>
        <w:tc>
          <w:tcPr>
            <w:tcW w:w="1680" w:type="dxa"/>
            <w:vAlign w:val="bottom"/>
            <w:gridSpan w:val="2"/>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Canadian Imperial Bank of Commerce(17)</w:t>
            </w:r>
          </w:p>
        </w:tc>
        <w:tc>
          <w:tcPr>
            <w:tcW w:w="1900" w:type="dxa"/>
            <w:vAlign w:val="bottom"/>
            <w:gridSpan w:val="2"/>
            <w:shd w:val="clear" w:color="auto" w:fill="EEEEEE"/>
          </w:tcPr>
          <w:p>
            <w:pPr>
              <w:jc w:val="right"/>
              <w:ind w:right="328"/>
              <w:spacing w:after="0"/>
              <w:rPr>
                <w:sz w:val="20"/>
                <w:szCs w:val="20"/>
                <w:color w:val="auto"/>
              </w:rPr>
            </w:pPr>
            <w:r>
              <w:rPr>
                <w:rFonts w:ascii="Arial" w:cs="Arial" w:eastAsia="Arial" w:hAnsi="Arial"/>
                <w:sz w:val="18"/>
                <w:szCs w:val="18"/>
                <w:color w:val="auto"/>
              </w:rPr>
              <w:t>225,014</w:t>
            </w:r>
          </w:p>
        </w:tc>
        <w:tc>
          <w:tcPr>
            <w:tcW w:w="178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225,014</w:t>
            </w:r>
          </w:p>
        </w:tc>
        <w:tc>
          <w:tcPr>
            <w:tcW w:w="1680" w:type="dxa"/>
            <w:vAlign w:val="bottom"/>
            <w:gridSpan w:val="2"/>
            <w:shd w:val="clear" w:color="auto" w:fill="EEEEEE"/>
          </w:tcPr>
          <w:p>
            <w:pPr>
              <w:jc w:val="center"/>
              <w:ind w:left="410"/>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137160</wp:posOffset>
            </wp:positionV>
            <wp:extent cx="13208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03" w:lineRule="exact"/>
        <w:rPr>
          <w:sz w:val="20"/>
          <w:szCs w:val="20"/>
          <w:color w:val="auto"/>
        </w:rPr>
      </w:pPr>
    </w:p>
    <w:p>
      <w:pPr>
        <w:ind w:left="640" w:hanging="632"/>
        <w:spacing w:after="0"/>
        <w:tabs>
          <w:tab w:leader="none" w:pos="640" w:val="left"/>
        </w:tabs>
        <w:numPr>
          <w:ilvl w:val="0"/>
          <w:numId w:val="1"/>
        </w:numPr>
        <w:rPr>
          <w:rFonts w:ascii="Arial" w:cs="Arial" w:eastAsia="Arial" w:hAnsi="Arial"/>
          <w:sz w:val="18"/>
          <w:szCs w:val="18"/>
          <w:color w:val="auto"/>
        </w:rPr>
      </w:pPr>
      <w:r>
        <w:rPr>
          <w:rFonts w:ascii="Arial" w:cs="Arial" w:eastAsia="Arial" w:hAnsi="Arial"/>
          <w:sz w:val="18"/>
          <w:szCs w:val="18"/>
          <w:color w:val="auto"/>
        </w:rPr>
        <w:t>Yehuda Zisapel possesses sole voting and dispositive power with respect to the listed shares.</w:t>
      </w:r>
    </w:p>
    <w:p>
      <w:pPr>
        <w:spacing w:after="0" w:line="225" w:lineRule="exact"/>
        <w:rPr>
          <w:rFonts w:ascii="Arial" w:cs="Arial" w:eastAsia="Arial" w:hAnsi="Arial"/>
          <w:sz w:val="18"/>
          <w:szCs w:val="18"/>
          <w:color w:val="auto"/>
        </w:rPr>
      </w:pPr>
    </w:p>
    <w:p>
      <w:pPr>
        <w:ind w:left="640" w:hanging="632"/>
        <w:spacing w:after="0"/>
        <w:tabs>
          <w:tab w:leader="none" w:pos="640" w:val="left"/>
        </w:tabs>
        <w:numPr>
          <w:ilvl w:val="0"/>
          <w:numId w:val="1"/>
        </w:numPr>
        <w:rPr>
          <w:rFonts w:ascii="Arial" w:cs="Arial" w:eastAsia="Arial" w:hAnsi="Arial"/>
          <w:sz w:val="18"/>
          <w:szCs w:val="18"/>
          <w:color w:val="auto"/>
        </w:rPr>
      </w:pPr>
      <w:r>
        <w:rPr>
          <w:rFonts w:ascii="Arial" w:cs="Arial" w:eastAsia="Arial" w:hAnsi="Arial"/>
          <w:sz w:val="18"/>
          <w:szCs w:val="18"/>
          <w:color w:val="auto"/>
        </w:rPr>
        <w:t>Zohar Zisapel possesses sole voting and dispositive power with respect to the listed shares.</w:t>
      </w:r>
    </w:p>
    <w:p>
      <w:pPr>
        <w:spacing w:after="0" w:line="225" w:lineRule="exact"/>
        <w:rPr>
          <w:sz w:val="20"/>
          <w:szCs w:val="20"/>
          <w:color w:val="auto"/>
        </w:rPr>
      </w:pPr>
    </w:p>
    <w:p>
      <w:pPr>
        <w:ind w:left="640" w:right="120" w:hanging="632"/>
        <w:spacing w:after="0" w:line="257" w:lineRule="auto"/>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Canadian Imperial Bank of Commerce is the beneficial owner. The directors of Canadian Imperial Bank of Commerce, Douglas G. Bassett, Jalynn H. Bennett, The Lord Black of Crossharbour, Gary F. Colter, Pat M. Delbridge, William L. Duke, Ivan E.H. Duvar, William A. Etherington, A.L. Flood, Margot A. Franssen, R.D. Fullerton, Hon. Gordon D. Giffin, Hon. James A. Grant, Albert E.P. Hickman, John S. Hunkin, Dr. Arnold Naimark, Michael E.J. Phelps, Charles Sirois, Stephen G. Snyder and W. Galen Weston possess the voting and dispositive power with respect to the listed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102870</wp:posOffset>
            </wp:positionV>
            <wp:extent cx="146621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17"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Based on information provided by the selling shareholders, none of the selling shareholders is a broker-dealer and two of the selling shareholders, UBS Capital (Jersey) Ltd. and Canadian Imperial Bank of Commerce, are affiliates of a broker-dealer. Both selling shareholders acquired the shares in the ordinary course of business and at the time of the receipt of such shares, had no agreements or understanding, directly or indirectly, with any person to distribute them.</w:t>
      </w:r>
    </w:p>
    <w:p>
      <w:pPr>
        <w:spacing w:after="0" w:line="120" w:lineRule="exact"/>
        <w:rPr>
          <w:sz w:val="20"/>
          <w:szCs w:val="20"/>
          <w:color w:val="auto"/>
        </w:rPr>
      </w:pPr>
    </w:p>
    <w:p>
      <w:pPr>
        <w:ind w:left="240" w:right="140"/>
        <w:spacing w:after="0" w:line="277" w:lineRule="auto"/>
        <w:rPr>
          <w:sz w:val="20"/>
          <w:szCs w:val="20"/>
          <w:color w:val="auto"/>
        </w:rPr>
      </w:pPr>
      <w:r>
        <w:rPr>
          <w:rFonts w:ascii="Arial" w:cs="Arial" w:eastAsia="Arial" w:hAnsi="Arial"/>
          <w:sz w:val="18"/>
          <w:szCs w:val="18"/>
          <w:color w:val="auto"/>
        </w:rPr>
        <w:t>[None of the selling securityholders listed above nor any of their affiliates, officers, directors or principal equity holders has held any position or office or has had any material relationship with us within the past three years.]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91440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95" w:lineRule="exact"/>
        <w:rPr>
          <w:sz w:val="20"/>
          <w:szCs w:val="20"/>
          <w:color w:val="auto"/>
        </w:rPr>
      </w:pPr>
    </w:p>
    <w:p>
      <w:pPr>
        <w:ind w:right="200" w:firstLine="225"/>
        <w:spacing w:after="0" w:line="282" w:lineRule="auto"/>
        <w:rPr>
          <w:sz w:val="20"/>
          <w:szCs w:val="20"/>
          <w:color w:val="auto"/>
        </w:rPr>
      </w:pPr>
      <w:r>
        <w:rPr>
          <w:rFonts w:ascii="Arial" w:cs="Arial" w:eastAsia="Arial" w:hAnsi="Arial"/>
          <w:sz w:val="18"/>
          <w:szCs w:val="18"/>
          <w:b w:val="1"/>
          <w:bCs w:val="1"/>
          <w:color w:val="auto"/>
        </w:rPr>
        <w:t>Investing in our common stock involves a high degree of risk. You should carefully read and consider the “Risk Factors” beginning on page 3 of the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97155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08" w:lineRule="exact"/>
        <w:rPr>
          <w:sz w:val="20"/>
          <w:szCs w:val="20"/>
          <w:color w:val="auto"/>
        </w:rPr>
      </w:pPr>
    </w:p>
    <w:p>
      <w:pPr>
        <w:ind w:right="160" w:firstLine="225"/>
        <w:spacing w:after="0" w:line="308" w:lineRule="auto"/>
        <w:rPr>
          <w:sz w:val="20"/>
          <w:szCs w:val="20"/>
          <w:color w:val="auto"/>
        </w:rPr>
      </w:pPr>
      <w:r>
        <w:rPr>
          <w:rFonts w:ascii="Arial" w:cs="Arial" w:eastAsia="Arial" w:hAnsi="Arial"/>
          <w:sz w:val="17"/>
          <w:szCs w:val="17"/>
          <w:color w:val="auto"/>
        </w:rPr>
        <w:t>Neither the Securities and Exchange Commission nor any state securities commission has approved or disapproved of these securities or passed upon the accuracy or adequacy of this prospectus supplement or the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76200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date of this Prospectus Supplement is April 14, 2004.</w:t>
      </w:r>
    </w:p>
    <w:sectPr>
      <w:pgSz w:w="11900" w:h="16838" w:orient="portrait"/>
      <w:cols w:equalWidth="0" w:num="1">
        <w:col w:w="11420"/>
      </w:cols>
      <w:pgMar w:left="240" w:top="638"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decimal"/>
      <w:start w:val="17"/>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2019-12-14T19:24:16Z</dcterms:created>
  <dcterms:modified xsi:type="dcterms:W3CDTF">2019-12-14T19:24:16Z</dcterms:modified>
</cp:coreProperties>
</file>