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31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UNITED STATES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SECURITIES AND EXCHANGE COMMISSION</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77"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3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CURRENT REPORT</w:t>
      </w: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THE SECURITIES EXCHANGE ACT OF 1934</w:t>
      </w:r>
    </w:p>
    <w:p>
      <w:pPr>
        <w:spacing w:after="0" w:line="191" w:lineRule="exact"/>
        <w:rPr>
          <w:sz w:val="20"/>
          <w:szCs w:val="20"/>
          <w:color w:val="auto"/>
        </w:rPr>
      </w:pPr>
    </w:p>
    <w:p>
      <w:pPr>
        <w:ind w:left="5200"/>
        <w:spacing w:after="0"/>
        <w:rPr>
          <w:sz w:val="20"/>
          <w:szCs w:val="20"/>
          <w:color w:val="auto"/>
        </w:rPr>
      </w:pPr>
      <w:r>
        <w:rPr>
          <w:rFonts w:ascii="Arial" w:cs="Arial" w:eastAsia="Arial" w:hAnsi="Arial"/>
          <w:sz w:val="18"/>
          <w:szCs w:val="18"/>
          <w:b w:val="1"/>
          <w:bCs w:val="1"/>
          <w:color w:val="auto"/>
        </w:rPr>
        <w:t>May 20, 2004</w:t>
      </w:r>
    </w:p>
    <w:p>
      <w:pPr>
        <w:spacing w:after="0" w:line="27" w:lineRule="exact"/>
        <w:rPr>
          <w:sz w:val="20"/>
          <w:szCs w:val="20"/>
          <w:color w:val="auto"/>
        </w:rPr>
      </w:pPr>
    </w:p>
    <w:p>
      <w:pPr>
        <w:ind w:left="5180"/>
        <w:spacing w:after="0"/>
        <w:rPr>
          <w:sz w:val="20"/>
          <w:szCs w:val="20"/>
          <w:color w:val="auto"/>
        </w:rPr>
      </w:pPr>
      <w:r>
        <w:rPr>
          <w:rFonts w:ascii="Arial" w:cs="Arial" w:eastAsia="Arial" w:hAnsi="Arial"/>
          <w:sz w:val="18"/>
          <w:szCs w:val="18"/>
          <w:b w:val="1"/>
          <w:bCs w:val="1"/>
          <w:color w:val="auto"/>
        </w:rPr>
        <w:t>Date of report</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 of earliest event reported)</w:t>
      </w:r>
    </w:p>
    <w:p>
      <w:pPr>
        <w:spacing w:after="0" w:line="200" w:lineRule="exact"/>
        <w:rPr>
          <w:sz w:val="20"/>
          <w:szCs w:val="20"/>
          <w:color w:val="auto"/>
        </w:rPr>
      </w:pPr>
    </w:p>
    <w:p>
      <w:pPr>
        <w:spacing w:after="0" w:line="212"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020" w:type="dxa"/>
            <w:vAlign w:val="bottom"/>
          </w:tcPr>
          <w:p>
            <w:pPr>
              <w:spacing w:after="0"/>
              <w:rPr>
                <w:sz w:val="20"/>
                <w:szCs w:val="20"/>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89"/>
              </w:rPr>
              <w:t>(Exact name of registrant as specified in its charter)</w:t>
            </w:r>
          </w:p>
        </w:tc>
        <w:tc>
          <w:tcPr>
            <w:tcW w:w="3020" w:type="dxa"/>
            <w:vAlign w:val="bottom"/>
          </w:tcPr>
          <w:p>
            <w:pPr>
              <w:spacing w:after="0"/>
              <w:rPr>
                <w:sz w:val="20"/>
                <w:szCs w:val="20"/>
                <w:color w:val="auto"/>
              </w:rPr>
            </w:pPr>
          </w:p>
        </w:tc>
      </w:tr>
      <w:tr>
        <w:trPr>
          <w:trHeight w:val="414"/>
        </w:trPr>
        <w:tc>
          <w:tcPr>
            <w:tcW w:w="3020" w:type="dxa"/>
            <w:vAlign w:val="bottom"/>
          </w:tcPr>
          <w:p>
            <w:pPr>
              <w:jc w:val="center"/>
              <w:ind w:left="330"/>
              <w:spacing w:after="0"/>
              <w:rPr>
                <w:sz w:val="20"/>
                <w:szCs w:val="20"/>
                <w:color w:val="auto"/>
              </w:rPr>
            </w:pPr>
            <w:r>
              <w:rPr>
                <w:rFonts w:ascii="Arial" w:cs="Arial" w:eastAsia="Arial" w:hAnsi="Arial"/>
                <w:sz w:val="18"/>
                <w:szCs w:val="18"/>
                <w:b w:val="1"/>
                <w:bCs w:val="1"/>
                <w:color w:val="auto"/>
                <w:w w:val="92"/>
              </w:rPr>
              <w:t>Bermuda</w:t>
            </w: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3020" w:type="dxa"/>
            <w:vAlign w:val="bottom"/>
          </w:tcPr>
          <w:p>
            <w:pPr>
              <w:jc w:val="center"/>
              <w:ind w:right="31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3020" w:type="dxa"/>
            <w:vAlign w:val="bottom"/>
          </w:tcPr>
          <w:p>
            <w:pPr>
              <w:jc w:val="center"/>
              <w:ind w:left="330"/>
              <w:spacing w:after="0"/>
              <w:rPr>
                <w:sz w:val="20"/>
                <w:szCs w:val="20"/>
                <w:color w:val="auto"/>
              </w:rPr>
            </w:pPr>
            <w:r>
              <w:rPr>
                <w:rFonts w:ascii="Arial" w:cs="Arial" w:eastAsia="Arial" w:hAnsi="Arial"/>
                <w:sz w:val="18"/>
                <w:szCs w:val="18"/>
                <w:b w:val="1"/>
                <w:bCs w:val="1"/>
                <w:color w:val="auto"/>
                <w:w w:val="90"/>
              </w:rPr>
              <w:t>(State or other jurisdiction of</w:t>
            </w: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89"/>
              </w:rPr>
              <w:t>(Commission File</w:t>
            </w:r>
          </w:p>
        </w:tc>
        <w:tc>
          <w:tcPr>
            <w:tcW w:w="3020" w:type="dxa"/>
            <w:vAlign w:val="bottom"/>
          </w:tcPr>
          <w:p>
            <w:pPr>
              <w:jc w:val="center"/>
              <w:ind w:right="310"/>
              <w:spacing w:after="0"/>
              <w:rPr>
                <w:sz w:val="20"/>
                <w:szCs w:val="20"/>
                <w:color w:val="auto"/>
              </w:rPr>
            </w:pPr>
            <w:r>
              <w:rPr>
                <w:rFonts w:ascii="Arial" w:cs="Arial" w:eastAsia="Arial" w:hAnsi="Arial"/>
                <w:sz w:val="18"/>
                <w:szCs w:val="18"/>
                <w:b w:val="1"/>
                <w:bCs w:val="1"/>
                <w:color w:val="auto"/>
                <w:w w:val="93"/>
              </w:rPr>
              <w:t>(I.R.S. Employer Identification</w:t>
            </w:r>
          </w:p>
        </w:tc>
      </w:tr>
      <w:tr>
        <w:trPr>
          <w:trHeight w:val="234"/>
        </w:trPr>
        <w:tc>
          <w:tcPr>
            <w:tcW w:w="3020" w:type="dxa"/>
            <w:vAlign w:val="bottom"/>
          </w:tcPr>
          <w:p>
            <w:pPr>
              <w:jc w:val="center"/>
              <w:ind w:left="330"/>
              <w:spacing w:after="0"/>
              <w:rPr>
                <w:sz w:val="20"/>
                <w:szCs w:val="20"/>
                <w:color w:val="auto"/>
              </w:rPr>
            </w:pPr>
            <w:r>
              <w:rPr>
                <w:rFonts w:ascii="Arial" w:cs="Arial" w:eastAsia="Arial" w:hAnsi="Arial"/>
                <w:sz w:val="18"/>
                <w:szCs w:val="18"/>
                <w:b w:val="1"/>
                <w:bCs w:val="1"/>
                <w:color w:val="auto"/>
                <w:w w:val="91"/>
              </w:rPr>
              <w:t>incorporation or organization)</w:t>
            </w: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4"/>
              </w:rPr>
              <w:t>Number)</w:t>
            </w:r>
          </w:p>
        </w:tc>
        <w:tc>
          <w:tcPr>
            <w:tcW w:w="3020" w:type="dxa"/>
            <w:vAlign w:val="bottom"/>
          </w:tcPr>
          <w:p>
            <w:pPr>
              <w:jc w:val="center"/>
              <w:ind w:right="310"/>
              <w:spacing w:after="0"/>
              <w:rPr>
                <w:sz w:val="20"/>
                <w:szCs w:val="20"/>
                <w:color w:val="auto"/>
              </w:rPr>
            </w:pPr>
            <w:r>
              <w:rPr>
                <w:rFonts w:ascii="Arial" w:cs="Arial" w:eastAsia="Arial" w:hAnsi="Arial"/>
                <w:sz w:val="18"/>
                <w:szCs w:val="18"/>
                <w:b w:val="1"/>
                <w:bCs w:val="1"/>
                <w:color w:val="auto"/>
                <w:w w:val="97"/>
              </w:rPr>
              <w:t>No.)</w:t>
            </w:r>
          </w:p>
        </w:tc>
      </w:tr>
      <w:tr>
        <w:trPr>
          <w:trHeight w:val="414"/>
        </w:trPr>
        <w:tc>
          <w:tcPr>
            <w:tcW w:w="3020" w:type="dxa"/>
            <w:vAlign w:val="bottom"/>
          </w:tcPr>
          <w:p>
            <w:pPr>
              <w:spacing w:after="0"/>
              <w:rPr>
                <w:sz w:val="24"/>
                <w:szCs w:val="24"/>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3020" w:type="dxa"/>
            <w:vAlign w:val="bottom"/>
          </w:tcPr>
          <w:p>
            <w:pPr>
              <w:jc w:val="center"/>
              <w:ind w:right="310"/>
              <w:spacing w:after="0"/>
              <w:rPr>
                <w:sz w:val="20"/>
                <w:szCs w:val="20"/>
                <w:color w:val="auto"/>
              </w:rPr>
            </w:pPr>
            <w:r>
              <w:rPr>
                <w:rFonts w:ascii="Arial" w:cs="Arial" w:eastAsia="Arial" w:hAnsi="Arial"/>
                <w:sz w:val="18"/>
                <w:szCs w:val="18"/>
                <w:b w:val="1"/>
                <w:bCs w:val="1"/>
                <w:color w:val="auto"/>
                <w:w w:val="92"/>
              </w:rPr>
              <w:t>(Zip Code)</w:t>
            </w:r>
          </w:p>
        </w:tc>
      </w:tr>
      <w:tr>
        <w:trPr>
          <w:trHeight w:val="216"/>
        </w:trPr>
        <w:tc>
          <w:tcPr>
            <w:tcW w:w="3020" w:type="dxa"/>
            <w:vAlign w:val="bottom"/>
          </w:tcPr>
          <w:p>
            <w:pPr>
              <w:spacing w:after="0"/>
              <w:rPr>
                <w:sz w:val="18"/>
                <w:szCs w:val="18"/>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3020" w:type="dxa"/>
            <w:vAlign w:val="bottom"/>
          </w:tcPr>
          <w:p>
            <w:pPr>
              <w:spacing w:after="0"/>
              <w:rPr>
                <w:sz w:val="18"/>
                <w:szCs w:val="18"/>
                <w:color w:val="auto"/>
              </w:rPr>
            </w:pPr>
          </w:p>
        </w:tc>
      </w:tr>
      <w:tr>
        <w:trPr>
          <w:trHeight w:val="216"/>
        </w:trPr>
        <w:tc>
          <w:tcPr>
            <w:tcW w:w="3020" w:type="dxa"/>
            <w:vAlign w:val="bottom"/>
          </w:tcPr>
          <w:p>
            <w:pPr>
              <w:spacing w:after="0"/>
              <w:rPr>
                <w:sz w:val="18"/>
                <w:szCs w:val="18"/>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3020" w:type="dxa"/>
            <w:vAlign w:val="bottom"/>
          </w:tcPr>
          <w:p>
            <w:pPr>
              <w:spacing w:after="0"/>
              <w:rPr>
                <w:sz w:val="18"/>
                <w:szCs w:val="18"/>
                <w:color w:val="auto"/>
              </w:rPr>
            </w:pPr>
          </w:p>
        </w:tc>
      </w:tr>
      <w:tr>
        <w:trPr>
          <w:trHeight w:val="216"/>
        </w:trPr>
        <w:tc>
          <w:tcPr>
            <w:tcW w:w="3020" w:type="dxa"/>
            <w:vAlign w:val="bottom"/>
          </w:tcPr>
          <w:p>
            <w:pPr>
              <w:spacing w:after="0"/>
              <w:rPr>
                <w:sz w:val="18"/>
                <w:szCs w:val="18"/>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3020" w:type="dxa"/>
            <w:vAlign w:val="bottom"/>
          </w:tcPr>
          <w:p>
            <w:pPr>
              <w:spacing w:after="0"/>
              <w:rPr>
                <w:sz w:val="18"/>
                <w:szCs w:val="18"/>
                <w:color w:val="auto"/>
              </w:rPr>
            </w:pPr>
          </w:p>
        </w:tc>
      </w:tr>
      <w:tr>
        <w:trPr>
          <w:trHeight w:val="216"/>
        </w:trPr>
        <w:tc>
          <w:tcPr>
            <w:tcW w:w="3020" w:type="dxa"/>
            <w:vAlign w:val="bottom"/>
          </w:tcPr>
          <w:p>
            <w:pPr>
              <w:spacing w:after="0"/>
              <w:rPr>
                <w:sz w:val="18"/>
                <w:szCs w:val="18"/>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89"/>
              </w:rPr>
              <w:t>(Address of principal executive</w:t>
            </w:r>
          </w:p>
        </w:tc>
        <w:tc>
          <w:tcPr>
            <w:tcW w:w="3020" w:type="dxa"/>
            <w:vAlign w:val="bottom"/>
          </w:tcPr>
          <w:p>
            <w:pPr>
              <w:spacing w:after="0"/>
              <w:rPr>
                <w:sz w:val="18"/>
                <w:szCs w:val="18"/>
                <w:color w:val="auto"/>
              </w:rPr>
            </w:pPr>
          </w:p>
        </w:tc>
      </w:tr>
      <w:tr>
        <w:trPr>
          <w:trHeight w:val="234"/>
        </w:trPr>
        <w:tc>
          <w:tcPr>
            <w:tcW w:w="3020" w:type="dxa"/>
            <w:vAlign w:val="bottom"/>
          </w:tcPr>
          <w:p>
            <w:pPr>
              <w:spacing w:after="0"/>
              <w:rPr>
                <w:sz w:val="20"/>
                <w:szCs w:val="20"/>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84"/>
              </w:rPr>
              <w:t>offices)</w:t>
            </w:r>
          </w:p>
        </w:tc>
        <w:tc>
          <w:tcPr>
            <w:tcW w:w="3020" w:type="dxa"/>
            <w:vAlign w:val="bottom"/>
          </w:tcPr>
          <w:p>
            <w:pPr>
              <w:spacing w:after="0"/>
              <w:rPr>
                <w:sz w:val="20"/>
                <w:szCs w:val="20"/>
                <w:color w:val="auto"/>
              </w:rPr>
            </w:pPr>
          </w:p>
        </w:tc>
      </w:tr>
      <w:tr>
        <w:trPr>
          <w:trHeight w:val="405"/>
        </w:trPr>
        <w:tc>
          <w:tcPr>
            <w:tcW w:w="3020" w:type="dxa"/>
            <w:vAlign w:val="bottom"/>
          </w:tcPr>
          <w:p>
            <w:pPr>
              <w:spacing w:after="0"/>
              <w:rPr>
                <w:sz w:val="24"/>
                <w:szCs w:val="24"/>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89"/>
              </w:rPr>
              <w:t>Registrant’s telephone number, including area code: (441) 296-6395</w:t>
            </w:r>
          </w:p>
        </w:tc>
        <w:tc>
          <w:tcPr>
            <w:tcW w:w="3020" w:type="dxa"/>
            <w:vAlign w:val="bottom"/>
          </w:tcPr>
          <w:p>
            <w:pPr>
              <w:spacing w:after="0"/>
              <w:rPr>
                <w:sz w:val="24"/>
                <w:szCs w:val="24"/>
                <w:color w:val="auto"/>
              </w:rPr>
            </w:pPr>
          </w:p>
        </w:tc>
      </w:tr>
      <w:tr>
        <w:trPr>
          <w:trHeight w:val="392"/>
        </w:trPr>
        <w:tc>
          <w:tcPr>
            <w:tcW w:w="3020" w:type="dxa"/>
            <w:vAlign w:val="bottom"/>
          </w:tcPr>
          <w:p>
            <w:pPr>
              <w:spacing w:after="0"/>
              <w:rPr>
                <w:sz w:val="24"/>
                <w:szCs w:val="24"/>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96"/>
              </w:rPr>
              <w:t>N/A</w:t>
            </w:r>
          </w:p>
        </w:tc>
        <w:tc>
          <w:tcPr>
            <w:tcW w:w="3020" w:type="dxa"/>
            <w:vAlign w:val="bottom"/>
          </w:tcPr>
          <w:p>
            <w:pPr>
              <w:spacing w:after="0"/>
              <w:rPr>
                <w:sz w:val="24"/>
                <w:szCs w:val="24"/>
                <w:color w:val="auto"/>
              </w:rPr>
            </w:pPr>
          </w:p>
        </w:tc>
      </w:tr>
      <w:tr>
        <w:trPr>
          <w:trHeight w:val="392"/>
        </w:trPr>
        <w:tc>
          <w:tcPr>
            <w:tcW w:w="3020" w:type="dxa"/>
            <w:vAlign w:val="bottom"/>
          </w:tcPr>
          <w:p>
            <w:pPr>
              <w:spacing w:after="0"/>
              <w:rPr>
                <w:sz w:val="24"/>
                <w:szCs w:val="24"/>
                <w:color w:val="auto"/>
              </w:rPr>
            </w:pPr>
          </w:p>
        </w:tc>
        <w:tc>
          <w:tcPr>
            <w:tcW w:w="5380" w:type="dxa"/>
            <w:vAlign w:val="bottom"/>
          </w:tcPr>
          <w:p>
            <w:pPr>
              <w:jc w:val="center"/>
              <w:spacing w:after="0"/>
              <w:rPr>
                <w:sz w:val="20"/>
                <w:szCs w:val="20"/>
                <w:color w:val="auto"/>
              </w:rPr>
            </w:pPr>
            <w:r>
              <w:rPr>
                <w:rFonts w:ascii="Arial" w:cs="Arial" w:eastAsia="Arial" w:hAnsi="Arial"/>
                <w:sz w:val="18"/>
                <w:szCs w:val="18"/>
                <w:b w:val="1"/>
                <w:bCs w:val="1"/>
                <w:color w:val="auto"/>
                <w:w w:val="89"/>
              </w:rPr>
              <w:t>(Former name and former address, if changed since last report)</w:t>
            </w:r>
          </w:p>
        </w:tc>
        <w:tc>
          <w:tcPr>
            <w:tcW w:w="3020" w:type="dxa"/>
            <w:vAlign w:val="bottom"/>
          </w:tcPr>
          <w:p>
            <w:pPr>
              <w:spacing w:after="0"/>
              <w:rPr>
                <w:sz w:val="24"/>
                <w:szCs w:val="24"/>
                <w:color w:val="auto"/>
              </w:rPr>
            </w:pPr>
          </w:p>
        </w:tc>
      </w:tr>
      <w:tr>
        <w:trPr>
          <w:trHeight w:val="172"/>
        </w:trPr>
        <w:tc>
          <w:tcPr>
            <w:tcW w:w="3020" w:type="dxa"/>
            <w:vAlign w:val="bottom"/>
          </w:tcPr>
          <w:p>
            <w:pPr>
              <w:spacing w:after="0"/>
              <w:rPr>
                <w:sz w:val="14"/>
                <w:szCs w:val="14"/>
                <w:color w:val="auto"/>
              </w:rPr>
            </w:pPr>
          </w:p>
        </w:tc>
        <w:tc>
          <w:tcPr>
            <w:tcW w:w="5380" w:type="dxa"/>
            <w:vAlign w:val="bottom"/>
          </w:tcPr>
          <w:p>
            <w:pPr>
              <w:spacing w:after="0"/>
              <w:rPr>
                <w:sz w:val="14"/>
                <w:szCs w:val="14"/>
                <w:color w:val="auto"/>
              </w:rPr>
            </w:pPr>
          </w:p>
        </w:tc>
        <w:tc>
          <w:tcPr>
            <w:tcW w:w="3020" w:type="dxa"/>
            <w:vAlign w:val="bottom"/>
          </w:tcPr>
          <w:p>
            <w:pPr>
              <w:spacing w:after="0"/>
              <w:rPr>
                <w:sz w:val="14"/>
                <w:szCs w:val="14"/>
                <w:color w:val="auto"/>
              </w:rPr>
            </w:pPr>
          </w:p>
        </w:tc>
      </w:tr>
      <w:tr>
        <w:trPr>
          <w:trHeight w:val="61"/>
        </w:trPr>
        <w:tc>
          <w:tcPr>
            <w:tcW w:w="3020" w:type="dxa"/>
            <w:vAlign w:val="bottom"/>
            <w:shd w:val="clear" w:color="auto" w:fill="000000"/>
          </w:tcPr>
          <w:p>
            <w:pPr>
              <w:spacing w:after="0"/>
              <w:rPr>
                <w:sz w:val="5"/>
                <w:szCs w:val="5"/>
                <w:color w:val="auto"/>
              </w:rPr>
            </w:pPr>
          </w:p>
        </w:tc>
        <w:tc>
          <w:tcPr>
            <w:tcW w:w="5380" w:type="dxa"/>
            <w:vAlign w:val="bottom"/>
            <w:shd w:val="clear" w:color="auto" w:fill="000000"/>
          </w:tcPr>
          <w:p>
            <w:pPr>
              <w:spacing w:after="0"/>
              <w:rPr>
                <w:sz w:val="5"/>
                <w:szCs w:val="5"/>
                <w:color w:val="auto"/>
              </w:rPr>
            </w:pPr>
          </w:p>
        </w:tc>
        <w:tc>
          <w:tcPr>
            <w:tcW w:w="3020" w:type="dxa"/>
            <w:vAlign w:val="bottom"/>
            <w:shd w:val="clear" w:color="auto" w:fill="000000"/>
          </w:tcPr>
          <w:p>
            <w:pPr>
              <w:spacing w:after="0"/>
              <w:rPr>
                <w:sz w:val="5"/>
                <w:szCs w:val="5"/>
                <w:color w:val="auto"/>
              </w:rPr>
            </w:pPr>
          </w:p>
        </w:tc>
      </w:tr>
      <w:tr>
        <w:trPr>
          <w:trHeight w:val="628"/>
        </w:trPr>
        <w:tc>
          <w:tcPr>
            <w:tcW w:w="3020" w:type="dxa"/>
            <w:vAlign w:val="bottom"/>
            <w:tcBorders>
              <w:bottom w:val="single" w:sz="8" w:color="808080"/>
            </w:tcBorders>
          </w:tcPr>
          <w:p>
            <w:pPr>
              <w:spacing w:after="0"/>
              <w:rPr>
                <w:sz w:val="24"/>
                <w:szCs w:val="24"/>
                <w:color w:val="auto"/>
              </w:rPr>
            </w:pPr>
          </w:p>
        </w:tc>
        <w:tc>
          <w:tcPr>
            <w:tcW w:w="5380" w:type="dxa"/>
            <w:vAlign w:val="bottom"/>
            <w:tcBorders>
              <w:bottom w:val="single" w:sz="8" w:color="808080"/>
            </w:tcBorders>
          </w:tcPr>
          <w:p>
            <w:pPr>
              <w:spacing w:after="0"/>
              <w:rPr>
                <w:sz w:val="24"/>
                <w:szCs w:val="24"/>
                <w:color w:val="auto"/>
              </w:rPr>
            </w:pPr>
          </w:p>
        </w:tc>
        <w:tc>
          <w:tcPr>
            <w:tcW w:w="30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7. Financial Statements and Exhibits</w:t>
        </w:r>
      </w:hyperlink>
    </w:p>
    <w:p>
      <w:pPr>
        <w:ind w:left="320"/>
        <w:spacing w:after="0" w:line="238"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12. Results of Operations and Financial Condition</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 Exhibits.</w:t>
      </w:r>
    </w:p>
    <w:p>
      <w:pPr>
        <w:spacing w:after="0" w:line="392" w:lineRule="exact"/>
        <w:rPr>
          <w:sz w:val="20"/>
          <w:szCs w:val="20"/>
          <w:color w:val="auto"/>
        </w:rPr>
      </w:pPr>
    </w:p>
    <w:tbl>
      <w:tblPr>
        <w:tblLayout w:type="fixed"/>
        <w:tblInd w:w="2580" w:type="dxa"/>
        <w:tblCellMar>
          <w:top w:w="0" w:type="dxa"/>
          <w:left w:w="0" w:type="dxa"/>
          <w:bottom w:w="0" w:type="dxa"/>
          <w:right w:w="0" w:type="dxa"/>
        </w:tblCellMar>
      </w:tblPr>
      <w:tr>
        <w:trPr>
          <w:trHeight w:val="186"/>
        </w:trPr>
        <w:tc>
          <w:tcPr>
            <w:tcW w:w="76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20" w:type="dxa"/>
            <w:vAlign w:val="bottom"/>
          </w:tcPr>
          <w:p>
            <w:pPr>
              <w:spacing w:after="0"/>
              <w:rPr>
                <w:sz w:val="16"/>
                <w:szCs w:val="16"/>
                <w:color w:val="auto"/>
              </w:rPr>
            </w:pPr>
          </w:p>
        </w:tc>
        <w:tc>
          <w:tcPr>
            <w:tcW w:w="5200" w:type="dxa"/>
            <w:vAlign w:val="bottom"/>
          </w:tcPr>
          <w:p>
            <w:pPr>
              <w:ind w:left="2240"/>
              <w:spacing w:after="0"/>
              <w:rPr>
                <w:sz w:val="20"/>
                <w:szCs w:val="20"/>
                <w:color w:val="auto"/>
              </w:rPr>
            </w:pPr>
            <w:r>
              <w:rPr>
                <w:rFonts w:ascii="Arial" w:cs="Arial" w:eastAsia="Arial" w:hAnsi="Arial"/>
                <w:sz w:val="14"/>
                <w:szCs w:val="14"/>
                <w:b w:val="1"/>
                <w:bCs w:val="1"/>
                <w:color w:val="auto"/>
              </w:rPr>
              <w:t>Description</w:t>
            </w:r>
          </w:p>
        </w:tc>
      </w:tr>
      <w:tr>
        <w:trPr>
          <w:trHeight w:val="53"/>
        </w:trPr>
        <w:tc>
          <w:tcPr>
            <w:tcW w:w="7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5200" w:type="dxa"/>
            <w:vAlign w:val="bottom"/>
            <w:tcBorders>
              <w:bottom w:val="single" w:sz="8" w:color="808080"/>
            </w:tcBorders>
          </w:tcPr>
          <w:p>
            <w:pPr>
              <w:spacing w:after="0"/>
              <w:rPr>
                <w:sz w:val="4"/>
                <w:szCs w:val="4"/>
                <w:color w:val="auto"/>
              </w:rPr>
            </w:pPr>
          </w:p>
        </w:tc>
      </w:tr>
      <w:tr>
        <w:trPr>
          <w:trHeight w:val="291"/>
        </w:trPr>
        <w:tc>
          <w:tcPr>
            <w:tcW w:w="760" w:type="dxa"/>
            <w:vAlign w:val="bottom"/>
          </w:tcPr>
          <w:p>
            <w:pPr>
              <w:spacing w:after="0"/>
              <w:rPr>
                <w:sz w:val="20"/>
                <w:szCs w:val="20"/>
                <w:color w:val="auto"/>
              </w:rPr>
            </w:pPr>
            <w:r>
              <w:rPr>
                <w:rFonts w:ascii="Arial" w:cs="Arial" w:eastAsia="Arial" w:hAnsi="Arial"/>
                <w:sz w:val="18"/>
                <w:szCs w:val="18"/>
                <w:color w:val="auto"/>
              </w:rPr>
              <w:t>99.1</w:t>
            </w:r>
          </w:p>
        </w:tc>
        <w:tc>
          <w:tcPr>
            <w:tcW w:w="5520" w:type="dxa"/>
            <w:vAlign w:val="bottom"/>
            <w:gridSpan w:val="2"/>
          </w:tcPr>
          <w:p>
            <w:pPr>
              <w:ind w:left="300"/>
              <w:spacing w:after="0"/>
              <w:rPr>
                <w:sz w:val="20"/>
                <w:szCs w:val="20"/>
                <w:color w:val="auto"/>
              </w:rPr>
            </w:pPr>
            <w:r>
              <w:rPr>
                <w:rFonts w:ascii="Arial" w:cs="Arial" w:eastAsia="Arial" w:hAnsi="Arial"/>
                <w:sz w:val="18"/>
                <w:szCs w:val="18"/>
                <w:color w:val="auto"/>
              </w:rPr>
              <w:t>Press Release dated May 20, 2004.</w:t>
            </w:r>
          </w:p>
        </w:tc>
      </w:tr>
    </w:tbl>
    <w:p>
      <w:pPr>
        <w:spacing w:after="0" w:line="15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12. Results of Operations and Financial Condition.</w:t>
      </w:r>
    </w:p>
    <w:p>
      <w:pPr>
        <w:spacing w:after="0" w:line="202" w:lineRule="exact"/>
        <w:rPr>
          <w:sz w:val="20"/>
          <w:szCs w:val="20"/>
          <w:color w:val="auto"/>
        </w:rPr>
      </w:pPr>
    </w:p>
    <w:p>
      <w:pPr>
        <w:ind w:right="280" w:firstLine="222"/>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06" w:lineRule="exact"/>
        <w:rPr>
          <w:sz w:val="20"/>
          <w:szCs w:val="20"/>
          <w:color w:val="auto"/>
        </w:rPr>
      </w:pPr>
    </w:p>
    <w:p>
      <w:pPr>
        <w:ind w:firstLine="225"/>
        <w:spacing w:after="0" w:line="277" w:lineRule="auto"/>
        <w:rPr>
          <w:sz w:val="20"/>
          <w:szCs w:val="20"/>
          <w:color w:val="auto"/>
        </w:rPr>
      </w:pPr>
      <w:r>
        <w:rPr>
          <w:rFonts w:ascii="Arial" w:cs="Arial" w:eastAsia="Arial" w:hAnsi="Arial"/>
          <w:sz w:val="18"/>
          <w:szCs w:val="18"/>
          <w:color w:val="auto"/>
        </w:rPr>
        <w:t>On May 20, 2004, Marvell Technology Group, Ltd. (“Marvell”) issued a press release regarding its financial results for its first fiscal quarter ended May 1, 2004. The full text of Marvell’s press release is furnished herewith as Exhibit 99.1.</w:t>
      </w:r>
    </w:p>
    <w:p>
      <w:pPr>
        <w:spacing w:after="0" w:line="130" w:lineRule="exact"/>
        <w:rPr>
          <w:sz w:val="20"/>
          <w:szCs w:val="20"/>
          <w:color w:val="auto"/>
        </w:rPr>
      </w:pPr>
    </w:p>
    <w:p>
      <w:pPr>
        <w:ind w:right="200" w:firstLine="222"/>
        <w:spacing w:after="0" w:line="312" w:lineRule="auto"/>
        <w:rPr>
          <w:sz w:val="20"/>
          <w:szCs w:val="20"/>
          <w:color w:val="auto"/>
        </w:rPr>
      </w:pPr>
      <w:r>
        <w:rPr>
          <w:rFonts w:ascii="Arial" w:cs="Arial" w:eastAsia="Arial" w:hAnsi="Arial"/>
          <w:sz w:val="16"/>
          <w:szCs w:val="16"/>
          <w:color w:val="auto"/>
        </w:rPr>
        <w:t>The following non-GAAP financial measures are included in the press release: pro forma net income (loss) and basic and diluted net income (loss)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20" w:lineRule="exact"/>
        <w:rPr>
          <w:sz w:val="20"/>
          <w:szCs w:val="20"/>
          <w:color w:val="auto"/>
        </w:rPr>
      </w:pPr>
    </w:p>
    <w:p>
      <w:pPr>
        <w:ind w:right="100" w:firstLine="225"/>
        <w:spacing w:after="0" w:line="312"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349250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02" w:lineRule="exact"/>
        <w:rPr>
          <w:sz w:val="20"/>
          <w:szCs w:val="20"/>
          <w:color w:val="auto"/>
        </w:rPr>
      </w:pPr>
    </w:p>
    <w:p>
      <w:pPr>
        <w:ind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0" w:lineRule="exact"/>
        <w:rPr>
          <w:sz w:val="20"/>
          <w:szCs w:val="20"/>
          <w:color w:val="auto"/>
        </w:rPr>
      </w:pPr>
    </w:p>
    <w:p>
      <w:pPr>
        <w:spacing w:after="0"/>
        <w:rPr>
          <w:sz w:val="20"/>
          <w:szCs w:val="20"/>
          <w:color w:val="auto"/>
        </w:rPr>
      </w:pPr>
      <w:r>
        <w:rPr>
          <w:rFonts w:ascii="Arial" w:cs="Arial" w:eastAsia="Arial" w:hAnsi="Arial"/>
          <w:sz w:val="18"/>
          <w:szCs w:val="18"/>
          <w:color w:val="auto"/>
        </w:rPr>
        <w:t>Date: May 20, 2004.</w:t>
      </w:r>
    </w:p>
    <w:p>
      <w:pPr>
        <w:spacing w:after="0" w:line="397" w:lineRule="exact"/>
        <w:rPr>
          <w:sz w:val="20"/>
          <w:szCs w:val="20"/>
          <w:color w:val="auto"/>
        </w:rPr>
      </w:pPr>
    </w:p>
    <w:p>
      <w:pPr>
        <w:ind w:left="570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5700"/>
        <w:spacing w:after="0"/>
        <w:tabs>
          <w:tab w:leader="none" w:pos="6160" w:val="left"/>
        </w:tabs>
        <w:rPr>
          <w:sz w:val="20"/>
          <w:szCs w:val="20"/>
          <w:color w:val="auto"/>
        </w:rPr>
      </w:pPr>
      <w:r>
        <w:rPr>
          <w:rFonts w:ascii="Arial" w:cs="Arial" w:eastAsia="Arial" w:hAnsi="Arial"/>
          <w:sz w:val="18"/>
          <w:szCs w:val="18"/>
          <w:color w:val="auto"/>
        </w:rPr>
        <w:t>By:</w:t>
        <w:tab/>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23495</wp:posOffset>
            </wp:positionV>
            <wp:extent cx="33274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0"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George A. Hervey</w:t>
      </w:r>
    </w:p>
    <w:p>
      <w:pPr>
        <w:spacing w:after="0" w:line="2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398145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40"/>
          </w:cols>
          <w:pgMar w:left="240" w:top="419" w:right="41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2580" w:type="dxa"/>
        <w:tblCellMar>
          <w:top w:w="0" w:type="dxa"/>
          <w:left w:w="0" w:type="dxa"/>
          <w:bottom w:w="0" w:type="dxa"/>
          <w:right w:w="0" w:type="dxa"/>
        </w:tblCellMar>
      </w:tblPr>
      <w:tr>
        <w:trPr>
          <w:trHeight w:val="230"/>
        </w:trPr>
        <w:tc>
          <w:tcPr>
            <w:tcW w:w="17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260" w:type="dxa"/>
            <w:vAlign w:val="bottom"/>
          </w:tcPr>
          <w:p>
            <w:pPr>
              <w:ind w:left="460"/>
              <w:spacing w:after="0"/>
              <w:rPr>
                <w:sz w:val="20"/>
                <w:szCs w:val="20"/>
                <w:color w:val="auto"/>
              </w:rPr>
            </w:pPr>
            <w:r>
              <w:rPr>
                <w:rFonts w:ascii="Arial" w:cs="Arial" w:eastAsia="Arial" w:hAnsi="Arial"/>
                <w:sz w:val="18"/>
                <w:szCs w:val="18"/>
                <w:color w:val="auto"/>
              </w:rPr>
              <w:t>EXHIBIT INDEX</w:t>
            </w:r>
          </w:p>
        </w:tc>
      </w:tr>
      <w:tr>
        <w:trPr>
          <w:trHeight w:val="569"/>
        </w:trPr>
        <w:tc>
          <w:tcPr>
            <w:tcW w:w="1700" w:type="dxa"/>
            <w:vAlign w:val="bottom"/>
          </w:tcPr>
          <w:p>
            <w:pPr>
              <w:spacing w:after="0"/>
              <w:rPr>
                <w:sz w:val="20"/>
                <w:szCs w:val="20"/>
                <w:color w:val="auto"/>
              </w:rPr>
            </w:pPr>
            <w:r>
              <w:rPr>
                <w:rFonts w:ascii="Arial" w:cs="Arial" w:eastAsia="Arial" w:hAnsi="Arial"/>
                <w:sz w:val="14"/>
                <w:szCs w:val="14"/>
                <w:b w:val="1"/>
                <w:bCs w:val="1"/>
                <w:color w:val="auto"/>
              </w:rPr>
              <w:t>Exhibit No.</w:t>
            </w:r>
          </w:p>
        </w:tc>
        <w:tc>
          <w:tcPr>
            <w:tcW w:w="320" w:type="dxa"/>
            <w:vAlign w:val="bottom"/>
          </w:tcPr>
          <w:p>
            <w:pPr>
              <w:spacing w:after="0"/>
              <w:rPr>
                <w:sz w:val="24"/>
                <w:szCs w:val="24"/>
                <w:color w:val="auto"/>
              </w:rPr>
            </w:pPr>
          </w:p>
        </w:tc>
        <w:tc>
          <w:tcPr>
            <w:tcW w:w="4260" w:type="dxa"/>
            <w:vAlign w:val="bottom"/>
          </w:tcPr>
          <w:p>
            <w:pPr>
              <w:ind w:left="1800"/>
              <w:spacing w:after="0"/>
              <w:rPr>
                <w:sz w:val="20"/>
                <w:szCs w:val="20"/>
                <w:color w:val="auto"/>
              </w:rPr>
            </w:pPr>
            <w:r>
              <w:rPr>
                <w:rFonts w:ascii="Arial" w:cs="Arial" w:eastAsia="Arial" w:hAnsi="Arial"/>
                <w:sz w:val="14"/>
                <w:szCs w:val="14"/>
                <w:b w:val="1"/>
                <w:bCs w:val="1"/>
                <w:color w:val="auto"/>
              </w:rPr>
              <w:t>Document</w:t>
            </w:r>
          </w:p>
        </w:tc>
      </w:tr>
      <w:tr>
        <w:trPr>
          <w:trHeight w:val="53"/>
        </w:trPr>
        <w:tc>
          <w:tcPr>
            <w:tcW w:w="17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4260" w:type="dxa"/>
            <w:vAlign w:val="bottom"/>
            <w:tcBorders>
              <w:bottom w:val="single" w:sz="8" w:color="808080"/>
            </w:tcBorders>
          </w:tcPr>
          <w:p>
            <w:pPr>
              <w:spacing w:after="0"/>
              <w:rPr>
                <w:sz w:val="4"/>
                <w:szCs w:val="4"/>
                <w:color w:val="auto"/>
              </w:rPr>
            </w:pPr>
          </w:p>
        </w:tc>
      </w:tr>
      <w:tr>
        <w:trPr>
          <w:trHeight w:val="291"/>
        </w:trPr>
        <w:tc>
          <w:tcPr>
            <w:tcW w:w="1700" w:type="dxa"/>
            <w:vAlign w:val="bottom"/>
          </w:tcPr>
          <w:p>
            <w:pPr>
              <w:spacing w:after="0"/>
              <w:rPr>
                <w:sz w:val="20"/>
                <w:szCs w:val="20"/>
                <w:color w:val="auto"/>
              </w:rPr>
            </w:pPr>
            <w:r>
              <w:rPr>
                <w:rFonts w:ascii="Arial" w:cs="Arial" w:eastAsia="Arial" w:hAnsi="Arial"/>
                <w:sz w:val="18"/>
                <w:szCs w:val="18"/>
                <w:color w:val="auto"/>
              </w:rPr>
              <w:t>Exhibit 99.1</w:t>
            </w:r>
          </w:p>
        </w:tc>
        <w:tc>
          <w:tcPr>
            <w:tcW w:w="4580" w:type="dxa"/>
            <w:vAlign w:val="bottom"/>
            <w:gridSpan w:val="2"/>
          </w:tcPr>
          <w:p>
            <w:pPr>
              <w:ind w:left="320"/>
              <w:spacing w:after="0"/>
              <w:rPr>
                <w:sz w:val="20"/>
                <w:szCs w:val="20"/>
                <w:color w:val="auto"/>
              </w:rPr>
            </w:pPr>
            <w:r>
              <w:rPr>
                <w:rFonts w:ascii="Arial" w:cs="Arial" w:eastAsia="Arial" w:hAnsi="Arial"/>
                <w:sz w:val="18"/>
                <w:szCs w:val="18"/>
                <w:color w:val="auto"/>
              </w:rPr>
              <w:t>Press Release issued May 20, 2004.</w:t>
            </w:r>
          </w:p>
        </w:tc>
      </w:tr>
    </w:tbl>
    <w:p>
      <w:pPr>
        <w:sectPr>
          <w:pgSz w:w="11900" w:h="16838" w:orient="portrait"/>
          <w:cols w:equalWidth="0" w:num="1">
            <w:col w:w="10219"/>
          </w:cols>
          <w:pgMar w:left="240" w:top="419" w:right="1440"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MARVELL(R) TECHNOLOGY GROUP LTD. REPORTS</w:t>
      </w:r>
    </w:p>
    <w:p>
      <w:pPr>
        <w:ind w:left="2120"/>
        <w:spacing w:after="0" w:line="238" w:lineRule="auto"/>
        <w:rPr>
          <w:sz w:val="20"/>
          <w:szCs w:val="20"/>
          <w:color w:val="auto"/>
        </w:rPr>
      </w:pPr>
      <w:r>
        <w:rPr>
          <w:rFonts w:ascii="Courier New" w:cs="Courier New" w:eastAsia="Courier New" w:hAnsi="Courier New"/>
          <w:sz w:val="18"/>
          <w:szCs w:val="18"/>
          <w:color w:val="auto"/>
        </w:rPr>
        <w:t>RECORD FIRST QUARTER FISCAL 2005 RESULTS</w:t>
      </w:r>
    </w:p>
    <w:p>
      <w:pPr>
        <w:spacing w:after="0" w:line="202"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Q1 NET REVENUES INCREASE 60% FROM PRIOR YEAR TO $269.6 MILLION</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Sunnyvale, CA. (May 20, 2004) -- Marvell(R) Technology Group Ltd. (NASDAQ: MRVL), the technology leader in the development of extreme broadband communications and storage solutions, today reported financial results for its first fiscal quarter ended May 1, 2004.</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Net revenue for the first quarter of fiscal 2005 was a record $269.6 million, an increase of 60% over net revenue of $168.3 million for the first quarter of fiscal 2004 and a 11% sequential increase from net revenue of $243.3 million for the fourth quarter of fiscal 2004. Net income under generally accepted accounting principles (GAAP) was $14.5 million, or $0.10 per share (diluted), for the first quarter of fiscal 2005, compared with a net income under GAAP of $4.4 million, or $0.03 per share (diluted), for the first quarter of fiscal 2004.</w:t>
      </w:r>
    </w:p>
    <w:p>
      <w:pPr>
        <w:spacing w:after="0" w:line="212"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and amortization of stock-based compensation. Pro forma net income was $49.1 million, or $0.34 per share (diluted), for the first quarter of fiscal 2005, compared with pro forma net income of $24.5 million, or $0.19 per share (diluted), for the first quarter of fiscal 2004. Shares used in computing pro forma net income per share for the first quarter of fiscal 2005 increased to 146.1 million, compared with 129.6 million for the first quarter of fiscal 2004.</w:t>
      </w:r>
    </w:p>
    <w:p>
      <w:pPr>
        <w:spacing w:after="0" w:line="386"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10"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"Q1 was another very successful quarter for Marvell. Our financial results reflect the hard work and dedication of our employees, the strong positioning of our world class technologies and the support of our customers and partners," stated Dr. Sehat Sutardja, Marvell's President and CEO. "Our solid execution is driving strong revenue growth and momentum in both the Enterprise and Consumer markets. Also, we continue to receive strong design activity for our new Linear DSP power management products, the DSP Switcher(TM) and this week's announcement of our high-performance embedded microprocessors marks a major strategic move that will further enable us to offer superior products to our customers while greatly expanding our high volume market opportunities."</w:t>
      </w:r>
    </w:p>
    <w:p>
      <w:pPr>
        <w:sectPr>
          <w:pgSz w:w="11900" w:h="16838" w:orient="portrait"/>
          <w:cols w:equalWidth="0" w:num="1">
            <w:col w:w="10219"/>
          </w:cols>
          <w:pgMar w:left="240" w:top="339" w:right="1440" w:bottom="1440" w:gutter="0" w:footer="0" w:header="0"/>
        </w:sectPr>
      </w:pPr>
    </w:p>
    <w:bookmarkStart w:id="7" w:name="page8"/>
    <w:bookmarkEnd w:id="7"/>
    <w:p>
      <w:pPr>
        <w:ind w:right="1879"/>
        <w:spacing w:after="0" w:line="273" w:lineRule="auto"/>
        <w:rPr>
          <w:sz w:val="20"/>
          <w:szCs w:val="20"/>
          <w:color w:val="auto"/>
        </w:rPr>
      </w:pPr>
      <w:r>
        <w:rPr>
          <w:rFonts w:ascii="Courier New" w:cs="Courier New" w:eastAsia="Courier New" w:hAnsi="Courier New"/>
          <w:sz w:val="16"/>
          <w:szCs w:val="16"/>
          <w:color w:val="auto"/>
        </w:rPr>
        <w:t>Revenue for the first quarter was a record for Marvell and represented the 26th consecutive quarter for sequential revenue growth. Also, the 11% sequential increase in first quarter revenue was Marvell's 10th consecutive quarter where sequential revenue growth was greater than 10%. The following is a review of some of the recent highlights that occurred since our last earnings release:</w:t>
      </w:r>
    </w:p>
    <w:p>
      <w:pPr>
        <w:spacing w:after="0" w:line="185" w:lineRule="exact"/>
        <w:rPr>
          <w:sz w:val="20"/>
          <w:szCs w:val="20"/>
          <w:color w:val="auto"/>
        </w:rPr>
      </w:pPr>
    </w:p>
    <w:p>
      <w:pPr>
        <w:ind w:left="1280" w:right="1779" w:hanging="640"/>
        <w:spacing w:after="0" w:line="270" w:lineRule="auto"/>
        <w:tabs>
          <w:tab w:leader="none" w:pos="12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week, Marvell announced its first family of high performance embedded microprocessors that support the ARM architecture. The new microprocessors incorporate advanced RISC design techniques normally found in high-end microprocessors and achieve 500+MHz-operating frequencies using standard foundry CMOS processes. By using Marvell proprietary, targeted custom design techniques, the new microprocessors are able to achieve many times the typical operating speed of fully synthesizable processor cores. This important initiative of integrating high-performance embedded microprocessors in Marvell's system-on-chip and custom ASIC products enables Marvell to offer its customers very advanced and highly integrated solutions broadly across many diverse end applications and markets.</w:t>
      </w:r>
    </w:p>
    <w:p>
      <w:pPr>
        <w:spacing w:after="0" w:line="390" w:lineRule="exact"/>
        <w:rPr>
          <w:rFonts w:ascii="Courier New" w:cs="Courier New" w:eastAsia="Courier New" w:hAnsi="Courier New"/>
          <w:sz w:val="16"/>
          <w:szCs w:val="16"/>
          <w:color w:val="auto"/>
        </w:rPr>
      </w:pPr>
    </w:p>
    <w:p>
      <w:pPr>
        <w:ind w:left="1280" w:right="1779" w:hanging="640"/>
        <w:spacing w:after="0" w:line="270" w:lineRule="auto"/>
        <w:tabs>
          <w:tab w:leader="none" w:pos="12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Q1 was another very strong quarter for Marvell's storage electronics for the hard disk drive market. The hard disk drive market continues to offer large revenue growth opportunities for Marvell and is now expected to grow over $3 billion this year. During the quarter Marvell enjoyed strong revenue growth from continued market share gains in the traditional hard disk drive market. Additionally, the emerging consumer small form factor drive market continues to grow as these exciting drives are designed into a variety of consumer electronic devices. Marvell continues to aggressively expand its technological capabilities for these rapidly growing consumer small form factor drives and is partnering closely with its customers to drive rapid adoption of this storage technology.</w:t>
      </w:r>
    </w:p>
    <w:p>
      <w:pPr>
        <w:spacing w:after="0" w:line="390" w:lineRule="exact"/>
        <w:rPr>
          <w:rFonts w:ascii="Courier New" w:cs="Courier New" w:eastAsia="Courier New" w:hAnsi="Courier New"/>
          <w:sz w:val="16"/>
          <w:szCs w:val="16"/>
          <w:color w:val="auto"/>
        </w:rPr>
      </w:pPr>
    </w:p>
    <w:p>
      <w:pPr>
        <w:ind w:left="1280" w:right="1779" w:hanging="640"/>
        <w:spacing w:after="0" w:line="271" w:lineRule="auto"/>
        <w:tabs>
          <w:tab w:leader="none" w:pos="12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Marvell continues to have great success in driving the adoption of WLAN into consumer electronic devices by offering the highest performance, lowest power and smallest form factor products enabling for the most cost effective designs. During the quarter, Marvell further increased its number of designs with large consumer electronics OEMs. Marvell's WLAN solutions are now designed into such high volume applications as cellular handsets, gaming devices, PDA's, and emerging home entertainment multimedia client devices.</w:t>
      </w:r>
    </w:p>
    <w:p>
      <w:pPr>
        <w:spacing w:after="0" w:line="185" w:lineRule="exact"/>
        <w:rPr>
          <w:rFonts w:ascii="Courier New" w:cs="Courier New" w:eastAsia="Courier New" w:hAnsi="Courier New"/>
          <w:sz w:val="16"/>
          <w:szCs w:val="16"/>
          <w:color w:val="auto"/>
        </w:rPr>
      </w:pPr>
    </w:p>
    <w:p>
      <w:pPr>
        <w:ind w:left="1280" w:right="1779" w:hanging="640"/>
        <w:spacing w:after="0" w:line="270" w:lineRule="auto"/>
        <w:tabs>
          <w:tab w:leader="none" w:pos="128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accelerating adoption of Gigabit Ethernet for infrastructure switching continues to drive revenue growth for Marvell's Alaska(TM) Gigabit PHYs and Prestera(TM) Switch Family. This week, Marvell once again raised the technology bar by achieving an industry milestone with the introduction of the world's lowest power of under 0.5 watt per port and most advanced Gigabit Ethernet (GbE) copper PHY technology. The Alaska GbE PHY family is also further enhanced with advanced proprietary Mixed-Signal, Digital Signal Processing and power management techniques, which enables the highest density and most compact form-factor Gigabit switches on the market today.</w:t>
      </w:r>
    </w:p>
    <w:p>
      <w:pPr>
        <w:sectPr>
          <w:pgSz w:w="11900" w:h="16838" w:orient="portrait"/>
          <w:cols w:equalWidth="0" w:num="1">
            <w:col w:w="10219"/>
          </w:cols>
          <w:pgMar w:left="240" w:top="520" w:right="1440" w:bottom="1440" w:gutter="0" w:footer="0" w:header="0"/>
        </w:sectPr>
      </w:pPr>
    </w:p>
    <w:bookmarkStart w:id="8" w:name="page9"/>
    <w:bookmarkEnd w:id="8"/>
    <w:p>
      <w:pPr>
        <w:ind w:left="1280" w:right="1779" w:hanging="640"/>
        <w:spacing w:after="0" w:line="238" w:lineRule="auto"/>
        <w:tabs>
          <w:tab w:leader="none" w:pos="128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also introduced new innovative WLAN technology to enable new applications and its customers to quickly develop highly differentiated products. Marvell's All-into-1 technology for the first time allows the integration of many WLAN functions into a single device that were previously separate functions handled by multiple devices. Now, in just a size of a credit card, one can add wireless capability to any Ethernet enabled device, extend the range of any 802.11 g/b Access Point or wireless router, provide easier setup for broadband wireless gaming over the Internet, allow personal 54Mbps `hot-spot' connectivity, and much more. In addition, Marvell also demonstrated LiveAP(TM) at the Networld + Interop tradeshow in Las Vegas last week. LiveAP(TM) is an embedded access point product that utilizes Marvell's extreme low power and integrated processor technology to offer "on-demand" access to the wireless network and Internet even when the host device is turned off.</w:t>
      </w:r>
    </w:p>
    <w:p>
      <w:pPr>
        <w:spacing w:after="0" w:line="208"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Marvell will be conducting a conference call today at 1:45 p.m. PT to discuss its first quarter financial results. To listen to the conference call, investors can dial (706) 679-0800 approximately ten minutes prior to the initiation of the teleconference and refer to conference code 7270279. Replay of the conference call will be available until May 27, 2004 at midnight PDT by dialing (706)</w:t>
      </w:r>
    </w:p>
    <w:p>
      <w:pPr>
        <w:spacing w:after="0" w:line="1" w:lineRule="exact"/>
        <w:rPr>
          <w:sz w:val="20"/>
          <w:szCs w:val="20"/>
          <w:color w:val="auto"/>
        </w:rPr>
      </w:pPr>
    </w:p>
    <w:p>
      <w:pPr>
        <w:ind w:right="2619"/>
        <w:spacing w:after="0" w:line="236" w:lineRule="auto"/>
        <w:rPr>
          <w:sz w:val="20"/>
          <w:szCs w:val="20"/>
          <w:color w:val="auto"/>
        </w:rPr>
      </w:pPr>
      <w:r>
        <w:rPr>
          <w:rFonts w:ascii="Courier New" w:cs="Courier New" w:eastAsia="Courier New" w:hAnsi="Courier New"/>
          <w:sz w:val="18"/>
          <w:szCs w:val="18"/>
          <w:color w:val="auto"/>
        </w:rPr>
        <w:t>645-9291. The conference call will also be available via the web at www.marvell.com. Please visit the Investor Events section. Replay on the Internet will be available until May 20, 2005.</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expanding high volume market opportunities through high-performance embedded microprocessors, revenue growth opportunities for Marvell in the hard disk market, partnering with customers to drive rapid adoption of small form factor disk drive technology, our continuing revenue growth being driven by the accelerating adoption of Gigabit Ethernet for infrastructure switching and by the continued adoption of our Wireless and Storage products our expectations regarding our products and new technology reaching many new large volume markets and applications such as consumer electronics.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31, 2004. We undertake no obligation to revise or update publicly any forward-looking statements.</w:t>
      </w:r>
    </w:p>
    <w:p>
      <w:pPr>
        <w:sectPr>
          <w:pgSz w:w="11900" w:h="16838" w:orient="portrait"/>
          <w:cols w:equalWidth="0" w:num="1">
            <w:col w:w="10219"/>
          </w:cols>
          <w:pgMar w:left="240" w:top="520" w:right="1440" w:bottom="1440" w:gutter="0" w:footer="0" w:header="0"/>
        </w:sectPr>
      </w:pPr>
    </w:p>
    <w:bookmarkStart w:id="9" w:name="page10"/>
    <w:bookmarkEnd w:id="9"/>
    <w:p>
      <w:pPr>
        <w:ind w:right="1879"/>
        <w:spacing w:after="0" w:line="235" w:lineRule="auto"/>
        <w:rPr>
          <w:sz w:val="20"/>
          <w:szCs w:val="20"/>
          <w:color w:val="auto"/>
        </w:rPr>
      </w:pPr>
      <w:r>
        <w:rPr>
          <w:rFonts w:ascii="Courier New" w:cs="Courier New" w:eastAsia="Courier New" w:hAnsi="Courier New"/>
          <w:sz w:val="18"/>
          <w:szCs w:val="18"/>
          <w:color w:val="auto"/>
        </w:rPr>
        <w:t>Marvell(R) and the Marvell logo are trademarks of Marvell. All other trademarks are the property of their respective owners.</w:t>
      </w:r>
    </w:p>
    <w:p>
      <w:pPr>
        <w:sectPr>
          <w:pgSz w:w="11900" w:h="16838" w:orient="portrait"/>
          <w:cols w:equalWidth="0" w:num="1">
            <w:col w:w="10219"/>
          </w:cols>
          <w:pgMar w:left="240" w:top="723" w:right="1440" w:bottom="1440" w:gutter="0" w:footer="0" w:header="0"/>
        </w:sectPr>
      </w:pPr>
    </w:p>
    <w:bookmarkStart w:id="10" w:name="page11"/>
    <w:bookmarkEnd w:id="10"/>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STATEMENTS OF OPERATIONS</w:t>
      </w:r>
    </w:p>
    <w:p>
      <w:pPr>
        <w:jc w:val="center"/>
        <w:ind w:right="1679"/>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6480" w:type="dxa"/>
            <w:vAlign w:val="bottom"/>
            <w:gridSpan w:val="3"/>
          </w:tcPr>
          <w:p>
            <w:pPr>
              <w:jc w:val="right"/>
              <w:ind w:right="72"/>
              <w:spacing w:after="0" w:line="202" w:lineRule="exact"/>
              <w:rPr>
                <w:sz w:val="20"/>
                <w:szCs w:val="20"/>
                <w:color w:val="auto"/>
              </w:rPr>
            </w:pPr>
            <w:r>
              <w:rPr>
                <w:rFonts w:ascii="Courier New" w:cs="Courier New" w:eastAsia="Courier New" w:hAnsi="Courier New"/>
                <w:sz w:val="18"/>
                <w:szCs w:val="18"/>
                <w:color w:val="auto"/>
              </w:rPr>
              <w:t>(IN THOUSANDS, EXCEPT PER SHARE AMOUNTS)</w:t>
            </w:r>
          </w:p>
        </w:tc>
        <w:tc>
          <w:tcPr>
            <w:tcW w:w="26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810"/>
        </w:trPr>
        <w:tc>
          <w:tcPr>
            <w:tcW w:w="49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100" w:type="dxa"/>
            <w:vAlign w:val="bottom"/>
            <w:gridSpan w:val="3"/>
          </w:tcPr>
          <w:p>
            <w:pPr>
              <w:spacing w:after="0"/>
              <w:rPr>
                <w:sz w:val="20"/>
                <w:szCs w:val="20"/>
                <w:color w:val="auto"/>
              </w:rPr>
            </w:pPr>
            <w:r>
              <w:rPr>
                <w:rFonts w:ascii="Courier New" w:cs="Courier New" w:eastAsia="Courier New" w:hAnsi="Courier New"/>
                <w:sz w:val="18"/>
                <w:szCs w:val="18"/>
                <w:color w:val="auto"/>
              </w:rPr>
              <w:t>THREE MONTHS ENDED</w:t>
            </w:r>
          </w:p>
        </w:tc>
      </w:tr>
      <w:tr>
        <w:trPr>
          <w:trHeight w:val="203"/>
        </w:trPr>
        <w:tc>
          <w:tcPr>
            <w:tcW w:w="4900" w:type="dxa"/>
            <w:vAlign w:val="bottom"/>
          </w:tcPr>
          <w:p>
            <w:pPr>
              <w:spacing w:after="0"/>
              <w:rPr>
                <w:sz w:val="17"/>
                <w:szCs w:val="17"/>
                <w:color w:val="auto"/>
              </w:rPr>
            </w:pPr>
          </w:p>
        </w:tc>
        <w:tc>
          <w:tcPr>
            <w:tcW w:w="258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spacing w:after="0" w:line="203" w:lineRule="exact"/>
              <w:rPr>
                <w:sz w:val="20"/>
                <w:szCs w:val="20"/>
                <w:color w:val="auto"/>
              </w:rPr>
            </w:pPr>
            <w:r>
              <w:rPr>
                <w:rFonts w:ascii="Courier New" w:cs="Courier New" w:eastAsia="Courier New" w:hAnsi="Courier New"/>
                <w:sz w:val="18"/>
                <w:szCs w:val="18"/>
                <w:color w:val="auto"/>
              </w:rPr>
              <w:t>MAY 1,</w:t>
            </w:r>
          </w:p>
        </w:tc>
        <w:tc>
          <w:tcPr>
            <w:tcW w:w="260" w:type="dxa"/>
            <w:vAlign w:val="bottom"/>
          </w:tcPr>
          <w:p>
            <w:pPr>
              <w:spacing w:after="0"/>
              <w:rPr>
                <w:sz w:val="17"/>
                <w:szCs w:val="17"/>
                <w:color w:val="auto"/>
              </w:rPr>
            </w:pP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5"/>
              </w:rPr>
              <w:t>MAY 3,</w:t>
            </w:r>
          </w:p>
        </w:tc>
      </w:tr>
      <w:tr>
        <w:trPr>
          <w:trHeight w:val="203"/>
        </w:trPr>
        <w:tc>
          <w:tcPr>
            <w:tcW w:w="49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2004</w:t>
            </w:r>
          </w:p>
        </w:tc>
        <w:tc>
          <w:tcPr>
            <w:tcW w:w="260" w:type="dxa"/>
            <w:vAlign w:val="bottom"/>
          </w:tcPr>
          <w:p>
            <w:pPr>
              <w:spacing w:after="0"/>
              <w:rPr>
                <w:sz w:val="17"/>
                <w:szCs w:val="17"/>
                <w:color w:val="auto"/>
              </w:rPr>
            </w:pPr>
          </w:p>
        </w:tc>
        <w:tc>
          <w:tcPr>
            <w:tcW w:w="7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2003</w:t>
            </w:r>
          </w:p>
        </w:tc>
      </w:tr>
      <w:tr>
        <w:trPr>
          <w:trHeight w:val="203"/>
        </w:trPr>
        <w:tc>
          <w:tcPr>
            <w:tcW w:w="49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jc w:val="right"/>
              <w:ind w:right="372"/>
              <w:spacing w:after="0" w:line="203" w:lineRule="exact"/>
              <w:rPr>
                <w:sz w:val="20"/>
                <w:szCs w:val="20"/>
                <w:color w:val="auto"/>
              </w:rPr>
            </w:pPr>
            <w:r>
              <w:rPr>
                <w:rFonts w:ascii="Courier New" w:cs="Courier New" w:eastAsia="Courier New" w:hAnsi="Courier New"/>
                <w:sz w:val="18"/>
                <w:szCs w:val="18"/>
                <w:color w:val="auto"/>
                <w:w w:val="95"/>
              </w:rPr>
              <w:t>------</w:t>
            </w:r>
          </w:p>
        </w:tc>
        <w:tc>
          <w:tcPr>
            <w:tcW w:w="260" w:type="dxa"/>
            <w:vAlign w:val="bottom"/>
          </w:tcPr>
          <w:p>
            <w:pPr>
              <w:spacing w:after="0"/>
              <w:rPr>
                <w:sz w:val="17"/>
                <w:szCs w:val="17"/>
                <w:color w:val="auto"/>
              </w:rPr>
            </w:pP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5"/>
              </w:rPr>
              <w:t>------</w:t>
            </w:r>
          </w:p>
        </w:tc>
      </w:tr>
      <w:tr>
        <w:trPr>
          <w:trHeight w:val="405"/>
        </w:trPr>
        <w:tc>
          <w:tcPr>
            <w:tcW w:w="490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1580" w:type="dxa"/>
            <w:vAlign w:val="bottom"/>
            <w:gridSpan w:val="2"/>
          </w:tcPr>
          <w:p>
            <w:pPr>
              <w:jc w:val="right"/>
              <w:ind w:right="272"/>
              <w:spacing w:after="0"/>
              <w:rPr>
                <w:sz w:val="20"/>
                <w:szCs w:val="20"/>
                <w:color w:val="auto"/>
              </w:rPr>
            </w:pPr>
            <w:r>
              <w:rPr>
                <w:rFonts w:ascii="Courier New" w:cs="Courier New" w:eastAsia="Courier New" w:hAnsi="Courier New"/>
                <w:sz w:val="18"/>
                <w:szCs w:val="18"/>
                <w:color w:val="auto"/>
              </w:rPr>
              <w:t>$269,577</w:t>
            </w:r>
          </w:p>
        </w:tc>
        <w:tc>
          <w:tcPr>
            <w:tcW w:w="100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$168,283</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w w:val="95"/>
              </w:rPr>
              <w:t>127,836</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76,113</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w w:val="95"/>
              </w:rPr>
              <w:t>141,741</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92,170</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4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49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63,272</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46,639</w:t>
            </w:r>
          </w:p>
        </w:tc>
      </w:tr>
      <w:tr>
        <w:trPr>
          <w:trHeight w:val="203"/>
        </w:trPr>
        <w:tc>
          <w:tcPr>
            <w:tcW w:w="49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18,701</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15,463</w:t>
            </w:r>
          </w:p>
        </w:tc>
      </w:tr>
      <w:tr>
        <w:trPr>
          <w:trHeight w:val="203"/>
        </w:trPr>
        <w:tc>
          <w:tcPr>
            <w:tcW w:w="49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6,837</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3,580</w:t>
            </w:r>
          </w:p>
        </w:tc>
      </w:tr>
      <w:tr>
        <w:trPr>
          <w:trHeight w:val="203"/>
        </w:trPr>
        <w:tc>
          <w:tcPr>
            <w:tcW w:w="49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1,388</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658</w:t>
            </w:r>
          </w:p>
        </w:tc>
      </w:tr>
      <w:tr>
        <w:trPr>
          <w:trHeight w:val="203"/>
        </w:trPr>
        <w:tc>
          <w:tcPr>
            <w:tcW w:w="49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Amortization/write-off of acquired</w:t>
            </w:r>
          </w:p>
        </w:tc>
        <w:tc>
          <w:tcPr>
            <w:tcW w:w="4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490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intangible assets and other</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33,258</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19,448</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w w:val="95"/>
              </w:rPr>
              <w:t>123,456</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85,788</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18,285</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6,382</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1,672</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1,311</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before income taxes</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19,957</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7,693</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5,460</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3,336</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w:t>
            </w: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$ 14,497</w:t>
            </w:r>
          </w:p>
        </w:tc>
        <w:tc>
          <w:tcPr>
            <w:tcW w:w="2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4,357</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00" w:type="dxa"/>
            <w:vAlign w:val="bottom"/>
          </w:tcPr>
          <w:p>
            <w:pPr>
              <w:spacing w:after="0"/>
              <w:rPr>
                <w:sz w:val="20"/>
                <w:szCs w:val="20"/>
                <w:color w:val="auto"/>
              </w:rPr>
            </w:pPr>
            <w:r>
              <w:rPr>
                <w:rFonts w:ascii="Courier New" w:cs="Courier New" w:eastAsia="Courier New" w:hAnsi="Courier New"/>
                <w:sz w:val="18"/>
                <w:szCs w:val="18"/>
                <w:color w:val="auto"/>
              </w:rPr>
              <w:t>Basic net income per share</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72"/>
              <w:spacing w:after="0"/>
              <w:rPr>
                <w:sz w:val="20"/>
                <w:szCs w:val="20"/>
                <w:color w:val="auto"/>
              </w:rPr>
            </w:pPr>
            <w:r>
              <w:rPr>
                <w:rFonts w:ascii="Courier New" w:cs="Courier New" w:eastAsia="Courier New" w:hAnsi="Courier New"/>
                <w:sz w:val="18"/>
                <w:szCs w:val="18"/>
                <w:color w:val="auto"/>
              </w:rPr>
              <w:t>0.11</w:t>
            </w:r>
          </w:p>
        </w:tc>
        <w:tc>
          <w:tcPr>
            <w:tcW w:w="2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0.04</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net income per share</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0.10</w:t>
            </w:r>
          </w:p>
        </w:tc>
        <w:tc>
          <w:tcPr>
            <w:tcW w:w="2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0.03</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00" w:type="dxa"/>
            <w:vAlign w:val="bottom"/>
          </w:tcPr>
          <w:p>
            <w:pPr>
              <w:spacing w:after="0"/>
              <w:rPr>
                <w:sz w:val="20"/>
                <w:szCs w:val="20"/>
                <w:color w:val="auto"/>
              </w:rPr>
            </w:pPr>
            <w:r>
              <w:rPr>
                <w:rFonts w:ascii="Courier New" w:cs="Courier New" w:eastAsia="Courier New" w:hAnsi="Courier New"/>
                <w:sz w:val="18"/>
                <w:szCs w:val="18"/>
                <w:color w:val="auto"/>
              </w:rPr>
              <w:t>Weighted average shares -- basic</w:t>
            </w:r>
          </w:p>
        </w:tc>
        <w:tc>
          <w:tcPr>
            <w:tcW w:w="480" w:type="dxa"/>
            <w:vAlign w:val="bottom"/>
          </w:tcPr>
          <w:p>
            <w:pPr>
              <w:spacing w:after="0"/>
              <w:rPr>
                <w:sz w:val="24"/>
                <w:szCs w:val="24"/>
                <w:color w:val="auto"/>
              </w:rPr>
            </w:pPr>
          </w:p>
        </w:tc>
        <w:tc>
          <w:tcPr>
            <w:tcW w:w="1100" w:type="dxa"/>
            <w:vAlign w:val="bottom"/>
          </w:tcPr>
          <w:p>
            <w:pPr>
              <w:jc w:val="right"/>
              <w:ind w:right="272"/>
              <w:spacing w:after="0"/>
              <w:rPr>
                <w:sz w:val="20"/>
                <w:szCs w:val="20"/>
                <w:color w:val="auto"/>
              </w:rPr>
            </w:pPr>
            <w:r>
              <w:rPr>
                <w:rFonts w:ascii="Courier New" w:cs="Courier New" w:eastAsia="Courier New" w:hAnsi="Courier New"/>
                <w:sz w:val="18"/>
                <w:szCs w:val="18"/>
                <w:color w:val="auto"/>
                <w:w w:val="95"/>
              </w:rPr>
              <w:t>132,239</w:t>
            </w:r>
          </w:p>
        </w:tc>
        <w:tc>
          <w:tcPr>
            <w:tcW w:w="260" w:type="dxa"/>
            <w:vAlign w:val="bottom"/>
          </w:tcPr>
          <w:p>
            <w:pPr>
              <w:spacing w:after="0"/>
              <w:rPr>
                <w:sz w:val="24"/>
                <w:szCs w:val="24"/>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w w:val="95"/>
              </w:rPr>
              <w:t>121,336</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0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diluted</w:t>
            </w:r>
          </w:p>
        </w:tc>
        <w:tc>
          <w:tcPr>
            <w:tcW w:w="48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w w:val="95"/>
              </w:rPr>
              <w:t>146,092</w:t>
            </w:r>
          </w:p>
        </w:tc>
        <w:tc>
          <w:tcPr>
            <w:tcW w:w="26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129,573</w:t>
            </w:r>
          </w:p>
        </w:tc>
      </w:tr>
      <w:tr>
        <w:trPr>
          <w:trHeight w:val="203"/>
        </w:trPr>
        <w:tc>
          <w:tcPr>
            <w:tcW w:w="4900" w:type="dxa"/>
            <w:vAlign w:val="bottom"/>
          </w:tcPr>
          <w:p>
            <w:pPr>
              <w:spacing w:after="0"/>
              <w:rPr>
                <w:sz w:val="17"/>
                <w:szCs w:val="17"/>
                <w:color w:val="auto"/>
              </w:rPr>
            </w:pPr>
          </w:p>
        </w:tc>
        <w:tc>
          <w:tcPr>
            <w:tcW w:w="1580" w:type="dxa"/>
            <w:vAlign w:val="bottom"/>
            <w:gridSpan w:val="2"/>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ectPr>
          <w:pgSz w:w="11900" w:h="16838" w:orient="portrait"/>
          <w:cols w:equalWidth="0" w:num="1">
            <w:col w:w="10219"/>
          </w:cols>
          <w:pgMar w:left="240" w:top="514" w:right="1440" w:bottom="1440" w:gutter="0" w:footer="0" w:header="0"/>
        </w:sectPr>
      </w:pPr>
    </w:p>
    <w:bookmarkStart w:id="11" w:name="page12"/>
    <w:bookmarkEnd w:id="11"/>
    <w:p>
      <w:pPr>
        <w:ind w:left="2740"/>
        <w:spacing w:after="0"/>
        <w:rPr>
          <w:sz w:val="20"/>
          <w:szCs w:val="20"/>
          <w:color w:val="auto"/>
        </w:rPr>
      </w:pPr>
      <w:r>
        <w:rPr>
          <w:rFonts w:ascii="Courier New" w:cs="Courier New" w:eastAsia="Courier New" w:hAnsi="Courier New"/>
          <w:sz w:val="18"/>
          <w:szCs w:val="18"/>
          <w:color w:val="auto"/>
        </w:rPr>
        <w:t>MARVELL TECHNOLOGY GROUP LTD.</w:t>
      </w:r>
    </w:p>
    <w:p>
      <w:pPr>
        <w:ind w:left="1700"/>
        <w:spacing w:after="0" w:line="238" w:lineRule="auto"/>
        <w:rPr>
          <w:sz w:val="20"/>
          <w:szCs w:val="20"/>
          <w:color w:val="auto"/>
        </w:rPr>
      </w:pPr>
      <w:r>
        <w:rPr>
          <w:rFonts w:ascii="Courier New" w:cs="Courier New" w:eastAsia="Courier New" w:hAnsi="Courier New"/>
          <w:sz w:val="18"/>
          <w:szCs w:val="18"/>
          <w:color w:val="auto"/>
        </w:rPr>
        <w:t>PRO FORMA CONSOLIDATED STATEMENTS OF OPERATIONS</w:t>
      </w:r>
    </w:p>
    <w:p>
      <w:pPr>
        <w:ind w:left="3700"/>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6320" w:type="dxa"/>
            <w:vAlign w:val="bottom"/>
            <w:gridSpan w:val="3"/>
          </w:tcPr>
          <w:p>
            <w:pPr>
              <w:jc w:val="right"/>
              <w:spacing w:after="0" w:line="202" w:lineRule="exact"/>
              <w:rPr>
                <w:sz w:val="20"/>
                <w:szCs w:val="20"/>
                <w:color w:val="auto"/>
              </w:rPr>
            </w:pPr>
            <w:r>
              <w:rPr>
                <w:rFonts w:ascii="Courier New" w:cs="Courier New" w:eastAsia="Courier New" w:hAnsi="Courier New"/>
                <w:sz w:val="18"/>
                <w:szCs w:val="18"/>
                <w:color w:val="auto"/>
              </w:rPr>
              <w:t>(IN THOUSANDS, EXCEPT PER SHARE AMOUNTS)</w:t>
            </w: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810"/>
        </w:trPr>
        <w:tc>
          <w:tcPr>
            <w:tcW w:w="4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120" w:type="dxa"/>
            <w:vAlign w:val="bottom"/>
            <w:gridSpan w:val="3"/>
          </w:tcPr>
          <w:p>
            <w:pPr>
              <w:spacing w:after="0"/>
              <w:rPr>
                <w:sz w:val="20"/>
                <w:szCs w:val="20"/>
                <w:color w:val="auto"/>
              </w:rPr>
            </w:pPr>
            <w:r>
              <w:rPr>
                <w:rFonts w:ascii="Courier New" w:cs="Courier New" w:eastAsia="Courier New" w:hAnsi="Courier New"/>
                <w:sz w:val="18"/>
                <w:szCs w:val="18"/>
                <w:color w:val="auto"/>
              </w:rPr>
              <w:t>THREE MONTHS ENDED</w:t>
            </w:r>
          </w:p>
        </w:tc>
      </w:tr>
      <w:tr>
        <w:trPr>
          <w:trHeight w:val="203"/>
        </w:trPr>
        <w:tc>
          <w:tcPr>
            <w:tcW w:w="4600" w:type="dxa"/>
            <w:vAlign w:val="bottom"/>
          </w:tcPr>
          <w:p>
            <w:pPr>
              <w:spacing w:after="0"/>
              <w:rPr>
                <w:sz w:val="17"/>
                <w:szCs w:val="17"/>
                <w:color w:val="auto"/>
              </w:rPr>
            </w:pPr>
          </w:p>
        </w:tc>
        <w:tc>
          <w:tcPr>
            <w:tcW w:w="258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6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60" w:type="dxa"/>
            <w:vAlign w:val="bottom"/>
          </w:tcPr>
          <w:p>
            <w:pPr>
              <w:spacing w:after="0" w:line="203" w:lineRule="exact"/>
              <w:rPr>
                <w:sz w:val="20"/>
                <w:szCs w:val="20"/>
                <w:color w:val="auto"/>
              </w:rPr>
            </w:pPr>
            <w:r>
              <w:rPr>
                <w:rFonts w:ascii="Courier New" w:cs="Courier New" w:eastAsia="Courier New" w:hAnsi="Courier New"/>
                <w:sz w:val="18"/>
                <w:szCs w:val="18"/>
                <w:color w:val="auto"/>
              </w:rPr>
              <w:t>MAY 1,</w:t>
            </w:r>
          </w:p>
        </w:tc>
        <w:tc>
          <w:tcPr>
            <w:tcW w:w="1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MAY 3,</w:t>
            </w:r>
          </w:p>
        </w:tc>
      </w:tr>
      <w:tr>
        <w:trPr>
          <w:trHeight w:val="203"/>
        </w:trPr>
        <w:tc>
          <w:tcPr>
            <w:tcW w:w="46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60" w:type="dxa"/>
            <w:vAlign w:val="bottom"/>
          </w:tcPr>
          <w:p>
            <w:pPr>
              <w:jc w:val="right"/>
              <w:ind w:right="632"/>
              <w:spacing w:after="0" w:line="203" w:lineRule="exact"/>
              <w:rPr>
                <w:sz w:val="20"/>
                <w:szCs w:val="20"/>
                <w:color w:val="auto"/>
              </w:rPr>
            </w:pPr>
            <w:r>
              <w:rPr>
                <w:rFonts w:ascii="Courier New" w:cs="Courier New" w:eastAsia="Courier New" w:hAnsi="Courier New"/>
                <w:sz w:val="18"/>
                <w:szCs w:val="18"/>
                <w:color w:val="auto"/>
              </w:rPr>
              <w:t>2004</w:t>
            </w:r>
          </w:p>
        </w:tc>
        <w:tc>
          <w:tcPr>
            <w:tcW w:w="120" w:type="dxa"/>
            <w:vAlign w:val="bottom"/>
          </w:tcPr>
          <w:p>
            <w:pPr>
              <w:spacing w:after="0"/>
              <w:rPr>
                <w:sz w:val="17"/>
                <w:szCs w:val="17"/>
                <w:color w:val="auto"/>
              </w:rPr>
            </w:pPr>
          </w:p>
        </w:tc>
        <w:tc>
          <w:tcPr>
            <w:tcW w:w="7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2003</w:t>
            </w:r>
          </w:p>
        </w:tc>
      </w:tr>
      <w:tr>
        <w:trPr>
          <w:trHeight w:val="203"/>
        </w:trPr>
        <w:tc>
          <w:tcPr>
            <w:tcW w:w="46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26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w w:val="95"/>
              </w:rPr>
              <w:t>------</w:t>
            </w:r>
          </w:p>
        </w:tc>
        <w:tc>
          <w:tcPr>
            <w:tcW w:w="120" w:type="dxa"/>
            <w:vAlign w:val="bottom"/>
          </w:tcPr>
          <w:p>
            <w:pPr>
              <w:spacing w:after="0"/>
              <w:rPr>
                <w:sz w:val="17"/>
                <w:szCs w:val="17"/>
                <w:color w:val="auto"/>
              </w:rPr>
            </w:pPr>
          </w:p>
        </w:tc>
        <w:tc>
          <w:tcPr>
            <w:tcW w:w="7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2"/>
              </w:rPr>
              <w:t>------</w:t>
            </w:r>
          </w:p>
        </w:tc>
      </w:tr>
      <w:tr>
        <w:trPr>
          <w:trHeight w:val="405"/>
        </w:trPr>
        <w:tc>
          <w:tcPr>
            <w:tcW w:w="460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172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$269,577</w:t>
            </w:r>
          </w:p>
        </w:tc>
        <w:tc>
          <w:tcPr>
            <w:tcW w:w="8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7"/>
              </w:rPr>
              <w:t>$168,283</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127,836</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76,113</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141,741</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92,170</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4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46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63,272</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46,639</w:t>
            </w:r>
          </w:p>
        </w:tc>
      </w:tr>
      <w:tr>
        <w:trPr>
          <w:trHeight w:val="203"/>
        </w:trPr>
        <w:tc>
          <w:tcPr>
            <w:tcW w:w="46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18,701</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15,463</w:t>
            </w:r>
          </w:p>
        </w:tc>
      </w:tr>
      <w:tr>
        <w:trPr>
          <w:trHeight w:val="203"/>
        </w:trPr>
        <w:tc>
          <w:tcPr>
            <w:tcW w:w="46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6,837</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3,580</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88,810</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65,682</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52,931</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26,488</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1,672</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1,311</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before income taxes</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54,603</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27,799</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5,460</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3,336</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$ 49,143</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$ 24,463</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405"/>
        </w:trPr>
        <w:tc>
          <w:tcPr>
            <w:tcW w:w="4600" w:type="dxa"/>
            <w:vAlign w:val="bottom"/>
          </w:tcPr>
          <w:p>
            <w:pPr>
              <w:spacing w:after="0"/>
              <w:rPr>
                <w:sz w:val="20"/>
                <w:szCs w:val="20"/>
                <w:color w:val="auto"/>
              </w:rPr>
            </w:pPr>
            <w:r>
              <w:rPr>
                <w:rFonts w:ascii="Courier New" w:cs="Courier New" w:eastAsia="Courier New" w:hAnsi="Courier New"/>
                <w:sz w:val="18"/>
                <w:szCs w:val="18"/>
                <w:color w:val="auto"/>
              </w:rPr>
              <w:t>Basic pro forma net income per share</w:t>
            </w:r>
          </w:p>
        </w:tc>
        <w:tc>
          <w:tcPr>
            <w:tcW w:w="4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432"/>
              <w:spacing w:after="0"/>
              <w:rPr>
                <w:sz w:val="20"/>
                <w:szCs w:val="20"/>
                <w:color w:val="auto"/>
              </w:rPr>
            </w:pPr>
            <w:r>
              <w:rPr>
                <w:rFonts w:ascii="Courier New" w:cs="Courier New" w:eastAsia="Courier New" w:hAnsi="Courier New"/>
                <w:sz w:val="18"/>
                <w:szCs w:val="18"/>
                <w:color w:val="auto"/>
              </w:rPr>
              <w:t>0.37</w:t>
            </w:r>
          </w:p>
        </w:tc>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0.20</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pro forma net income per share</w:t>
            </w:r>
          </w:p>
        </w:tc>
        <w:tc>
          <w:tcPr>
            <w:tcW w:w="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0.34</w:t>
            </w:r>
          </w:p>
        </w:tc>
        <w:tc>
          <w:tcPr>
            <w:tcW w:w="1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0.19</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405"/>
        </w:trPr>
        <w:tc>
          <w:tcPr>
            <w:tcW w:w="4600" w:type="dxa"/>
            <w:vAlign w:val="bottom"/>
          </w:tcPr>
          <w:p>
            <w:pPr>
              <w:spacing w:after="0"/>
              <w:rPr>
                <w:sz w:val="20"/>
                <w:szCs w:val="20"/>
                <w:color w:val="auto"/>
              </w:rPr>
            </w:pPr>
            <w:r>
              <w:rPr>
                <w:rFonts w:ascii="Courier New" w:cs="Courier New" w:eastAsia="Courier New" w:hAnsi="Courier New"/>
                <w:sz w:val="18"/>
                <w:szCs w:val="18"/>
                <w:color w:val="auto"/>
              </w:rPr>
              <w:t>Weighted average shares -- basic</w:t>
            </w:r>
          </w:p>
        </w:tc>
        <w:tc>
          <w:tcPr>
            <w:tcW w:w="460" w:type="dxa"/>
            <w:vAlign w:val="bottom"/>
          </w:tcPr>
          <w:p>
            <w:pPr>
              <w:spacing w:after="0"/>
              <w:rPr>
                <w:sz w:val="24"/>
                <w:szCs w:val="24"/>
                <w:color w:val="auto"/>
              </w:rPr>
            </w:pPr>
          </w:p>
        </w:tc>
        <w:tc>
          <w:tcPr>
            <w:tcW w:w="1260" w:type="dxa"/>
            <w:vAlign w:val="bottom"/>
          </w:tcPr>
          <w:p>
            <w:pPr>
              <w:jc w:val="right"/>
              <w:ind w:right="432"/>
              <w:spacing w:after="0"/>
              <w:rPr>
                <w:sz w:val="20"/>
                <w:szCs w:val="20"/>
                <w:color w:val="auto"/>
              </w:rPr>
            </w:pPr>
            <w:r>
              <w:rPr>
                <w:rFonts w:ascii="Courier New" w:cs="Courier New" w:eastAsia="Courier New" w:hAnsi="Courier New"/>
                <w:sz w:val="18"/>
                <w:szCs w:val="18"/>
                <w:color w:val="auto"/>
                <w:w w:val="95"/>
              </w:rPr>
              <w:t>132,239</w:t>
            </w:r>
          </w:p>
        </w:tc>
        <w:tc>
          <w:tcPr>
            <w:tcW w:w="120" w:type="dxa"/>
            <w:vAlign w:val="bottom"/>
          </w:tcPr>
          <w:p>
            <w:pPr>
              <w:spacing w:after="0"/>
              <w:rPr>
                <w:sz w:val="24"/>
                <w:szCs w:val="24"/>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w w:val="95"/>
              </w:rPr>
              <w:t>121,336</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 diluted</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w w:val="95"/>
              </w:rPr>
              <w:t>146,092</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129,573</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RECONCILIATION OF GAAP NET INCOME</w:t>
            </w:r>
          </w:p>
        </w:tc>
        <w:tc>
          <w:tcPr>
            <w:tcW w:w="4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460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TO PRO FORMA NET INCOME:</w:t>
            </w:r>
          </w:p>
        </w:tc>
        <w:tc>
          <w:tcPr>
            <w:tcW w:w="4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GAAP net income</w:t>
            </w: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$ 14,497</w:t>
            </w:r>
          </w:p>
        </w:tc>
        <w:tc>
          <w:tcPr>
            <w:tcW w:w="1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4,357</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1,388</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658</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Amortization/write-off of acquired</w:t>
            </w:r>
          </w:p>
        </w:tc>
        <w:tc>
          <w:tcPr>
            <w:tcW w:w="4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r>
      <w:tr>
        <w:trPr>
          <w:trHeight w:val="203"/>
        </w:trPr>
        <w:tc>
          <w:tcPr>
            <w:tcW w:w="46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intangible assets and other</w:t>
            </w:r>
          </w:p>
        </w:tc>
        <w:tc>
          <w:tcPr>
            <w:tcW w:w="46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33,258</w:t>
            </w:r>
          </w:p>
        </w:tc>
        <w:tc>
          <w:tcPr>
            <w:tcW w:w="12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19,448</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60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$ 49,143</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$ 24,463</w:t>
            </w:r>
          </w:p>
        </w:tc>
      </w:tr>
      <w:tr>
        <w:trPr>
          <w:trHeight w:val="203"/>
        </w:trPr>
        <w:tc>
          <w:tcPr>
            <w:tcW w:w="4600" w:type="dxa"/>
            <w:vAlign w:val="bottom"/>
          </w:tcPr>
          <w:p>
            <w:pPr>
              <w:spacing w:after="0"/>
              <w:rPr>
                <w:sz w:val="17"/>
                <w:szCs w:val="17"/>
                <w:color w:val="auto"/>
              </w:rPr>
            </w:pPr>
          </w:p>
        </w:tc>
        <w:tc>
          <w:tcPr>
            <w:tcW w:w="1720" w:type="dxa"/>
            <w:vAlign w:val="bottom"/>
            <w:gridSpan w:val="2"/>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bl>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above pro forma statements of operations are for informational purposes only</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 are provided for understanding our operating results. The pro forma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statements of operations have not been prepared in accordance with GAAP, should</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be considered a substitute for our historical financial information prepared</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accordance with GAAP and may be different from pro forma measures used by</w:t>
      </w:r>
    </w:p>
    <w:p>
      <w:pPr>
        <w:spacing w:after="0" w:line="238" w:lineRule="auto"/>
        <w:rPr>
          <w:sz w:val="20"/>
          <w:szCs w:val="20"/>
          <w:color w:val="auto"/>
        </w:rPr>
      </w:pPr>
      <w:r>
        <w:rPr>
          <w:rFonts w:ascii="Courier New" w:cs="Courier New" w:eastAsia="Courier New" w:hAnsi="Courier New"/>
          <w:sz w:val="18"/>
          <w:szCs w:val="18"/>
          <w:color w:val="auto"/>
        </w:rPr>
        <w:t>other companies. The pro forma income has been derived by adjusting the net</w:t>
      </w:r>
    </w:p>
    <w:p>
      <w:pPr>
        <w:spacing w:after="0"/>
        <w:rPr>
          <w:sz w:val="20"/>
          <w:szCs w:val="20"/>
          <w:color w:val="auto"/>
        </w:rPr>
      </w:pPr>
      <w:r>
        <w:rPr>
          <w:rFonts w:ascii="Courier New" w:cs="Courier New" w:eastAsia="Courier New" w:hAnsi="Courier New"/>
          <w:sz w:val="18"/>
          <w:szCs w:val="18"/>
          <w:color w:val="auto"/>
        </w:rPr>
        <w:t>income under generally accepted accounting principles for the impact of non</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cash stock-based compensation charges, non-cash charges associated with purchase</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accounting and other write-off related expenses.</w:t>
      </w:r>
    </w:p>
    <w:p>
      <w:pPr>
        <w:sectPr>
          <w:pgSz w:w="11900" w:h="16838" w:orient="portrait"/>
          <w:cols w:equalWidth="0" w:num="1">
            <w:col w:w="10219"/>
          </w:cols>
          <w:pgMar w:left="240" w:top="717" w:right="1440" w:bottom="1440" w:gutter="0" w:footer="0" w:header="0"/>
        </w:sectPr>
      </w:pPr>
    </w:p>
    <w:bookmarkStart w:id="12" w:name="page13"/>
    <w:bookmarkEnd w:id="12"/>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BALANCE SHEETS</w:t>
      </w:r>
    </w:p>
    <w:p>
      <w:pPr>
        <w:jc w:val="center"/>
        <w:ind w:right="1679"/>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5120" w:type="dxa"/>
            <w:vAlign w:val="bottom"/>
          </w:tcPr>
          <w:p>
            <w:pPr>
              <w:ind w:left="3480"/>
              <w:spacing w:after="0" w:line="202" w:lineRule="exact"/>
              <w:rPr>
                <w:sz w:val="20"/>
                <w:szCs w:val="20"/>
                <w:color w:val="auto"/>
              </w:rPr>
            </w:pPr>
            <w:r>
              <w:rPr>
                <w:rFonts w:ascii="Courier New" w:cs="Courier New" w:eastAsia="Courier New" w:hAnsi="Courier New"/>
                <w:sz w:val="18"/>
                <w:szCs w:val="18"/>
                <w:color w:val="auto"/>
              </w:rPr>
              <w:t>(IN THOUSANDS)</w:t>
            </w: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00" w:type="dxa"/>
            <w:vAlign w:val="bottom"/>
          </w:tcPr>
          <w:p>
            <w:pPr>
              <w:spacing w:after="0"/>
              <w:rPr>
                <w:sz w:val="17"/>
                <w:szCs w:val="17"/>
                <w:color w:val="auto"/>
              </w:rPr>
            </w:pPr>
          </w:p>
        </w:tc>
      </w:tr>
      <w:tr>
        <w:trPr>
          <w:trHeight w:val="810"/>
        </w:trPr>
        <w:tc>
          <w:tcPr>
            <w:tcW w:w="5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60" w:type="dxa"/>
            <w:vAlign w:val="bottom"/>
          </w:tcPr>
          <w:p>
            <w:pPr>
              <w:jc w:val="right"/>
              <w:ind w:right="492"/>
              <w:spacing w:after="0"/>
              <w:rPr>
                <w:sz w:val="20"/>
                <w:szCs w:val="20"/>
                <w:color w:val="auto"/>
              </w:rPr>
            </w:pPr>
            <w:r>
              <w:rPr>
                <w:rFonts w:ascii="Courier New" w:cs="Courier New" w:eastAsia="Courier New" w:hAnsi="Courier New"/>
                <w:sz w:val="18"/>
                <w:szCs w:val="18"/>
                <w:color w:val="auto"/>
              </w:rPr>
              <w:t>MAY 1,</w:t>
            </w:r>
          </w:p>
        </w:tc>
        <w:tc>
          <w:tcPr>
            <w:tcW w:w="14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JANUARY 31,</w:t>
            </w:r>
          </w:p>
        </w:tc>
      </w:tr>
      <w:tr>
        <w:trPr>
          <w:trHeight w:val="203"/>
        </w:trPr>
        <w:tc>
          <w:tcPr>
            <w:tcW w:w="51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jc w:val="right"/>
              <w:ind w:right="592"/>
              <w:spacing w:after="0" w:line="203" w:lineRule="exact"/>
              <w:rPr>
                <w:sz w:val="20"/>
                <w:szCs w:val="20"/>
                <w:color w:val="auto"/>
              </w:rPr>
            </w:pPr>
            <w:r>
              <w:rPr>
                <w:rFonts w:ascii="Courier New" w:cs="Courier New" w:eastAsia="Courier New" w:hAnsi="Courier New"/>
                <w:sz w:val="18"/>
                <w:szCs w:val="18"/>
                <w:color w:val="auto"/>
              </w:rPr>
              <w:t>2004</w:t>
            </w:r>
          </w:p>
        </w:tc>
        <w:tc>
          <w:tcPr>
            <w:tcW w:w="320" w:type="dxa"/>
            <w:vAlign w:val="bottom"/>
          </w:tcPr>
          <w:p>
            <w:pPr>
              <w:spacing w:after="0"/>
              <w:rPr>
                <w:sz w:val="17"/>
                <w:szCs w:val="17"/>
                <w:color w:val="auto"/>
              </w:rPr>
            </w:pPr>
          </w:p>
        </w:tc>
        <w:tc>
          <w:tcPr>
            <w:tcW w:w="110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2004</w:t>
            </w: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ASSETS</w:t>
            </w: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120" w:type="dxa"/>
            <w:vAlign w:val="bottom"/>
          </w:tcPr>
          <w:p>
            <w:pPr>
              <w:spacing w:after="0"/>
              <w:rPr>
                <w:sz w:val="20"/>
                <w:szCs w:val="20"/>
                <w:color w:val="auto"/>
              </w:rPr>
            </w:pPr>
            <w:r>
              <w:rPr>
                <w:rFonts w:ascii="Courier New" w:cs="Courier New" w:eastAsia="Courier New" w:hAnsi="Courier New"/>
                <w:sz w:val="18"/>
                <w:szCs w:val="18"/>
                <w:color w:val="auto"/>
              </w:rPr>
              <w:t>Current assets:</w:t>
            </w:r>
          </w:p>
        </w:tc>
        <w:tc>
          <w:tcPr>
            <w:tcW w:w="3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Cash and cash equivalents</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245,875</w:t>
            </w:r>
          </w:p>
        </w:tc>
        <w:tc>
          <w:tcPr>
            <w:tcW w:w="3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224,399</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Short-term investments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175,537</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161,872</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Accounts receivable, net</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151,453</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136,513</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Inventory, net</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108,018</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91,785</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18,403</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18,713</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current assets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699,286</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633,282</w:t>
            </w: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Property and equipment, net</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148,295</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150,711</w:t>
            </w: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Goodwill and acquired intangible assets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1,601,033</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1,615,084</w:t>
            </w: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noncurrent assets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37,028</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37,394</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assets</w:t>
            </w: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$ 2,485,642</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$ 2,436,471</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120" w:type="dxa"/>
            <w:vAlign w:val="bottom"/>
          </w:tcPr>
          <w:p>
            <w:pPr>
              <w:spacing w:after="0"/>
              <w:rPr>
                <w:sz w:val="20"/>
                <w:szCs w:val="20"/>
                <w:color w:val="auto"/>
              </w:rPr>
            </w:pPr>
            <w:r>
              <w:rPr>
                <w:rFonts w:ascii="Courier New" w:cs="Courier New" w:eastAsia="Courier New" w:hAnsi="Courier New"/>
                <w:sz w:val="18"/>
                <w:szCs w:val="18"/>
                <w:color w:val="auto"/>
              </w:rPr>
              <w:t>LIABILITIES AND SHAREHOLDERS' EQUITY</w:t>
            </w:r>
          </w:p>
        </w:tc>
        <w:tc>
          <w:tcPr>
            <w:tcW w:w="3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00" w:type="dxa"/>
            <w:vAlign w:val="bottom"/>
          </w:tcPr>
          <w:p>
            <w:pPr>
              <w:spacing w:after="0"/>
              <w:rPr>
                <w:sz w:val="17"/>
                <w:szCs w:val="17"/>
                <w:color w:val="auto"/>
              </w:rPr>
            </w:pP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Accounts payable</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106,431</w:t>
            </w:r>
          </w:p>
        </w:tc>
        <w:tc>
          <w:tcPr>
            <w:tcW w:w="3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121,190</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51,584</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36,823</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6,981</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2,155</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Deferred income</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21,423</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12,996</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Current portion of capital lease obligations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10,821</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10,747</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current liabilities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197,240</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183,911</w:t>
            </w: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17,331</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20,950</w:t>
            </w:r>
          </w:p>
        </w:tc>
      </w:tr>
      <w:tr>
        <w:trPr>
          <w:trHeight w:val="203"/>
        </w:trPr>
        <w:tc>
          <w:tcPr>
            <w:tcW w:w="512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long-term liabilities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40,991</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40,769</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liabilities</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255,562</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245,630</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120" w:type="dxa"/>
            <w:vAlign w:val="bottom"/>
          </w:tcPr>
          <w:p>
            <w:pPr>
              <w:spacing w:after="0"/>
              <w:rPr>
                <w:sz w:val="20"/>
                <w:szCs w:val="20"/>
                <w:color w:val="auto"/>
              </w:rPr>
            </w:pPr>
            <w:r>
              <w:rPr>
                <w:rFonts w:ascii="Courier New" w:cs="Courier New" w:eastAsia="Courier New" w:hAnsi="Courier New"/>
                <w:sz w:val="18"/>
                <w:szCs w:val="18"/>
                <w:color w:val="auto"/>
              </w:rPr>
              <w:t>Shareholders' equity:</w:t>
            </w:r>
          </w:p>
        </w:tc>
        <w:tc>
          <w:tcPr>
            <w:tcW w:w="3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Common stock</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266</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263</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2,897,403</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2,872,545</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320" w:type="dxa"/>
            <w:vAlign w:val="bottom"/>
          </w:tcPr>
          <w:p>
            <w:pPr>
              <w:spacing w:after="0"/>
              <w:rPr>
                <w:sz w:val="17"/>
                <w:szCs w:val="17"/>
                <w:color w:val="auto"/>
              </w:rPr>
            </w:pPr>
          </w:p>
        </w:tc>
        <w:tc>
          <w:tcPr>
            <w:tcW w:w="126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(6,362)</w:t>
            </w:r>
          </w:p>
        </w:tc>
        <w:tc>
          <w:tcPr>
            <w:tcW w:w="320" w:type="dxa"/>
            <w:vAlign w:val="bottom"/>
          </w:tcPr>
          <w:p>
            <w:pPr>
              <w:spacing w:after="0"/>
              <w:rPr>
                <w:sz w:val="17"/>
                <w:szCs w:val="17"/>
                <w:color w:val="auto"/>
              </w:rPr>
            </w:pPr>
          </w:p>
        </w:tc>
        <w:tc>
          <w:tcPr>
            <w:tcW w:w="11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(7,945)</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Accumulated other comprehensive income (loss)</w:t>
            </w:r>
          </w:p>
        </w:tc>
        <w:tc>
          <w:tcPr>
            <w:tcW w:w="320" w:type="dxa"/>
            <w:vAlign w:val="bottom"/>
          </w:tcPr>
          <w:p>
            <w:pPr>
              <w:spacing w:after="0"/>
              <w:rPr>
                <w:sz w:val="17"/>
                <w:szCs w:val="17"/>
                <w:color w:val="auto"/>
              </w:rPr>
            </w:pPr>
          </w:p>
        </w:tc>
        <w:tc>
          <w:tcPr>
            <w:tcW w:w="126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(945)</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757</w:t>
            </w:r>
          </w:p>
        </w:tc>
      </w:tr>
      <w:tr>
        <w:trPr>
          <w:trHeight w:val="203"/>
        </w:trPr>
        <w:tc>
          <w:tcPr>
            <w:tcW w:w="51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Accumulated deficit</w:t>
            </w:r>
          </w:p>
        </w:tc>
        <w:tc>
          <w:tcPr>
            <w:tcW w:w="320" w:type="dxa"/>
            <w:vAlign w:val="bottom"/>
          </w:tcPr>
          <w:p>
            <w:pPr>
              <w:spacing w:after="0"/>
              <w:rPr>
                <w:sz w:val="17"/>
                <w:szCs w:val="17"/>
                <w:color w:val="auto"/>
              </w:rPr>
            </w:pPr>
          </w:p>
        </w:tc>
        <w:tc>
          <w:tcPr>
            <w:tcW w:w="126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(660,282)</w:t>
            </w:r>
          </w:p>
        </w:tc>
        <w:tc>
          <w:tcPr>
            <w:tcW w:w="320" w:type="dxa"/>
            <w:vAlign w:val="bottom"/>
          </w:tcPr>
          <w:p>
            <w:pPr>
              <w:spacing w:after="0"/>
              <w:rPr>
                <w:sz w:val="17"/>
                <w:szCs w:val="17"/>
                <w:color w:val="auto"/>
              </w:rPr>
            </w:pPr>
          </w:p>
        </w:tc>
        <w:tc>
          <w:tcPr>
            <w:tcW w:w="11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(674,779)</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shareholders' equity</w:t>
            </w:r>
          </w:p>
        </w:tc>
        <w:tc>
          <w:tcPr>
            <w:tcW w:w="320" w:type="dxa"/>
            <w:vAlign w:val="bottom"/>
          </w:tcPr>
          <w:p>
            <w:pPr>
              <w:spacing w:after="0"/>
              <w:rPr>
                <w:sz w:val="17"/>
                <w:szCs w:val="17"/>
                <w:color w:val="auto"/>
              </w:rPr>
            </w:pPr>
          </w:p>
        </w:tc>
        <w:tc>
          <w:tcPr>
            <w:tcW w:w="126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2,230,080</w:t>
            </w:r>
          </w:p>
        </w:tc>
        <w:tc>
          <w:tcPr>
            <w:tcW w:w="32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2,190,841</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Total liabilities and shareholders' equity</w:t>
            </w: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$ 2,485,642</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$ 2,436,471</w:t>
            </w:r>
          </w:p>
        </w:tc>
      </w:tr>
      <w:tr>
        <w:trPr>
          <w:trHeight w:val="203"/>
        </w:trPr>
        <w:tc>
          <w:tcPr>
            <w:tcW w:w="5120" w:type="dxa"/>
            <w:vAlign w:val="bottom"/>
          </w:tcPr>
          <w:p>
            <w:pPr>
              <w:spacing w:after="0"/>
              <w:rPr>
                <w:sz w:val="17"/>
                <w:szCs w:val="17"/>
                <w:color w:val="auto"/>
              </w:rPr>
            </w:pPr>
          </w:p>
        </w:tc>
        <w:tc>
          <w:tcPr>
            <w:tcW w:w="158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1" w:lineRule="exact"/>
        <w:rPr>
          <w:sz w:val="20"/>
          <w:szCs w:val="20"/>
          <w:color w:val="auto"/>
        </w:rPr>
      </w:pPr>
    </w:p>
    <w:sectPr>
      <w:pgSz w:w="11900" w:h="16838" w:orient="portrait"/>
      <w:cols w:equalWidth="0" w:num="1">
        <w:col w:w="10219"/>
      </w:cols>
      <w:pgMar w:left="240" w:top="71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2019-12-14T20:25:41Z</dcterms:created>
  <dcterms:modified xsi:type="dcterms:W3CDTF">2019-12-14T20:25:41Z</dcterms:modified>
</cp:coreProperties>
</file>