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311" w:lineRule="exact"/>
        <w:rPr>
          <w:sz w:val="20"/>
          <w:szCs w:val="20"/>
          <w:color w:val="auto"/>
        </w:rPr>
      </w:pPr>
    </w:p>
    <w:p>
      <w:pPr>
        <w:jc w:val="center"/>
        <w:ind w:right="-1099"/>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0"/>
          <w:szCs w:val="20"/>
          <w:color w:val="auto"/>
        </w:rPr>
      </w:pPr>
    </w:p>
    <w:p>
      <w:pPr>
        <w:jc w:val="center"/>
        <w:ind w:right="-1099"/>
        <w:spacing w:after="0"/>
        <w:rPr>
          <w:sz w:val="20"/>
          <w:szCs w:val="20"/>
          <w:color w:val="auto"/>
        </w:rPr>
      </w:pPr>
      <w:r>
        <w:rPr>
          <w:rFonts w:ascii="Arial" w:cs="Arial" w:eastAsia="Arial" w:hAnsi="Arial"/>
          <w:sz w:val="25"/>
          <w:szCs w:val="25"/>
          <w:b w:val="1"/>
          <w:bCs w:val="1"/>
          <w:color w:val="auto"/>
        </w:rPr>
        <w:t>SECURITIES AND EXCHANGE COMMISSION</w:t>
      </w:r>
    </w:p>
    <w:p>
      <w:pPr>
        <w:spacing w:after="0" w:line="220" w:lineRule="exact"/>
        <w:rPr>
          <w:sz w:val="20"/>
          <w:szCs w:val="20"/>
          <w:color w:val="auto"/>
        </w:rPr>
      </w:pPr>
    </w:p>
    <w:p>
      <w:pPr>
        <w:jc w:val="center"/>
        <w:ind w:right="-1099"/>
        <w:spacing w:after="0"/>
        <w:rPr>
          <w:sz w:val="20"/>
          <w:szCs w:val="20"/>
          <w:color w:val="auto"/>
        </w:rPr>
      </w:pPr>
      <w:r>
        <w:rPr>
          <w:rFonts w:ascii="Arial" w:cs="Arial" w:eastAsia="Arial" w:hAnsi="Arial"/>
          <w:sz w:val="22"/>
          <w:szCs w:val="22"/>
          <w:b w:val="1"/>
          <w:bCs w:val="1"/>
          <w:color w:val="auto"/>
        </w:rPr>
        <w:t>Washington, D.C. 20549</w:t>
      </w:r>
    </w:p>
    <w:p>
      <w:pPr>
        <w:spacing w:after="0" w:line="301" w:lineRule="exact"/>
        <w:rPr>
          <w:sz w:val="20"/>
          <w:szCs w:val="20"/>
          <w:color w:val="auto"/>
        </w:rPr>
      </w:pPr>
    </w:p>
    <w:p>
      <w:pPr>
        <w:ind w:left="4920"/>
        <w:spacing w:after="0"/>
        <w:rPr>
          <w:sz w:val="20"/>
          <w:szCs w:val="20"/>
          <w:color w:val="auto"/>
        </w:rPr>
      </w:pPr>
      <w:r>
        <w:rPr>
          <w:rFonts w:ascii="Arial" w:cs="Arial" w:eastAsia="Arial" w:hAnsi="Arial"/>
          <w:sz w:val="32"/>
          <w:szCs w:val="32"/>
          <w:b w:val="1"/>
          <w:bCs w:val="1"/>
          <w:color w:val="auto"/>
        </w:rPr>
        <w:t>FORM 8-K</w:t>
      </w:r>
    </w:p>
    <w:p>
      <w:pPr>
        <w:spacing w:after="0" w:line="344"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CURRENT REPORT</w:t>
      </w:r>
    </w:p>
    <w:p>
      <w:pPr>
        <w:spacing w:after="0" w:line="198"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PURSUANT TO SECTION 13 OR 15(d) OF</w:t>
      </w:r>
    </w:p>
    <w:p>
      <w:pPr>
        <w:spacing w:after="0" w:line="27"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THE SECURITIES EXCHANGE ACT OF 1934</w:t>
      </w:r>
    </w:p>
    <w:p>
      <w:pPr>
        <w:spacing w:after="0" w:line="166"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June 1, 2004</w:t>
      </w:r>
    </w:p>
    <w:p>
      <w:pPr>
        <w:spacing w:after="0" w:line="27"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ind w:right="-1099"/>
        <w:spacing w:after="0"/>
        <w:rPr>
          <w:sz w:val="20"/>
          <w:szCs w:val="20"/>
          <w:color w:val="auto"/>
        </w:rPr>
      </w:pPr>
      <w:r>
        <w:rPr>
          <w:rFonts w:ascii="Arial" w:cs="Arial" w:eastAsia="Arial" w:hAnsi="Arial"/>
          <w:sz w:val="18"/>
          <w:szCs w:val="18"/>
          <w:color w:val="auto"/>
        </w:rPr>
        <w:t>(Date of earliest event reported)</w:t>
      </w:r>
    </w:p>
    <w:p>
      <w:pPr>
        <w:spacing w:after="0" w:line="398" w:lineRule="exact"/>
        <w:rPr>
          <w:sz w:val="20"/>
          <w:szCs w:val="20"/>
          <w:color w:val="auto"/>
        </w:rPr>
      </w:pPr>
    </w:p>
    <w:p>
      <w:pPr>
        <w:jc w:val="right"/>
        <w:ind w:right="520"/>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62" w:lineRule="exact"/>
        <w:rPr>
          <w:sz w:val="20"/>
          <w:szCs w:val="20"/>
          <w:color w:val="auto"/>
        </w:rPr>
      </w:pPr>
    </w:p>
    <w:tbl>
      <w:tblPr>
        <w:tblLayout w:type="fixed"/>
        <w:tblInd w:w="520" w:type="dxa"/>
        <w:tblCellMar>
          <w:top w:w="0" w:type="dxa"/>
          <w:left w:w="0" w:type="dxa"/>
          <w:bottom w:w="0" w:type="dxa"/>
          <w:right w:w="0" w:type="dxa"/>
        </w:tblCellMar>
      </w:tblPr>
      <w:tr>
        <w:trPr>
          <w:trHeight w:val="234"/>
        </w:trPr>
        <w:tc>
          <w:tcPr>
            <w:tcW w:w="2880" w:type="dxa"/>
            <w:vAlign w:val="bottom"/>
          </w:tcPr>
          <w:p>
            <w:pPr>
              <w:spacing w:after="0"/>
              <w:rPr>
                <w:sz w:val="20"/>
                <w:szCs w:val="20"/>
                <w:color w:val="auto"/>
              </w:rPr>
            </w:pPr>
          </w:p>
        </w:tc>
        <w:tc>
          <w:tcPr>
            <w:tcW w:w="4920" w:type="dxa"/>
            <w:vAlign w:val="bottom"/>
          </w:tcPr>
          <w:p>
            <w:pPr>
              <w:jc w:val="center"/>
              <w:ind w:right="210"/>
              <w:spacing w:after="0"/>
              <w:rPr>
                <w:sz w:val="20"/>
                <w:szCs w:val="20"/>
                <w:color w:val="auto"/>
              </w:rPr>
            </w:pPr>
            <w:r>
              <w:rPr>
                <w:rFonts w:ascii="Arial" w:cs="Arial" w:eastAsia="Arial" w:hAnsi="Arial"/>
                <w:sz w:val="18"/>
                <w:szCs w:val="18"/>
                <w:b w:val="1"/>
                <w:bCs w:val="1"/>
                <w:color w:val="auto"/>
                <w:w w:val="89"/>
              </w:rPr>
              <w:t>(Exact name of registrant as specified in its charter)</w:t>
            </w:r>
          </w:p>
        </w:tc>
        <w:tc>
          <w:tcPr>
            <w:tcW w:w="2000" w:type="dxa"/>
            <w:vAlign w:val="bottom"/>
          </w:tcPr>
          <w:p>
            <w:pPr>
              <w:spacing w:after="0"/>
              <w:rPr>
                <w:sz w:val="20"/>
                <w:szCs w:val="20"/>
                <w:color w:val="auto"/>
              </w:rPr>
            </w:pPr>
          </w:p>
        </w:tc>
      </w:tr>
      <w:tr>
        <w:trPr>
          <w:trHeight w:val="414"/>
        </w:trPr>
        <w:tc>
          <w:tcPr>
            <w:tcW w:w="2880" w:type="dxa"/>
            <w:vAlign w:val="bottom"/>
          </w:tcPr>
          <w:p>
            <w:pPr>
              <w:jc w:val="center"/>
              <w:ind w:right="230"/>
              <w:spacing w:after="0"/>
              <w:rPr>
                <w:sz w:val="20"/>
                <w:szCs w:val="20"/>
                <w:color w:val="auto"/>
              </w:rPr>
            </w:pPr>
            <w:r>
              <w:rPr>
                <w:rFonts w:ascii="Arial" w:cs="Arial" w:eastAsia="Arial" w:hAnsi="Arial"/>
                <w:sz w:val="18"/>
                <w:szCs w:val="18"/>
                <w:b w:val="1"/>
                <w:bCs w:val="1"/>
                <w:color w:val="auto"/>
                <w:w w:val="92"/>
              </w:rPr>
              <w:t>Bermuda</w:t>
            </w:r>
          </w:p>
        </w:tc>
        <w:tc>
          <w:tcPr>
            <w:tcW w:w="4920" w:type="dxa"/>
            <w:vAlign w:val="bottom"/>
          </w:tcPr>
          <w:p>
            <w:pPr>
              <w:jc w:val="center"/>
              <w:ind w:right="230"/>
              <w:spacing w:after="0"/>
              <w:rPr>
                <w:sz w:val="20"/>
                <w:szCs w:val="20"/>
                <w:color w:val="auto"/>
              </w:rPr>
            </w:pPr>
            <w:r>
              <w:rPr>
                <w:rFonts w:ascii="Arial" w:cs="Arial" w:eastAsia="Arial" w:hAnsi="Arial"/>
                <w:sz w:val="18"/>
                <w:szCs w:val="18"/>
                <w:b w:val="1"/>
                <w:bCs w:val="1"/>
                <w:color w:val="auto"/>
                <w:w w:val="90"/>
              </w:rPr>
              <w:t>0-30877</w:t>
            </w:r>
          </w:p>
        </w:tc>
        <w:tc>
          <w:tcPr>
            <w:tcW w:w="2000" w:type="dxa"/>
            <w:vAlign w:val="bottom"/>
          </w:tcPr>
          <w:p>
            <w:pPr>
              <w:jc w:val="center"/>
              <w:ind w:left="51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2880" w:type="dxa"/>
            <w:vAlign w:val="bottom"/>
          </w:tcPr>
          <w:p>
            <w:pPr>
              <w:jc w:val="center"/>
              <w:ind w:right="250"/>
              <w:spacing w:after="0"/>
              <w:rPr>
                <w:sz w:val="20"/>
                <w:szCs w:val="20"/>
                <w:color w:val="auto"/>
              </w:rPr>
            </w:pPr>
            <w:r>
              <w:rPr>
                <w:rFonts w:ascii="Arial" w:cs="Arial" w:eastAsia="Arial" w:hAnsi="Arial"/>
                <w:sz w:val="18"/>
                <w:szCs w:val="18"/>
                <w:b w:val="1"/>
                <w:bCs w:val="1"/>
                <w:color w:val="auto"/>
                <w:w w:val="91"/>
              </w:rPr>
              <w:t>(State or other jurisdiction</w:t>
            </w:r>
          </w:p>
        </w:tc>
        <w:tc>
          <w:tcPr>
            <w:tcW w:w="4920" w:type="dxa"/>
            <w:vAlign w:val="bottom"/>
          </w:tcPr>
          <w:p>
            <w:pPr>
              <w:jc w:val="center"/>
              <w:ind w:right="230"/>
              <w:spacing w:after="0"/>
              <w:rPr>
                <w:sz w:val="20"/>
                <w:szCs w:val="20"/>
                <w:color w:val="auto"/>
              </w:rPr>
            </w:pPr>
            <w:r>
              <w:rPr>
                <w:rFonts w:ascii="Arial" w:cs="Arial" w:eastAsia="Arial" w:hAnsi="Arial"/>
                <w:sz w:val="18"/>
                <w:szCs w:val="18"/>
                <w:b w:val="1"/>
                <w:bCs w:val="1"/>
                <w:color w:val="auto"/>
                <w:w w:val="90"/>
              </w:rPr>
              <w:t>(Commission File Number)</w:t>
            </w:r>
          </w:p>
        </w:tc>
        <w:tc>
          <w:tcPr>
            <w:tcW w:w="2000" w:type="dxa"/>
            <w:vAlign w:val="bottom"/>
          </w:tcPr>
          <w:p>
            <w:pPr>
              <w:jc w:val="center"/>
              <w:ind w:left="530"/>
              <w:spacing w:after="0"/>
              <w:rPr>
                <w:sz w:val="20"/>
                <w:szCs w:val="20"/>
                <w:color w:val="auto"/>
              </w:rPr>
            </w:pPr>
            <w:r>
              <w:rPr>
                <w:rFonts w:ascii="Arial" w:cs="Arial" w:eastAsia="Arial" w:hAnsi="Arial"/>
                <w:sz w:val="18"/>
                <w:szCs w:val="18"/>
                <w:b w:val="1"/>
                <w:bCs w:val="1"/>
                <w:color w:val="auto"/>
                <w:w w:val="94"/>
              </w:rPr>
              <w:t>(I.R.S. Employer</w:t>
            </w:r>
          </w:p>
        </w:tc>
      </w:tr>
      <w:tr>
        <w:trPr>
          <w:trHeight w:val="234"/>
        </w:trPr>
        <w:tc>
          <w:tcPr>
            <w:tcW w:w="2880" w:type="dxa"/>
            <w:vAlign w:val="bottom"/>
          </w:tcPr>
          <w:p>
            <w:pPr>
              <w:jc w:val="center"/>
              <w:ind w:right="250"/>
              <w:spacing w:after="0"/>
              <w:rPr>
                <w:sz w:val="20"/>
                <w:szCs w:val="20"/>
                <w:color w:val="auto"/>
              </w:rPr>
            </w:pPr>
            <w:r>
              <w:rPr>
                <w:rFonts w:ascii="Arial" w:cs="Arial" w:eastAsia="Arial" w:hAnsi="Arial"/>
                <w:sz w:val="18"/>
                <w:szCs w:val="18"/>
                <w:b w:val="1"/>
                <w:bCs w:val="1"/>
                <w:color w:val="auto"/>
                <w:w w:val="91"/>
              </w:rPr>
              <w:t>of incorporation or organization)</w:t>
            </w:r>
          </w:p>
        </w:tc>
        <w:tc>
          <w:tcPr>
            <w:tcW w:w="4920" w:type="dxa"/>
            <w:vAlign w:val="bottom"/>
          </w:tcPr>
          <w:p>
            <w:pPr>
              <w:spacing w:after="0"/>
              <w:rPr>
                <w:sz w:val="20"/>
                <w:szCs w:val="20"/>
                <w:color w:val="auto"/>
              </w:rPr>
            </w:pPr>
          </w:p>
        </w:tc>
        <w:tc>
          <w:tcPr>
            <w:tcW w:w="2000" w:type="dxa"/>
            <w:vAlign w:val="bottom"/>
          </w:tcPr>
          <w:p>
            <w:pPr>
              <w:jc w:val="center"/>
              <w:ind w:left="510"/>
              <w:spacing w:after="0"/>
              <w:rPr>
                <w:sz w:val="20"/>
                <w:szCs w:val="20"/>
                <w:color w:val="auto"/>
              </w:rPr>
            </w:pPr>
            <w:r>
              <w:rPr>
                <w:rFonts w:ascii="Arial" w:cs="Arial" w:eastAsia="Arial" w:hAnsi="Arial"/>
                <w:sz w:val="18"/>
                <w:szCs w:val="18"/>
                <w:b w:val="1"/>
                <w:bCs w:val="1"/>
                <w:color w:val="auto"/>
                <w:w w:val="92"/>
              </w:rPr>
              <w:t>Identification No.)</w:t>
            </w:r>
          </w:p>
        </w:tc>
      </w:tr>
      <w:tr>
        <w:trPr>
          <w:trHeight w:val="414"/>
        </w:trPr>
        <w:tc>
          <w:tcPr>
            <w:tcW w:w="2880" w:type="dxa"/>
            <w:vAlign w:val="bottom"/>
          </w:tcPr>
          <w:p>
            <w:pPr>
              <w:spacing w:after="0"/>
              <w:rPr>
                <w:sz w:val="24"/>
                <w:szCs w:val="24"/>
                <w:color w:val="auto"/>
              </w:rPr>
            </w:pPr>
          </w:p>
        </w:tc>
        <w:tc>
          <w:tcPr>
            <w:tcW w:w="4920" w:type="dxa"/>
            <w:vAlign w:val="bottom"/>
          </w:tcPr>
          <w:p>
            <w:pPr>
              <w:jc w:val="center"/>
              <w:ind w:right="230"/>
              <w:spacing w:after="0"/>
              <w:rPr>
                <w:sz w:val="20"/>
                <w:szCs w:val="20"/>
                <w:color w:val="auto"/>
              </w:rPr>
            </w:pPr>
            <w:r>
              <w:rPr>
                <w:rFonts w:ascii="Arial" w:cs="Arial" w:eastAsia="Arial" w:hAnsi="Arial"/>
                <w:sz w:val="18"/>
                <w:szCs w:val="18"/>
                <w:b w:val="1"/>
                <w:bCs w:val="1"/>
                <w:color w:val="auto"/>
                <w:w w:val="90"/>
              </w:rPr>
              <w:t>Canon’s Court</w:t>
            </w:r>
          </w:p>
        </w:tc>
        <w:tc>
          <w:tcPr>
            <w:tcW w:w="2000" w:type="dxa"/>
            <w:vAlign w:val="bottom"/>
          </w:tcPr>
          <w:p>
            <w:pPr>
              <w:spacing w:after="0"/>
              <w:rPr>
                <w:sz w:val="24"/>
                <w:szCs w:val="24"/>
                <w:color w:val="auto"/>
              </w:rPr>
            </w:pPr>
          </w:p>
        </w:tc>
      </w:tr>
      <w:tr>
        <w:trPr>
          <w:trHeight w:val="216"/>
        </w:trPr>
        <w:tc>
          <w:tcPr>
            <w:tcW w:w="2880" w:type="dxa"/>
            <w:vAlign w:val="bottom"/>
          </w:tcPr>
          <w:p>
            <w:pPr>
              <w:spacing w:after="0"/>
              <w:rPr>
                <w:sz w:val="18"/>
                <w:szCs w:val="18"/>
                <w:color w:val="auto"/>
              </w:rPr>
            </w:pPr>
          </w:p>
        </w:tc>
        <w:tc>
          <w:tcPr>
            <w:tcW w:w="4920" w:type="dxa"/>
            <w:vAlign w:val="bottom"/>
          </w:tcPr>
          <w:p>
            <w:pPr>
              <w:jc w:val="center"/>
              <w:ind w:right="230"/>
              <w:spacing w:after="0"/>
              <w:rPr>
                <w:sz w:val="20"/>
                <w:szCs w:val="20"/>
                <w:color w:val="auto"/>
              </w:rPr>
            </w:pPr>
            <w:r>
              <w:rPr>
                <w:rFonts w:ascii="Arial" w:cs="Arial" w:eastAsia="Arial" w:hAnsi="Arial"/>
                <w:sz w:val="18"/>
                <w:szCs w:val="18"/>
                <w:b w:val="1"/>
                <w:bCs w:val="1"/>
                <w:color w:val="auto"/>
                <w:w w:val="92"/>
              </w:rPr>
              <w:t>22 Victoria Street</w:t>
            </w:r>
          </w:p>
        </w:tc>
        <w:tc>
          <w:tcPr>
            <w:tcW w:w="2000" w:type="dxa"/>
            <w:vAlign w:val="bottom"/>
          </w:tcPr>
          <w:p>
            <w:pPr>
              <w:spacing w:after="0"/>
              <w:rPr>
                <w:sz w:val="18"/>
                <w:szCs w:val="18"/>
                <w:color w:val="auto"/>
              </w:rPr>
            </w:pPr>
          </w:p>
        </w:tc>
      </w:tr>
      <w:tr>
        <w:trPr>
          <w:trHeight w:val="216"/>
        </w:trPr>
        <w:tc>
          <w:tcPr>
            <w:tcW w:w="2880" w:type="dxa"/>
            <w:vAlign w:val="bottom"/>
          </w:tcPr>
          <w:p>
            <w:pPr>
              <w:spacing w:after="0"/>
              <w:rPr>
                <w:sz w:val="18"/>
                <w:szCs w:val="18"/>
                <w:color w:val="auto"/>
              </w:rPr>
            </w:pPr>
          </w:p>
        </w:tc>
        <w:tc>
          <w:tcPr>
            <w:tcW w:w="4920" w:type="dxa"/>
            <w:vAlign w:val="bottom"/>
          </w:tcPr>
          <w:p>
            <w:pPr>
              <w:jc w:val="center"/>
              <w:ind w:right="230"/>
              <w:spacing w:after="0"/>
              <w:rPr>
                <w:sz w:val="20"/>
                <w:szCs w:val="20"/>
                <w:color w:val="auto"/>
              </w:rPr>
            </w:pPr>
            <w:r>
              <w:rPr>
                <w:rFonts w:ascii="Arial" w:cs="Arial" w:eastAsia="Arial" w:hAnsi="Arial"/>
                <w:sz w:val="18"/>
                <w:szCs w:val="18"/>
                <w:b w:val="1"/>
                <w:bCs w:val="1"/>
                <w:color w:val="auto"/>
                <w:w w:val="97"/>
              </w:rPr>
              <w:t>Hamilton HM 12</w:t>
            </w:r>
          </w:p>
        </w:tc>
        <w:tc>
          <w:tcPr>
            <w:tcW w:w="2000" w:type="dxa"/>
            <w:vAlign w:val="bottom"/>
          </w:tcPr>
          <w:p>
            <w:pPr>
              <w:spacing w:after="0"/>
              <w:rPr>
                <w:sz w:val="18"/>
                <w:szCs w:val="18"/>
                <w:color w:val="auto"/>
              </w:rPr>
            </w:pPr>
          </w:p>
        </w:tc>
      </w:tr>
      <w:tr>
        <w:trPr>
          <w:trHeight w:val="216"/>
        </w:trPr>
        <w:tc>
          <w:tcPr>
            <w:tcW w:w="2880" w:type="dxa"/>
            <w:vAlign w:val="bottom"/>
          </w:tcPr>
          <w:p>
            <w:pPr>
              <w:spacing w:after="0"/>
              <w:rPr>
                <w:sz w:val="18"/>
                <w:szCs w:val="18"/>
                <w:color w:val="auto"/>
              </w:rPr>
            </w:pPr>
          </w:p>
        </w:tc>
        <w:tc>
          <w:tcPr>
            <w:tcW w:w="4920" w:type="dxa"/>
            <w:vAlign w:val="bottom"/>
          </w:tcPr>
          <w:p>
            <w:pPr>
              <w:jc w:val="center"/>
              <w:ind w:right="230"/>
              <w:spacing w:after="0"/>
              <w:rPr>
                <w:sz w:val="20"/>
                <w:szCs w:val="20"/>
                <w:color w:val="auto"/>
              </w:rPr>
            </w:pPr>
            <w:r>
              <w:rPr>
                <w:rFonts w:ascii="Arial" w:cs="Arial" w:eastAsia="Arial" w:hAnsi="Arial"/>
                <w:sz w:val="18"/>
                <w:szCs w:val="18"/>
                <w:b w:val="1"/>
                <w:bCs w:val="1"/>
                <w:color w:val="auto"/>
                <w:w w:val="92"/>
              </w:rPr>
              <w:t>Bermuda</w:t>
            </w:r>
          </w:p>
        </w:tc>
        <w:tc>
          <w:tcPr>
            <w:tcW w:w="2000" w:type="dxa"/>
            <w:vAlign w:val="bottom"/>
          </w:tcPr>
          <w:p>
            <w:pPr>
              <w:spacing w:after="0"/>
              <w:rPr>
                <w:sz w:val="18"/>
                <w:szCs w:val="18"/>
                <w:color w:val="auto"/>
              </w:rPr>
            </w:pPr>
          </w:p>
        </w:tc>
      </w:tr>
      <w:tr>
        <w:trPr>
          <w:trHeight w:val="234"/>
        </w:trPr>
        <w:tc>
          <w:tcPr>
            <w:tcW w:w="2880" w:type="dxa"/>
            <w:vAlign w:val="bottom"/>
          </w:tcPr>
          <w:p>
            <w:pPr>
              <w:spacing w:after="0"/>
              <w:rPr>
                <w:sz w:val="20"/>
                <w:szCs w:val="20"/>
                <w:color w:val="auto"/>
              </w:rPr>
            </w:pPr>
          </w:p>
        </w:tc>
        <w:tc>
          <w:tcPr>
            <w:tcW w:w="4920" w:type="dxa"/>
            <w:vAlign w:val="bottom"/>
          </w:tcPr>
          <w:p>
            <w:pPr>
              <w:jc w:val="center"/>
              <w:ind w:right="230"/>
              <w:spacing w:after="0"/>
              <w:rPr>
                <w:sz w:val="20"/>
                <w:szCs w:val="20"/>
                <w:color w:val="auto"/>
              </w:rPr>
            </w:pPr>
            <w:r>
              <w:rPr>
                <w:rFonts w:ascii="Arial" w:cs="Arial" w:eastAsia="Arial" w:hAnsi="Arial"/>
                <w:sz w:val="18"/>
                <w:szCs w:val="18"/>
                <w:b w:val="1"/>
                <w:bCs w:val="1"/>
                <w:color w:val="auto"/>
                <w:w w:val="88"/>
              </w:rPr>
              <w:t>(Address of principal executive offices)</w:t>
            </w:r>
          </w:p>
        </w:tc>
        <w:tc>
          <w:tcPr>
            <w:tcW w:w="2000" w:type="dxa"/>
            <w:vAlign w:val="bottom"/>
          </w:tcPr>
          <w:p>
            <w:pPr>
              <w:jc w:val="center"/>
              <w:ind w:left="510"/>
              <w:spacing w:after="0"/>
              <w:rPr>
                <w:sz w:val="20"/>
                <w:szCs w:val="20"/>
                <w:color w:val="auto"/>
              </w:rPr>
            </w:pPr>
            <w:r>
              <w:rPr>
                <w:rFonts w:ascii="Arial" w:cs="Arial" w:eastAsia="Arial" w:hAnsi="Arial"/>
                <w:sz w:val="18"/>
                <w:szCs w:val="18"/>
                <w:b w:val="1"/>
                <w:bCs w:val="1"/>
                <w:color w:val="auto"/>
                <w:w w:val="94"/>
              </w:rPr>
              <w:t>(Zip Code)</w:t>
            </w:r>
          </w:p>
        </w:tc>
      </w:tr>
    </w:tbl>
    <w:p>
      <w:pPr>
        <w:spacing w:after="0" w:line="157"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Registrant’s telephone number, including area code: (441) 296-6395</w:t>
      </w:r>
    </w:p>
    <w:p>
      <w:pPr>
        <w:spacing w:after="0" w:line="198"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N/A</w:t>
      </w:r>
    </w:p>
    <w:p>
      <w:pPr>
        <w:spacing w:after="0" w:line="185" w:lineRule="exact"/>
        <w:rPr>
          <w:sz w:val="20"/>
          <w:szCs w:val="20"/>
          <w:color w:val="auto"/>
        </w:rPr>
      </w:pPr>
    </w:p>
    <w:p>
      <w:pPr>
        <w:jc w:val="center"/>
        <w:ind w:right="-1099"/>
        <w:spacing w:after="0"/>
        <w:rPr>
          <w:sz w:val="20"/>
          <w:szCs w:val="20"/>
          <w:color w:val="auto"/>
        </w:rPr>
      </w:pPr>
      <w:r>
        <w:rPr>
          <w:rFonts w:ascii="Arial" w:cs="Arial" w:eastAsia="Arial" w:hAnsi="Arial"/>
          <w:sz w:val="18"/>
          <w:szCs w:val="18"/>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127000</wp:posOffset>
            </wp:positionV>
            <wp:extent cx="7250430"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547370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320"/>
          </w:cols>
          <w:pgMar w:left="240" w:top="122" w:right="1339" w:bottom="1440" w:gutter="0" w:footer="0" w:header="0"/>
        </w:sectPr>
      </w:pPr>
    </w:p>
    <w:bookmarkStart w:id="2" w:name="page3"/>
    <w:bookmarkEnd w:id="2"/>
    <w:p>
      <w:pPr>
        <w:ind w:left="398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24"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7. Financial Statements and Exhibits.</w:t>
        </w:r>
      </w:hyperlink>
    </w:p>
    <w:p>
      <w:pPr>
        <w:ind w:left="320"/>
        <w:spacing w:after="0" w:line="238"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9. Regulation FD Disclosure.</w:t>
        </w:r>
      </w:hyperlink>
    </w:p>
    <w:p>
      <w:pPr>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and Exhibits.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 Exhibits.</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0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220" w:type="dxa"/>
            <w:vAlign w:val="bottom"/>
          </w:tcPr>
          <w:p>
            <w:pPr>
              <w:spacing w:after="0"/>
              <w:rPr>
                <w:sz w:val="16"/>
                <w:szCs w:val="16"/>
                <w:color w:val="auto"/>
              </w:rPr>
            </w:pPr>
          </w:p>
        </w:tc>
        <w:tc>
          <w:tcPr>
            <w:tcW w:w="10500" w:type="dxa"/>
            <w:vAlign w:val="bottom"/>
          </w:tcPr>
          <w:p>
            <w:pPr>
              <w:ind w:left="4900"/>
              <w:spacing w:after="0"/>
              <w:rPr>
                <w:sz w:val="20"/>
                <w:szCs w:val="20"/>
                <w:color w:val="auto"/>
              </w:rPr>
            </w:pPr>
            <w:r>
              <w:rPr>
                <w:rFonts w:ascii="Arial" w:cs="Arial" w:eastAsia="Arial" w:hAnsi="Arial"/>
                <w:sz w:val="14"/>
                <w:szCs w:val="14"/>
                <w:b w:val="1"/>
                <w:bCs w:val="1"/>
                <w:color w:val="auto"/>
              </w:rPr>
              <w:t>Description</w:t>
            </w:r>
          </w:p>
        </w:tc>
      </w:tr>
      <w:tr>
        <w:trPr>
          <w:trHeight w:val="53"/>
        </w:trPr>
        <w:tc>
          <w:tcPr>
            <w:tcW w:w="70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0500" w:type="dxa"/>
            <w:vAlign w:val="bottom"/>
            <w:tcBorders>
              <w:bottom w:val="single" w:sz="8" w:color="808080"/>
            </w:tcBorders>
          </w:tcPr>
          <w:p>
            <w:pPr>
              <w:spacing w:after="0"/>
              <w:rPr>
                <w:sz w:val="4"/>
                <w:szCs w:val="4"/>
                <w:color w:val="auto"/>
              </w:rPr>
            </w:pPr>
          </w:p>
        </w:tc>
      </w:tr>
      <w:tr>
        <w:trPr>
          <w:trHeight w:val="291"/>
        </w:trPr>
        <w:tc>
          <w:tcPr>
            <w:tcW w:w="700" w:type="dxa"/>
            <w:vAlign w:val="bottom"/>
          </w:tcPr>
          <w:p>
            <w:pPr>
              <w:spacing w:after="0"/>
              <w:rPr>
                <w:sz w:val="20"/>
                <w:szCs w:val="20"/>
                <w:color w:val="auto"/>
              </w:rPr>
            </w:pPr>
            <w:r>
              <w:rPr>
                <w:rFonts w:ascii="Arial" w:cs="Arial" w:eastAsia="Arial" w:hAnsi="Arial"/>
                <w:sz w:val="18"/>
                <w:szCs w:val="18"/>
                <w:color w:val="auto"/>
              </w:rPr>
              <w:t>99.1</w:t>
            </w:r>
          </w:p>
        </w:tc>
        <w:tc>
          <w:tcPr>
            <w:tcW w:w="220" w:type="dxa"/>
            <w:vAlign w:val="bottom"/>
          </w:tcPr>
          <w:p>
            <w:pPr>
              <w:spacing w:after="0"/>
              <w:rPr>
                <w:sz w:val="24"/>
                <w:szCs w:val="24"/>
                <w:color w:val="auto"/>
              </w:rPr>
            </w:pPr>
          </w:p>
        </w:tc>
        <w:tc>
          <w:tcPr>
            <w:tcW w:w="10500" w:type="dxa"/>
            <w:vAlign w:val="bottom"/>
          </w:tcPr>
          <w:p>
            <w:pPr>
              <w:spacing w:after="0"/>
              <w:rPr>
                <w:sz w:val="20"/>
                <w:szCs w:val="20"/>
                <w:color w:val="auto"/>
              </w:rPr>
            </w:pPr>
            <w:r>
              <w:rPr>
                <w:rFonts w:ascii="Arial" w:cs="Arial" w:eastAsia="Arial" w:hAnsi="Arial"/>
                <w:sz w:val="18"/>
                <w:szCs w:val="18"/>
                <w:color w:val="auto"/>
              </w:rPr>
              <w:t>Press Release dated June 1, 2004.</w:t>
            </w:r>
          </w:p>
        </w:tc>
      </w:tr>
    </w:tbl>
    <w:p>
      <w:pPr>
        <w:spacing w:after="0" w:line="15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Regulation FD Disclosure.</w:t>
      </w:r>
    </w:p>
    <w:p>
      <w:pPr>
        <w:spacing w:after="0" w:line="202" w:lineRule="exact"/>
        <w:rPr>
          <w:sz w:val="20"/>
          <w:szCs w:val="20"/>
          <w:color w:val="auto"/>
        </w:rPr>
      </w:pPr>
    </w:p>
    <w:p>
      <w:pPr>
        <w:ind w:right="100" w:firstLine="222"/>
        <w:spacing w:after="0" w:line="312" w:lineRule="auto"/>
        <w:rPr>
          <w:sz w:val="20"/>
          <w:szCs w:val="20"/>
          <w:color w:val="auto"/>
        </w:rPr>
      </w:pPr>
      <w:r>
        <w:rPr>
          <w:rFonts w:ascii="Arial" w:cs="Arial" w:eastAsia="Arial" w:hAnsi="Arial"/>
          <w:sz w:val="16"/>
          <w:szCs w:val="16"/>
          <w:color w:val="auto"/>
        </w:rPr>
        <w:t>The information in this Current Report is being furnish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06" w:lineRule="exact"/>
        <w:rPr>
          <w:sz w:val="20"/>
          <w:szCs w:val="20"/>
          <w:color w:val="auto"/>
        </w:rPr>
      </w:pPr>
    </w:p>
    <w:p>
      <w:pPr>
        <w:jc w:val="both"/>
        <w:ind w:right="100" w:firstLine="225"/>
        <w:spacing w:after="0" w:line="264" w:lineRule="auto"/>
        <w:rPr>
          <w:sz w:val="20"/>
          <w:szCs w:val="20"/>
          <w:color w:val="auto"/>
        </w:rPr>
      </w:pPr>
      <w:r>
        <w:rPr>
          <w:rFonts w:ascii="Arial" w:cs="Arial" w:eastAsia="Arial" w:hAnsi="Arial"/>
          <w:sz w:val="18"/>
          <w:szCs w:val="18"/>
          <w:color w:val="auto"/>
        </w:rPr>
        <w:t>On June 1, 2004, Marvell Technology Group, Ltd. (“Marvell”) issued a press release regarding its shareholders’ approval of an increase in the Company’s authorized share capital to allow for a 2 for 1 stock split of the Company’s common shares to be effected in the form of an issuance of bonus shares. The full text of Marvell’s press release is furnished herewith as 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370840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02" w:lineRule="exact"/>
        <w:rPr>
          <w:sz w:val="20"/>
          <w:szCs w:val="20"/>
          <w:color w:val="auto"/>
        </w:rPr>
      </w:pPr>
    </w:p>
    <w:p>
      <w:pPr>
        <w:ind w:firstLine="225"/>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346" w:lineRule="exact"/>
        <w:rPr>
          <w:sz w:val="20"/>
          <w:szCs w:val="20"/>
          <w:color w:val="auto"/>
        </w:rPr>
      </w:pPr>
    </w:p>
    <w:p>
      <w:pPr>
        <w:spacing w:after="0"/>
        <w:rPr>
          <w:sz w:val="20"/>
          <w:szCs w:val="20"/>
          <w:color w:val="auto"/>
        </w:rPr>
      </w:pPr>
      <w:r>
        <w:rPr>
          <w:rFonts w:ascii="Arial" w:cs="Arial" w:eastAsia="Arial" w:hAnsi="Arial"/>
          <w:sz w:val="18"/>
          <w:szCs w:val="18"/>
          <w:color w:val="auto"/>
        </w:rPr>
        <w:t>Date: June 1, 2004.</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11" w:lineRule="exact"/>
        <w:rPr>
          <w:sz w:val="20"/>
          <w:szCs w:val="20"/>
          <w:color w:val="auto"/>
        </w:rPr>
      </w:pPr>
    </w:p>
    <w:p>
      <w:pPr>
        <w:ind w:left="6860"/>
        <w:spacing w:after="0"/>
        <w:tabs>
          <w:tab w:leader="none" w:pos="74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4721860</wp:posOffset>
            </wp:positionH>
            <wp:positionV relativeFrom="paragraph">
              <wp:posOffset>23495</wp:posOffset>
            </wp:positionV>
            <wp:extent cx="252984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529840" cy="8890"/>
                    </a:xfrm>
                    <a:prstGeom prst="rect">
                      <a:avLst/>
                    </a:prstGeom>
                    <a:noFill/>
                  </pic:spPr>
                </pic:pic>
              </a:graphicData>
            </a:graphic>
          </wp:anchor>
        </w:drawing>
      </w:r>
    </w:p>
    <w:p>
      <w:pPr>
        <w:spacing w:after="0" w:line="30" w:lineRule="exact"/>
        <w:rPr>
          <w:sz w:val="20"/>
          <w:szCs w:val="20"/>
          <w:color w:val="auto"/>
        </w:rPr>
      </w:pPr>
    </w:p>
    <w:p>
      <w:pPr>
        <w:ind w:left="8760"/>
        <w:spacing w:after="0"/>
        <w:rPr>
          <w:sz w:val="20"/>
          <w:szCs w:val="20"/>
          <w:color w:val="auto"/>
        </w:rPr>
      </w:pPr>
      <w:r>
        <w:rPr>
          <w:rFonts w:ascii="Arial" w:cs="Arial" w:eastAsia="Arial" w:hAnsi="Arial"/>
          <w:sz w:val="18"/>
          <w:szCs w:val="18"/>
          <w:color w:val="auto"/>
        </w:rPr>
        <w:t>George A. Hervey</w:t>
      </w:r>
    </w:p>
    <w:p>
      <w:pPr>
        <w:spacing w:after="0" w:line="23" w:lineRule="exact"/>
        <w:rPr>
          <w:sz w:val="20"/>
          <w:szCs w:val="20"/>
          <w:color w:val="auto"/>
        </w:rPr>
      </w:pPr>
    </w:p>
    <w:p>
      <w:pPr>
        <w:jc w:val="center"/>
        <w:ind w:left="744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744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389890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40"/>
          </w:cols>
          <w:pgMar w:left="240" w:top="419" w:right="41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060"/>
        <w:spacing w:after="0"/>
        <w:rPr>
          <w:sz w:val="20"/>
          <w:szCs w:val="20"/>
          <w:color w:val="auto"/>
        </w:rPr>
      </w:pPr>
      <w:r>
        <w:rPr>
          <w:rFonts w:ascii="Arial" w:cs="Arial" w:eastAsia="Arial" w:hAnsi="Arial"/>
          <w:sz w:val="18"/>
          <w:szCs w:val="18"/>
          <w:color w:val="auto"/>
        </w:rPr>
        <w:t>EXHIBIT INDEX</w:t>
      </w:r>
    </w:p>
    <w:p>
      <w:pPr>
        <w:spacing w:after="0" w:line="200" w:lineRule="exact"/>
        <w:rPr>
          <w:sz w:val="20"/>
          <w:szCs w:val="20"/>
          <w:color w:val="auto"/>
        </w:rPr>
      </w:pPr>
    </w:p>
    <w:p>
      <w:pPr>
        <w:spacing w:after="0" w:line="206" w:lineRule="exact"/>
        <w:rPr>
          <w:sz w:val="20"/>
          <w:szCs w:val="20"/>
          <w:color w:val="auto"/>
        </w:rPr>
      </w:pPr>
    </w:p>
    <w:p>
      <w:pPr>
        <w:spacing w:after="0"/>
        <w:tabs>
          <w:tab w:leader="none" w:pos="606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3"/>
          <w:szCs w:val="13"/>
          <w:b w:val="1"/>
          <w:bCs w:val="1"/>
          <w:color w:val="auto"/>
        </w:rPr>
        <w:t>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49530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38"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color w:val="auto"/>
        </w:rPr>
        <w:t>Exhibit 99.1</w:t>
      </w:r>
      <w:r>
        <w:rPr>
          <w:sz w:val="20"/>
          <w:szCs w:val="20"/>
          <w:color w:val="auto"/>
        </w:rPr>
        <w:tab/>
      </w:r>
      <w:r>
        <w:rPr>
          <w:rFonts w:ascii="Arial" w:cs="Arial" w:eastAsia="Arial" w:hAnsi="Arial"/>
          <w:sz w:val="15"/>
          <w:szCs w:val="15"/>
          <w:color w:val="auto"/>
        </w:rPr>
        <w:t>Press Release issued June 1, 2004.</w:t>
      </w:r>
    </w:p>
    <w:p>
      <w:pPr>
        <w:sectPr>
          <w:pgSz w:w="11900" w:h="16838" w:orient="portrait"/>
          <w:cols w:equalWidth="0" w:num="1">
            <w:col w:w="10219"/>
          </w:cols>
          <w:pgMar w:left="240" w:top="419" w:right="1440" w:bottom="1440" w:gutter="0" w:footer="0" w:header="0"/>
        </w:sectPr>
      </w:pPr>
    </w:p>
    <w:bookmarkStart w:id="6" w:name="page7"/>
    <w:bookmarkEnd w:id="6"/>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MARVELL(R) ANNOUNCES SHAREHOLDER APPROVAL OF AN INCREASE IN AUTHORIZED SHARE</w:t>
      </w:r>
    </w:p>
    <w:p>
      <w:pPr>
        <w:jc w:val="center"/>
        <w:ind w:right="1779"/>
        <w:spacing w:after="0" w:line="238" w:lineRule="auto"/>
        <w:rPr>
          <w:sz w:val="20"/>
          <w:szCs w:val="20"/>
          <w:color w:val="auto"/>
        </w:rPr>
      </w:pPr>
      <w:r>
        <w:rPr>
          <w:rFonts w:ascii="Courier New" w:cs="Courier New" w:eastAsia="Courier New" w:hAnsi="Courier New"/>
          <w:sz w:val="18"/>
          <w:szCs w:val="18"/>
          <w:color w:val="auto"/>
        </w:rPr>
        <w:t>CAPITAL TO ALLOW FOR 2 FOR 1 STOCK SPLIT</w:t>
      </w:r>
    </w:p>
    <w:p>
      <w:pPr>
        <w:spacing w:after="0" w:line="207"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SUNNYVALE, CALIFORNIA, (JUNE 1, 2004) -- Marvell(R) Technology Group Ltd. (NASDAQ: MRVL), a technology leader in the development of extreme broadband communications and storage solutions, announced today that at its May 28, 2004 Annual General Meeting its shareholders approved an increase in the Company's authorized capital in order to allow a two for one stock split of the Company's common stock to be paid in the form of a 100% stock dividend. The stock split was previously approved by Marvell's Board of Directors on February 25, 2004, and was subject to shareholder approval of an increase in the Company's authorized share capital. Stock certificates representing one additional share for each share held will be delivered on or about June 28, 2004 (payment date) to all shareholders of record at the close of business on June 14, 2004 (record date).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4"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Marvell(R) and the Marvell logo are trademarks of Marvell. All other trademarks are the property of their respective owners.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Media Contact</w:t>
      </w:r>
    </w:p>
    <w:p>
      <w:pPr>
        <w:spacing w:after="0" w:line="238" w:lineRule="auto"/>
        <w:rPr>
          <w:sz w:val="20"/>
          <w:szCs w:val="20"/>
          <w:color w:val="auto"/>
        </w:rPr>
      </w:pPr>
      <w:r>
        <w:rPr>
          <w:rFonts w:ascii="Courier New" w:cs="Courier New" w:eastAsia="Courier New" w:hAnsi="Courier New"/>
          <w:sz w:val="18"/>
          <w:szCs w:val="18"/>
          <w:color w:val="auto"/>
        </w:rPr>
        <w:t>Name: Mike Tate</w:t>
      </w:r>
    </w:p>
    <w:p>
      <w:pPr>
        <w:spacing w:after="0"/>
        <w:rPr>
          <w:sz w:val="20"/>
          <w:szCs w:val="20"/>
          <w:color w:val="auto"/>
        </w:rPr>
      </w:pPr>
      <w:r>
        <w:rPr>
          <w:rFonts w:ascii="Courier New" w:cs="Courier New" w:eastAsia="Courier New" w:hAnsi="Courier New"/>
          <w:sz w:val="18"/>
          <w:szCs w:val="18"/>
          <w:color w:val="auto"/>
        </w:rPr>
        <w:t>Title: Treasurer</w:t>
      </w:r>
    </w:p>
    <w:p>
      <w:pPr>
        <w:spacing w:after="0" w:line="237" w:lineRule="auto"/>
        <w:rPr>
          <w:sz w:val="20"/>
          <w:szCs w:val="20"/>
          <w:color w:val="auto"/>
        </w:rPr>
      </w:pPr>
      <w:r>
        <w:rPr>
          <w:rFonts w:ascii="Courier New" w:cs="Courier New" w:eastAsia="Courier New" w:hAnsi="Courier New"/>
          <w:sz w:val="18"/>
          <w:szCs w:val="18"/>
          <w:color w:val="auto"/>
        </w:rPr>
        <w:t>Tel: 408.222.2500</w:t>
      </w:r>
    </w:p>
    <w:p>
      <w:pPr>
        <w:spacing w:after="0" w:line="238" w:lineRule="auto"/>
        <w:rPr>
          <w:sz w:val="20"/>
          <w:szCs w:val="20"/>
          <w:color w:val="auto"/>
        </w:rPr>
      </w:pPr>
      <w:r>
        <w:rPr>
          <w:rFonts w:ascii="Courier New" w:cs="Courier New" w:eastAsia="Courier New" w:hAnsi="Courier New"/>
          <w:sz w:val="18"/>
          <w:szCs w:val="18"/>
          <w:color w:val="auto"/>
        </w:rPr>
        <w:t>E-mail: mtate@marvell.com</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2019-12-14T19:00:26Z</dcterms:created>
  <dcterms:modified xsi:type="dcterms:W3CDTF">2019-12-14T19:00:26Z</dcterms:modified>
</cp:coreProperties>
</file>