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NO.6)*</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May 31, 2004</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8,777,957</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7,460,615</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May 31, 2004</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23,462,911</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113,593</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23,576,504</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17.8%</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8,777,957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7,460,615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2004</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23,462,911</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113,593</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23,576,504</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17.8%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8,777,957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7,460,615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2004</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23,462,911</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113,593</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23,576,504</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17.8%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8,777,957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7,460,615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2004</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23,462,911</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113,593</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23,576,504</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17.8%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8,744,304</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7,460,615</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May 31, 2004</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BY 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23,462,911</w:t>
            </w:r>
          </w:p>
        </w:tc>
      </w:tr>
      <w:tr>
        <w:trPr>
          <w:trHeight w:val="203"/>
        </w:trPr>
        <w:tc>
          <w:tcPr>
            <w:tcW w:w="360" w:type="dxa"/>
            <w:vAlign w:val="bottom"/>
          </w:tcPr>
          <w:p>
            <w:pPr>
              <w:spacing w:after="0"/>
              <w:rPr>
                <w:sz w:val="17"/>
                <w:szCs w:val="17"/>
                <w:color w:val="auto"/>
              </w:rPr>
            </w:pPr>
          </w:p>
        </w:tc>
        <w:tc>
          <w:tcPr>
            <w:tcW w:w="18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71,940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23,534,851</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17.8%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w:t>
            </w:r>
          </w:p>
        </w:tc>
        <w:tc>
          <w:tcPr>
            <w:tcW w:w="1940" w:type="dxa"/>
            <w:vAlign w:val="bottom"/>
          </w:tcPr>
          <w:p>
            <w:pPr>
              <w:spacing w:after="0"/>
              <w:rPr>
                <w:sz w:val="17"/>
                <w:szCs w:val="17"/>
                <w:color w:val="auto"/>
              </w:rPr>
            </w:pPr>
          </w:p>
        </w:tc>
      </w:tr>
    </w:tbl>
    <w:p>
      <w:pPr>
        <w:spacing w:after="0" w:line="238" w:lineRule="auto"/>
        <w:rPr>
          <w:sz w:val="20"/>
          <w:szCs w:val="20"/>
          <w:color w:val="auto"/>
        </w:rPr>
      </w:pPr>
      <w:r>
        <w:rPr>
          <w:rFonts w:ascii="Courier New" w:cs="Courier New" w:eastAsia="Courier New" w:hAnsi="Courier New"/>
          <w:sz w:val="18"/>
          <w:szCs w:val="18"/>
          <w:color w:val="auto"/>
        </w:rPr>
        <w:t>Business Office: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Assurances I.A.R.D Mutuelle, and</w:t>
      </w:r>
    </w:p>
    <w:p>
      <w:pPr>
        <w:ind w:left="1060"/>
        <w:spacing w:after="0" w:line="238" w:lineRule="auto"/>
        <w:rPr>
          <w:sz w:val="20"/>
          <w:szCs w:val="20"/>
          <w:color w:val="auto"/>
        </w:rPr>
      </w:pPr>
      <w:r>
        <w:rPr>
          <w:rFonts w:ascii="Courier New" w:cs="Courier New" w:eastAsia="Courier New" w:hAnsi="Courier New"/>
          <w:sz w:val="18"/>
          <w:szCs w:val="18"/>
          <w:color w:val="auto"/>
        </w:rPr>
        <w:t>AXA Assurances Vie Mutuelle,</w:t>
      </w:r>
    </w:p>
    <w:p>
      <w:pPr>
        <w:ind w:left="1060"/>
        <w:spacing w:after="0"/>
        <w:rPr>
          <w:sz w:val="20"/>
          <w:szCs w:val="20"/>
          <w:color w:val="auto"/>
        </w:rPr>
      </w:pPr>
      <w:r>
        <w:rPr>
          <w:rFonts w:ascii="Courier New" w:cs="Courier New" w:eastAsia="Courier New" w:hAnsi="Courier New"/>
          <w:sz w:val="18"/>
          <w:szCs w:val="18"/>
          <w:color w:val="auto"/>
        </w:rPr>
        <w:t>370, rue Saint Honore</w:t>
      </w:r>
    </w:p>
    <w:p>
      <w:pPr>
        <w:ind w:left="1060"/>
        <w:spacing w:after="0" w:line="237"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540" w:type="dxa"/>
            <w:vAlign w:val="bottom"/>
          </w:tcPr>
          <w:p>
            <w:pPr>
              <w:jc w:val="right"/>
              <w:ind w:right="1012"/>
              <w:spacing w:after="0"/>
              <w:rPr>
                <w:sz w:val="20"/>
                <w:szCs w:val="20"/>
                <w:color w:val="auto"/>
              </w:rPr>
            </w:pPr>
            <w:r>
              <w:rPr>
                <w:rFonts w:ascii="Courier New" w:cs="Courier New" w:eastAsia="Courier New" w:hAnsi="Courier New"/>
                <w:sz w:val="18"/>
                <w:szCs w:val="18"/>
                <w:color w:val="auto"/>
              </w:rPr>
              <w:t>13G</w:t>
            </w:r>
          </w:p>
        </w:tc>
        <w:tc>
          <w:tcPr>
            <w:tcW w:w="3000" w:type="dxa"/>
            <w:vAlign w:val="bottom"/>
          </w:tcPr>
          <w:p>
            <w:pPr>
              <w:ind w:left="1100"/>
              <w:spacing w:after="0"/>
              <w:rPr>
                <w:sz w:val="20"/>
                <w:szCs w:val="20"/>
                <w:color w:val="auto"/>
              </w:rPr>
            </w:pPr>
            <w:r>
              <w:rPr>
                <w:rFonts w:ascii="Courier New" w:cs="Courier New" w:eastAsia="Courier New" w:hAnsi="Courier New"/>
                <w:sz w:val="18"/>
                <w:szCs w:val="18"/>
                <w:color w:val="auto"/>
                <w:w w:val="96"/>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540" w:type="dxa"/>
            <w:vAlign w:val="bottom"/>
          </w:tcPr>
          <w:p>
            <w:pPr>
              <w:jc w:val="right"/>
              <w:ind w:right="1012"/>
              <w:spacing w:after="0"/>
              <w:rPr>
                <w:sz w:val="20"/>
                <w:szCs w:val="20"/>
                <w:color w:val="auto"/>
              </w:rPr>
            </w:pPr>
            <w:r>
              <w:rPr>
                <w:rFonts w:ascii="Courier New" w:cs="Courier New" w:eastAsia="Courier New" w:hAnsi="Courier New"/>
                <w:sz w:val="18"/>
                <w:szCs w:val="18"/>
                <w:color w:val="auto"/>
              </w:rPr>
              <w:t>May 31, 2004</w:t>
            </w:r>
          </w:p>
        </w:tc>
        <w:tc>
          <w:tcPr>
            <w:tcW w:w="3000" w:type="dxa"/>
            <w:vAlign w:val="bottom"/>
          </w:tcPr>
          <w:p>
            <w:pPr>
              <w:spacing w:after="0"/>
              <w:rPr>
                <w:sz w:val="24"/>
                <w:szCs w:val="24"/>
                <w:color w:val="auto"/>
              </w:rPr>
            </w:pPr>
          </w:p>
        </w:tc>
      </w:tr>
      <w:tr>
        <w:trPr>
          <w:trHeight w:val="203"/>
        </w:trPr>
        <w:tc>
          <w:tcPr>
            <w:tcW w:w="5120" w:type="dxa"/>
            <w:vAlign w:val="bottom"/>
            <w:gridSpan w:val="2"/>
          </w:tcPr>
          <w:p>
            <w:pPr>
              <w:jc w:val="right"/>
              <w:ind w:right="101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000" w:type="dxa"/>
            <w:vAlign w:val="bottom"/>
          </w:tcPr>
          <w:p>
            <w:pPr>
              <w:spacing w:after="0"/>
              <w:rPr>
                <w:sz w:val="17"/>
                <w:szCs w:val="17"/>
                <w:color w:val="auto"/>
              </w:rPr>
            </w:pPr>
          </w:p>
        </w:tc>
      </w:tr>
    </w:tbl>
    <w:p>
      <w:pPr>
        <w:spacing w:after="0" w:line="238" w:lineRule="auto"/>
        <w:tabs>
          <w:tab w:leader="none" w:pos="1360" w:val="left"/>
        </w:tabs>
        <w:rPr>
          <w:sz w:val="20"/>
          <w:szCs w:val="20"/>
          <w:color w:val="auto"/>
        </w:rPr>
      </w:pPr>
      <w:r>
        <w:rPr>
          <w:rFonts w:ascii="Courier New" w:cs="Courier New" w:eastAsia="Courier New" w:hAnsi="Courier New"/>
          <w:sz w:val="18"/>
          <w:szCs w:val="18"/>
          <w:color w:val="auto"/>
        </w:rPr>
        <w:t>23,576,504</w:t>
      </w:r>
      <w:r>
        <w:rPr>
          <w:sz w:val="20"/>
          <w:szCs w:val="20"/>
          <w:color w:val="auto"/>
        </w:rPr>
        <w:tab/>
      </w:r>
      <w:r>
        <w:rPr>
          <w:rFonts w:ascii="Courier New" w:cs="Courier New" w:eastAsia="Courier New" w:hAnsi="Courier New"/>
          <w:sz w:val="18"/>
          <w:szCs w:val="18"/>
          <w:color w:val="auto"/>
        </w:rPr>
        <w:t>shares of common stock beneficially owned including:</w:t>
      </w:r>
    </w:p>
    <w:p>
      <w:pPr>
        <w:spacing w:after="0" w:line="200" w:lineRule="exact"/>
        <w:rPr>
          <w:sz w:val="20"/>
          <w:szCs w:val="20"/>
          <w:color w:val="auto"/>
        </w:rPr>
      </w:pPr>
    </w:p>
    <w:p>
      <w:pPr>
        <w:spacing w:after="0" w:line="204" w:lineRule="exact"/>
        <w:rPr>
          <w:sz w:val="20"/>
          <w:szCs w:val="20"/>
          <w:color w:val="auto"/>
        </w:rPr>
      </w:pPr>
    </w:p>
    <w:p>
      <w:pPr>
        <w:jc w:val="center"/>
        <w:ind w:left="1760"/>
        <w:spacing w:after="0"/>
        <w:rPr>
          <w:sz w:val="20"/>
          <w:szCs w:val="20"/>
          <w:color w:val="auto"/>
        </w:rPr>
      </w:pPr>
      <w:r>
        <w:rPr>
          <w:rFonts w:ascii="Courier New" w:cs="Courier New" w:eastAsia="Courier New" w:hAnsi="Courier New"/>
          <w:sz w:val="18"/>
          <w:szCs w:val="18"/>
          <w:color w:val="auto"/>
        </w:rPr>
        <w:t>No. of Shares</w:t>
      </w:r>
    </w:p>
    <w:p>
      <w:pPr>
        <w:jc w:val="center"/>
        <w:ind w:left="1760"/>
        <w:spacing w:after="0" w:line="238" w:lineRule="auto"/>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514" w:right="1440" w:bottom="144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 as a group</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AXA</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6" w:lineRule="exact"/>
        <w:rPr>
          <w:sz w:val="20"/>
          <w:szCs w:val="20"/>
          <w:color w:val="auto"/>
        </w:rPr>
      </w:pPr>
    </w:p>
    <w:p>
      <w:pPr>
        <w:sectPr>
          <w:pgSz w:w="11900" w:h="16838" w:orient="portrait"/>
          <w:cols w:equalWidth="0" w:num="2">
            <w:col w:w="6880" w:space="720"/>
            <w:col w:w="2619"/>
          </w:cols>
          <w:pgMar w:left="240" w:top="514"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514" w:right="1440" w:bottom="1440" w:gutter="0" w:footer="0" w:header="0"/>
          <w:type w:val="continuous"/>
        </w:sectPr>
      </w:pPr>
    </w:p>
    <w:p>
      <w:pPr>
        <w:spacing w:after="0" w:line="218" w:lineRule="exact"/>
        <w:rPr>
          <w:sz w:val="20"/>
          <w:szCs w:val="20"/>
          <w:color w:val="auto"/>
        </w:rPr>
      </w:pPr>
    </w:p>
    <w:p>
      <w:pPr>
        <w:ind w:left="420"/>
        <w:spacing w:after="0"/>
        <w:tabs>
          <w:tab w:leader="none" w:pos="1880" w:val="left"/>
        </w:tabs>
        <w:rPr>
          <w:sz w:val="20"/>
          <w:szCs w:val="20"/>
          <w:color w:val="auto"/>
        </w:rPr>
      </w:pPr>
      <w:r>
        <w:rPr>
          <w:rFonts w:ascii="Courier New" w:cs="Courier New" w:eastAsia="Courier New" w:hAnsi="Courier New"/>
          <w:sz w:val="18"/>
          <w:szCs w:val="18"/>
          <w:color w:val="auto"/>
        </w:rPr>
        <w:t>Common Stock</w:t>
      </w:r>
      <w:r>
        <w:rPr>
          <w:sz w:val="20"/>
          <w:szCs w:val="20"/>
          <w:color w:val="auto"/>
        </w:rPr>
        <w:tab/>
      </w:r>
      <w:r>
        <w:rPr>
          <w:rFonts w:ascii="Courier New" w:cs="Courier New" w:eastAsia="Courier New" w:hAnsi="Courier New"/>
          <w:sz w:val="16"/>
          <w:szCs w:val="16"/>
          <w:color w:val="auto"/>
        </w:rPr>
        <w:t>acquired solely for investment purposes:</w:t>
      </w:r>
    </w:p>
    <w:tbl>
      <w:tblPr>
        <w:tblLayout w:type="fixed"/>
        <w:tblInd w:w="0" w:type="dxa"/>
        <w:tblCellMar>
          <w:top w:w="0" w:type="dxa"/>
          <w:left w:w="0" w:type="dxa"/>
          <w:bottom w:w="0" w:type="dxa"/>
          <w:right w:w="0" w:type="dxa"/>
        </w:tblCellMar>
      </w:tblPr>
      <w:tr>
        <w:trPr>
          <w:trHeight w:val="203"/>
        </w:trPr>
        <w:tc>
          <w:tcPr>
            <w:tcW w:w="49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41,653</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AXA Financial, Inc.</w:t>
            </w:r>
          </w:p>
        </w:tc>
        <w:tc>
          <w:tcPr>
            <w:tcW w:w="280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Subsidiaries:</w:t>
            </w:r>
          </w:p>
        </w:tc>
        <w:tc>
          <w:tcPr>
            <w:tcW w:w="2800" w:type="dxa"/>
            <w:vAlign w:val="bottom"/>
          </w:tcPr>
          <w:p>
            <w:pPr>
              <w:spacing w:after="0"/>
              <w:rPr>
                <w:sz w:val="24"/>
                <w:szCs w:val="24"/>
                <w:color w:val="auto"/>
              </w:rPr>
            </w:pPr>
          </w:p>
        </w:tc>
      </w:tr>
      <w:tr>
        <w:trPr>
          <w:trHeight w:val="405"/>
        </w:trPr>
        <w:tc>
          <w:tcPr>
            <w:tcW w:w="960" w:type="dxa"/>
            <w:vAlign w:val="bottom"/>
          </w:tcPr>
          <w:p>
            <w:pPr>
              <w:spacing w:after="0"/>
              <w:rPr>
                <w:sz w:val="20"/>
                <w:szCs w:val="20"/>
                <w:color w:val="auto"/>
              </w:rPr>
            </w:pPr>
            <w:r>
              <w:rPr>
                <w:rFonts w:ascii="Courier New" w:cs="Courier New" w:eastAsia="Courier New" w:hAnsi="Courier New"/>
                <w:sz w:val="18"/>
                <w:szCs w:val="18"/>
                <w:color w:val="auto"/>
              </w:rPr>
              <w:t>Alliance</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Capital Management L.P.</w:t>
            </w:r>
          </w:p>
        </w:tc>
        <w:tc>
          <w:tcPr>
            <w:tcW w:w="2800" w:type="dxa"/>
            <w:vAlign w:val="bottom"/>
          </w:tcPr>
          <w:p>
            <w:pPr>
              <w:spacing w:after="0"/>
              <w:rPr>
                <w:sz w:val="24"/>
                <w:szCs w:val="24"/>
                <w:color w:val="auto"/>
              </w:rPr>
            </w:pP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w:t>
            </w:r>
          </w:p>
        </w:tc>
        <w:tc>
          <w:tcPr>
            <w:tcW w:w="3940" w:type="dxa"/>
            <w:vAlign w:val="bottom"/>
          </w:tcPr>
          <w:p>
            <w:pPr>
              <w:spacing w:after="0" w:line="203" w:lineRule="exact"/>
              <w:rPr>
                <w:sz w:val="20"/>
                <w:szCs w:val="20"/>
                <w:color w:val="auto"/>
              </w:rPr>
            </w:pPr>
            <w:r>
              <w:rPr>
                <w:rFonts w:ascii="Courier New" w:cs="Courier New" w:eastAsia="Courier New" w:hAnsi="Courier New"/>
                <w:sz w:val="18"/>
                <w:szCs w:val="18"/>
                <w:color w:val="auto"/>
              </w:rPr>
              <w:t>solely for investment purposes on</w:t>
            </w:r>
          </w:p>
        </w:tc>
        <w:tc>
          <w:tcPr>
            <w:tcW w:w="2800" w:type="dxa"/>
            <w:vAlign w:val="bottom"/>
          </w:tcPr>
          <w:p>
            <w:pPr>
              <w:spacing w:after="0"/>
              <w:rPr>
                <w:sz w:val="17"/>
                <w:szCs w:val="17"/>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2800" w:type="dxa"/>
            <w:vAlign w:val="bottom"/>
          </w:tcPr>
          <w:p>
            <w:pPr>
              <w:spacing w:after="0"/>
              <w:rPr>
                <w:sz w:val="17"/>
                <w:szCs w:val="17"/>
                <w:color w:val="auto"/>
              </w:rPr>
            </w:pP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w:t>
            </w:r>
          </w:p>
        </w:tc>
        <w:tc>
          <w:tcPr>
            <w:tcW w:w="3940" w:type="dxa"/>
            <w:vAlign w:val="bottom"/>
          </w:tcPr>
          <w:p>
            <w:pPr>
              <w:spacing w:after="0" w:line="203" w:lineRule="exact"/>
              <w:rPr>
                <w:sz w:val="20"/>
                <w:szCs w:val="20"/>
                <w:color w:val="auto"/>
              </w:rPr>
            </w:pPr>
            <w:r>
              <w:rPr>
                <w:rFonts w:ascii="Courier New" w:cs="Courier New" w:eastAsia="Courier New" w:hAnsi="Courier New"/>
                <w:sz w:val="18"/>
                <w:szCs w:val="18"/>
                <w:color w:val="auto"/>
              </w:rPr>
              <w:t>accounts:</w:t>
            </w:r>
          </w:p>
        </w:tc>
        <w:tc>
          <w:tcPr>
            <w:tcW w:w="2800" w:type="dxa"/>
            <w:vAlign w:val="bottom"/>
          </w:tcPr>
          <w:p>
            <w:pPr>
              <w:spacing w:after="0"/>
              <w:rPr>
                <w:sz w:val="17"/>
                <w:szCs w:val="17"/>
                <w:color w:val="auto"/>
              </w:rPr>
            </w:pPr>
          </w:p>
        </w:tc>
      </w:tr>
      <w:tr>
        <w:trPr>
          <w:trHeight w:val="810"/>
        </w:trPr>
        <w:tc>
          <w:tcPr>
            <w:tcW w:w="960" w:type="dxa"/>
            <w:vAlign w:val="bottom"/>
          </w:tcPr>
          <w:p>
            <w:pPr>
              <w:ind w:left="220"/>
              <w:spacing w:after="0"/>
              <w:rPr>
                <w:sz w:val="20"/>
                <w:szCs w:val="20"/>
                <w:color w:val="auto"/>
              </w:rPr>
            </w:pPr>
            <w:r>
              <w:rPr>
                <w:rFonts w:ascii="Courier New" w:cs="Courier New" w:eastAsia="Courier New" w:hAnsi="Courier New"/>
                <w:sz w:val="18"/>
                <w:szCs w:val="18"/>
                <w:color w:val="auto"/>
              </w:rPr>
              <w:t>Common</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Stock</w:t>
            </w:r>
          </w:p>
        </w:tc>
        <w:tc>
          <w:tcPr>
            <w:tcW w:w="280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22,446,371</w:t>
            </w:r>
          </w:p>
        </w:tc>
      </w:tr>
      <w:tr>
        <w:trPr>
          <w:trHeight w:val="405"/>
        </w:trPr>
        <w:tc>
          <w:tcPr>
            <w:tcW w:w="96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2800" w:type="dxa"/>
            <w:vAlign w:val="bottom"/>
          </w:tcPr>
          <w:p>
            <w:pPr>
              <w:jc w:val="right"/>
              <w:spacing w:after="0"/>
              <w:rPr>
                <w:sz w:val="20"/>
                <w:szCs w:val="20"/>
                <w:color w:val="auto"/>
              </w:rPr>
            </w:pPr>
            <w:r>
              <w:rPr>
                <w:rFonts w:ascii="Courier New" w:cs="Courier New" w:eastAsia="Courier New" w:hAnsi="Courier New"/>
                <w:sz w:val="18"/>
                <w:szCs w:val="18"/>
                <w:color w:val="auto"/>
              </w:rPr>
              <w:t>22,446,371</w:t>
            </w:r>
          </w:p>
        </w:tc>
      </w:tr>
      <w:tr>
        <w:trPr>
          <w:trHeight w:val="203"/>
        </w:trPr>
        <w:tc>
          <w:tcPr>
            <w:tcW w:w="770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405"/>
        </w:trPr>
        <w:tc>
          <w:tcPr>
            <w:tcW w:w="960" w:type="dxa"/>
            <w:vAlign w:val="bottom"/>
          </w:tcPr>
          <w:p>
            <w:pPr>
              <w:spacing w:after="0"/>
              <w:rPr>
                <w:sz w:val="20"/>
                <w:szCs w:val="20"/>
                <w:color w:val="auto"/>
              </w:rPr>
            </w:pPr>
            <w:r>
              <w:rPr>
                <w:rFonts w:ascii="Courier New" w:cs="Courier New" w:eastAsia="Courier New" w:hAnsi="Courier New"/>
                <w:sz w:val="18"/>
                <w:szCs w:val="18"/>
                <w:color w:val="auto"/>
              </w:rPr>
              <w:t>acquired</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solely for investment purposes:</w:t>
            </w:r>
          </w:p>
        </w:tc>
        <w:tc>
          <w:tcPr>
            <w:tcW w:w="2800" w:type="dxa"/>
            <w:vAlign w:val="bottom"/>
          </w:tcPr>
          <w:p>
            <w:pPr>
              <w:spacing w:after="0"/>
              <w:rPr>
                <w:sz w:val="24"/>
                <w:szCs w:val="24"/>
                <w:color w:val="auto"/>
              </w:rPr>
            </w:pPr>
          </w:p>
        </w:tc>
      </w:tr>
      <w:tr>
        <w:trPr>
          <w:trHeight w:val="608"/>
        </w:trPr>
        <w:tc>
          <w:tcPr>
            <w:tcW w:w="960" w:type="dxa"/>
            <w:vAlign w:val="bottom"/>
          </w:tcPr>
          <w:p>
            <w:pPr>
              <w:ind w:left="220"/>
              <w:spacing w:after="0"/>
              <w:rPr>
                <w:sz w:val="20"/>
                <w:szCs w:val="20"/>
                <w:color w:val="auto"/>
              </w:rPr>
            </w:pPr>
            <w:r>
              <w:rPr>
                <w:rFonts w:ascii="Courier New" w:cs="Courier New" w:eastAsia="Courier New" w:hAnsi="Courier New"/>
                <w:sz w:val="18"/>
                <w:szCs w:val="18"/>
                <w:color w:val="auto"/>
              </w:rPr>
              <w:t>Common</w:t>
            </w:r>
          </w:p>
        </w:tc>
        <w:tc>
          <w:tcPr>
            <w:tcW w:w="3940" w:type="dxa"/>
            <w:vAlign w:val="bottom"/>
          </w:tcPr>
          <w:p>
            <w:pPr>
              <w:spacing w:after="0"/>
              <w:rPr>
                <w:sz w:val="20"/>
                <w:szCs w:val="20"/>
                <w:color w:val="auto"/>
              </w:rPr>
            </w:pPr>
            <w:r>
              <w:rPr>
                <w:rFonts w:ascii="Courier New" w:cs="Courier New" w:eastAsia="Courier New" w:hAnsi="Courier New"/>
                <w:sz w:val="18"/>
                <w:szCs w:val="18"/>
                <w:color w:val="auto"/>
              </w:rPr>
              <w:t>Stock</w:t>
            </w:r>
          </w:p>
        </w:tc>
        <w:tc>
          <w:tcPr>
            <w:tcW w:w="280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1,088,480</w:t>
            </w:r>
          </w:p>
        </w:tc>
      </w:tr>
      <w:tr>
        <w:trPr>
          <w:trHeight w:val="405"/>
        </w:trPr>
        <w:tc>
          <w:tcPr>
            <w:tcW w:w="96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2800" w:type="dxa"/>
            <w:vAlign w:val="bottom"/>
          </w:tcPr>
          <w:p>
            <w:pPr>
              <w:jc w:val="right"/>
              <w:spacing w:after="0"/>
              <w:rPr>
                <w:sz w:val="20"/>
                <w:szCs w:val="20"/>
                <w:color w:val="auto"/>
              </w:rPr>
            </w:pPr>
            <w:r>
              <w:rPr>
                <w:rFonts w:ascii="Courier New" w:cs="Courier New" w:eastAsia="Courier New" w:hAnsi="Courier New"/>
                <w:sz w:val="18"/>
                <w:szCs w:val="18"/>
                <w:color w:val="auto"/>
              </w:rPr>
              <w:t>1,088,480</w:t>
            </w:r>
          </w:p>
        </w:tc>
      </w:tr>
      <w:tr>
        <w:trPr>
          <w:trHeight w:val="203"/>
        </w:trPr>
        <w:tc>
          <w:tcPr>
            <w:tcW w:w="960" w:type="dxa"/>
            <w:vAlign w:val="bottom"/>
          </w:tcPr>
          <w:p>
            <w:pPr>
              <w:spacing w:after="0"/>
              <w:rPr>
                <w:sz w:val="17"/>
                <w:szCs w:val="17"/>
                <w:color w:val="auto"/>
              </w:rPr>
            </w:pP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w w:val="96"/>
              </w:rPr>
              <w:t>Total</w:t>
            </w: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23,576,504</w:t>
            </w:r>
          </w:p>
        </w:tc>
      </w:tr>
      <w:tr>
        <w:trPr>
          <w:trHeight w:val="203"/>
        </w:trPr>
        <w:tc>
          <w:tcPr>
            <w:tcW w:w="960" w:type="dxa"/>
            <w:vAlign w:val="bottom"/>
          </w:tcPr>
          <w:p>
            <w:pPr>
              <w:spacing w:after="0"/>
              <w:rPr>
                <w:sz w:val="17"/>
                <w:szCs w:val="17"/>
                <w:color w:val="auto"/>
              </w:rPr>
            </w:pPr>
          </w:p>
        </w:tc>
        <w:tc>
          <w:tcPr>
            <w:tcW w:w="3940" w:type="dxa"/>
            <w:vAlign w:val="bottom"/>
          </w:tcPr>
          <w:p>
            <w:pPr>
              <w:spacing w:after="0"/>
              <w:rPr>
                <w:sz w:val="17"/>
                <w:szCs w:val="17"/>
                <w:color w:val="auto"/>
              </w:rPr>
            </w:pPr>
          </w:p>
        </w:tc>
        <w:tc>
          <w:tcPr>
            <w:tcW w:w="2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type w:val="continuous"/>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17.8%</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p>
      <w:pPr>
        <w:ind w:left="5600"/>
        <w:spacing w:after="0"/>
        <w:rPr>
          <w:sz w:val="20"/>
          <w:szCs w:val="20"/>
          <w:color w:val="auto"/>
        </w:rPr>
      </w:pPr>
      <w:r>
        <w:rPr>
          <w:rFonts w:ascii="Courier New" w:cs="Courier New" w:eastAsia="Courier New" w:hAnsi="Courier New"/>
          <w:sz w:val="16"/>
          <w:szCs w:val="16"/>
          <w:color w:val="auto"/>
        </w:rPr>
        <w:t>Page 10 of 12 Pages</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May 31, 2004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020" w:space="72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AXA Rosenberg</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33,653</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41,653</w:t>
      </w:r>
    </w:p>
    <w:p>
      <w:pPr>
        <w:spacing w:after="0" w:line="21" w:lineRule="exact"/>
        <w:rPr>
          <w:sz w:val="20"/>
          <w:szCs w:val="20"/>
          <w:color w:val="auto"/>
        </w:rPr>
      </w:pPr>
    </w:p>
    <w:p>
      <w:pPr>
        <w:sectPr>
          <w:pgSz w:w="11900" w:h="16838" w:orient="portrait"/>
          <w:cols w:equalWidth="0" w:num="5">
            <w:col w:w="2240" w:space="720"/>
            <w:col w:w="1280" w:space="720"/>
            <w:col w:w="760" w:space="720"/>
            <w:col w:w="220" w:space="720"/>
            <w:col w:w="28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Investment Management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LLC</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8,443,224</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7,460,615</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22,374,431</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71,940</w:t>
      </w:r>
    </w:p>
    <w:p>
      <w:pPr>
        <w:spacing w:after="0" w:line="21" w:lineRule="exact"/>
        <w:rPr>
          <w:sz w:val="20"/>
          <w:szCs w:val="20"/>
          <w:color w:val="auto"/>
        </w:rPr>
      </w:pPr>
    </w:p>
    <w:p>
      <w:pPr>
        <w:sectPr>
          <w:pgSz w:w="11900" w:h="16838" w:orient="portrait"/>
          <w:cols w:equalWidth="0" w:num="5">
            <w:col w:w="1920" w:space="720"/>
            <w:col w:w="940" w:space="540"/>
            <w:col w:w="940" w:space="420"/>
            <w:col w:w="1180" w:space="720"/>
            <w:col w:w="28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301,080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1,088,480</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140" w:space="720"/>
            <w:col w:w="1380" w:space="720"/>
            <w:col w:w="100" w:space="540"/>
            <w:col w:w="15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8,777,957</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279" w:lineRule="auto"/>
        <w:rPr>
          <w:sz w:val="20"/>
          <w:szCs w:val="20"/>
          <w:color w:val="auto"/>
        </w:rPr>
      </w:pPr>
      <w:r>
        <w:rPr>
          <w:rFonts w:ascii="Courier New" w:cs="Courier New" w:eastAsia="Courier New" w:hAnsi="Courier New"/>
          <w:sz w:val="16"/>
          <w:szCs w:val="16"/>
          <w:color w:val="auto"/>
        </w:rPr>
        <w:t>------------ 7,460,615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spacing w:after="0" w:line="279" w:lineRule="auto"/>
        <w:rPr>
          <w:sz w:val="20"/>
          <w:szCs w:val="20"/>
          <w:color w:val="auto"/>
        </w:rPr>
      </w:pPr>
      <w:r>
        <w:rPr>
          <w:rFonts w:ascii="Courier New" w:cs="Courier New" w:eastAsia="Courier New" w:hAnsi="Courier New"/>
          <w:sz w:val="16"/>
          <w:szCs w:val="16"/>
          <w:color w:val="auto"/>
        </w:rPr>
        <w:t>------------ 23,462,911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113,593</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3039"/>
        <w:spacing w:after="0" w:line="236"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w:t>
      </w:r>
    </w:p>
    <w:p>
      <w:pPr>
        <w:spacing w:after="0" w:line="238" w:lineRule="auto"/>
        <w:rPr>
          <w:sz w:val="20"/>
          <w:szCs w:val="20"/>
          <w:color w:val="auto"/>
        </w:rPr>
      </w:pPr>
      <w:r>
        <w:rPr>
          <w:rFonts w:ascii="Courier New" w:cs="Courier New" w:eastAsia="Courier New" w:hAnsi="Courier New"/>
          <w:sz w:val="18"/>
          <w:szCs w:val="18"/>
          <w:color w:val="auto"/>
        </w:rPr>
        <w:t>Pages</w:t>
      </w: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 w:lineRule="exact"/>
        <w:rPr>
          <w:sz w:val="20"/>
          <w:szCs w:val="20"/>
          <w:color w:val="auto"/>
        </w:rPr>
      </w:pPr>
    </w:p>
    <w:p>
      <w:pPr>
        <w:ind w:left="6220" w:right="2419" w:hanging="5371"/>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 )</w:t>
      </w:r>
    </w:p>
    <w:p>
      <w:pPr>
        <w:spacing w:after="0" w:line="203"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June 10, 2004</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June 10, 2004</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2019-12-14T20:12:14Z</dcterms:created>
  <dcterms:modified xsi:type="dcterms:W3CDTF">2019-12-14T20:12:14Z</dcterms:modified>
</cp:coreProperties>
</file>