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06/24/2004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7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06/24/2004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10,000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right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53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31,264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1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9"/>
              </w:rPr>
              <w:t>1. The Reporting Person disclaims beneficial ownership of these securities except to the extent of his pecuniary interest therein.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06/28/2004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Reminder: Report on a separate line for each class of securities beneficially owned directly or indirectly.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6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 Instruction 4 (b)(v).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2019-12-17T03:10:07Z</dcterms:created>
  <dcterms:modified xsi:type="dcterms:W3CDTF">2019-12-17T03:10:07Z</dcterms:modified>
</cp:coreProperties>
</file>