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156845</wp:posOffset>
            </wp:positionV>
            <wp:extent cx="7252970" cy="381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52970" cy="38100"/>
                    </a:xfrm>
                    <a:prstGeom prst="rect">
                      <a:avLst/>
                    </a:prstGeom>
                    <a:noFill/>
                  </pic:spPr>
                </pic:pic>
              </a:graphicData>
            </a:graphic>
          </wp:anchor>
        </w:drawing>
      </w:r>
    </w:p>
    <w:p>
      <w:pPr>
        <w:spacing w:after="0" w:line="200" w:lineRule="exact"/>
        <w:rPr>
          <w:sz w:val="20"/>
          <w:szCs w:val="20"/>
          <w:color w:val="auto"/>
        </w:rPr>
      </w:pPr>
    </w:p>
    <w:p>
      <w:pPr>
        <w:spacing w:after="0" w:line="300" w:lineRule="exact"/>
        <w:rPr>
          <w:sz w:val="20"/>
          <w:szCs w:val="20"/>
          <w:color w:val="auto"/>
        </w:rPr>
      </w:pPr>
    </w:p>
    <w:p>
      <w:pPr>
        <w:jc w:val="center"/>
        <w:ind w:right="-859"/>
        <w:spacing w:after="0"/>
        <w:rPr>
          <w:sz w:val="20"/>
          <w:szCs w:val="20"/>
          <w:color w:val="auto"/>
        </w:rPr>
      </w:pPr>
      <w:r>
        <w:rPr>
          <w:rFonts w:ascii="Arial" w:cs="Arial" w:eastAsia="Arial" w:hAnsi="Arial"/>
          <w:sz w:val="25"/>
          <w:szCs w:val="25"/>
          <w:b w:val="1"/>
          <w:bCs w:val="1"/>
          <w:color w:val="auto"/>
        </w:rPr>
        <w:t>UNITED STATES</w:t>
      </w:r>
    </w:p>
    <w:p>
      <w:pPr>
        <w:spacing w:after="0" w:line="34" w:lineRule="exact"/>
        <w:rPr>
          <w:sz w:val="20"/>
          <w:szCs w:val="20"/>
          <w:color w:val="auto"/>
        </w:rPr>
      </w:pPr>
    </w:p>
    <w:p>
      <w:pPr>
        <w:jc w:val="center"/>
        <w:ind w:right="-859"/>
        <w:spacing w:after="0"/>
        <w:rPr>
          <w:sz w:val="20"/>
          <w:szCs w:val="20"/>
          <w:color w:val="auto"/>
        </w:rPr>
      </w:pPr>
      <w:r>
        <w:rPr>
          <w:rFonts w:ascii="Arial" w:cs="Arial" w:eastAsia="Arial" w:hAnsi="Arial"/>
          <w:sz w:val="25"/>
          <w:szCs w:val="25"/>
          <w:b w:val="1"/>
          <w:bCs w:val="1"/>
          <w:color w:val="auto"/>
        </w:rPr>
        <w:t>SECURITIES AND EXCHANGE COMMISSION</w:t>
      </w:r>
    </w:p>
    <w:p>
      <w:pPr>
        <w:spacing w:after="0" w:line="213" w:lineRule="exact"/>
        <w:rPr>
          <w:sz w:val="20"/>
          <w:szCs w:val="20"/>
          <w:color w:val="auto"/>
        </w:rPr>
      </w:pPr>
    </w:p>
    <w:p>
      <w:pPr>
        <w:jc w:val="center"/>
        <w:ind w:right="-859"/>
        <w:spacing w:after="0"/>
        <w:rPr>
          <w:sz w:val="20"/>
          <w:szCs w:val="20"/>
          <w:color w:val="auto"/>
        </w:rPr>
      </w:pPr>
      <w:r>
        <w:rPr>
          <w:rFonts w:ascii="Arial" w:cs="Arial" w:eastAsia="Arial" w:hAnsi="Arial"/>
          <w:sz w:val="21"/>
          <w:szCs w:val="21"/>
          <w:b w:val="1"/>
          <w:bCs w:val="1"/>
          <w:color w:val="auto"/>
        </w:rPr>
        <w:t>Washington, D.C. 20549</w:t>
      </w:r>
    </w:p>
    <w:p>
      <w:pPr>
        <w:spacing w:after="0" w:line="304" w:lineRule="exact"/>
        <w:rPr>
          <w:sz w:val="20"/>
          <w:szCs w:val="20"/>
          <w:color w:val="auto"/>
        </w:rPr>
      </w:pPr>
    </w:p>
    <w:p>
      <w:pPr>
        <w:ind w:left="4920"/>
        <w:spacing w:after="0"/>
        <w:rPr>
          <w:sz w:val="20"/>
          <w:szCs w:val="20"/>
          <w:color w:val="auto"/>
        </w:rPr>
      </w:pPr>
      <w:r>
        <w:rPr>
          <w:rFonts w:ascii="Arial" w:cs="Arial" w:eastAsia="Arial" w:hAnsi="Arial"/>
          <w:sz w:val="32"/>
          <w:szCs w:val="32"/>
          <w:b w:val="1"/>
          <w:bCs w:val="1"/>
          <w:color w:val="auto"/>
        </w:rPr>
        <w:t>FORM 8-K</w:t>
      </w:r>
    </w:p>
    <w:p>
      <w:pPr>
        <w:spacing w:after="0" w:line="334"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CURRENT REPORT</w:t>
      </w:r>
    </w:p>
    <w:p>
      <w:pPr>
        <w:spacing w:after="0" w:line="193"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PURSUANT TO SECTION 13 OR 15(d) OF</w:t>
      </w:r>
    </w:p>
    <w:p>
      <w:pPr>
        <w:spacing w:after="0" w:line="23"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THE SECURITIES EXCHANGE ACT OF 1934</w:t>
      </w:r>
    </w:p>
    <w:p>
      <w:pPr>
        <w:spacing w:after="0" w:line="162"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August 19, 2004</w:t>
      </w:r>
    </w:p>
    <w:p>
      <w:pPr>
        <w:spacing w:after="0" w:line="23"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Date of report</w:t>
      </w:r>
    </w:p>
    <w:p>
      <w:pPr>
        <w:spacing w:after="0" w:line="168" w:lineRule="exact"/>
        <w:rPr>
          <w:sz w:val="20"/>
          <w:szCs w:val="20"/>
          <w:color w:val="auto"/>
        </w:rPr>
      </w:pPr>
    </w:p>
    <w:p>
      <w:pPr>
        <w:ind w:left="4580"/>
        <w:spacing w:after="0"/>
        <w:rPr>
          <w:sz w:val="20"/>
          <w:szCs w:val="20"/>
          <w:color w:val="auto"/>
        </w:rPr>
      </w:pPr>
      <w:r>
        <w:rPr>
          <w:rFonts w:ascii="Arial" w:cs="Arial" w:eastAsia="Arial" w:hAnsi="Arial"/>
          <w:sz w:val="18"/>
          <w:szCs w:val="18"/>
          <w:color w:val="auto"/>
        </w:rPr>
        <w:t>(Date of earliest event reported)</w:t>
      </w:r>
    </w:p>
    <w:p>
      <w:pPr>
        <w:spacing w:after="0" w:line="200" w:lineRule="exact"/>
        <w:rPr>
          <w:sz w:val="20"/>
          <w:szCs w:val="20"/>
          <w:color w:val="auto"/>
        </w:rPr>
      </w:pPr>
    </w:p>
    <w:p>
      <w:pPr>
        <w:spacing w:after="0" w:line="203" w:lineRule="exact"/>
        <w:rPr>
          <w:sz w:val="20"/>
          <w:szCs w:val="20"/>
          <w:color w:val="auto"/>
        </w:rPr>
      </w:pPr>
    </w:p>
    <w:p>
      <w:pPr>
        <w:jc w:val="right"/>
        <w:ind w:right="820"/>
        <w:spacing w:after="0"/>
        <w:rPr>
          <w:sz w:val="20"/>
          <w:szCs w:val="20"/>
          <w:color w:val="auto"/>
        </w:rPr>
      </w:pPr>
      <w:r>
        <w:rPr>
          <w:rFonts w:ascii="Arial" w:cs="Arial" w:eastAsia="Arial" w:hAnsi="Arial"/>
          <w:sz w:val="43"/>
          <w:szCs w:val="43"/>
          <w:b w:val="1"/>
          <w:bCs w:val="1"/>
          <w:color w:val="auto"/>
        </w:rPr>
        <w:t>MARVELL TECHNOLOGY GROUP LTD.</w:t>
      </w:r>
    </w:p>
    <w:p>
      <w:pPr>
        <w:spacing w:after="0" w:line="200" w:lineRule="exact"/>
        <w:rPr>
          <w:sz w:val="20"/>
          <w:szCs w:val="20"/>
          <w:color w:val="auto"/>
        </w:rPr>
      </w:pPr>
    </w:p>
    <w:p>
      <w:pPr>
        <w:spacing w:after="0" w:line="248" w:lineRule="exact"/>
        <w:rPr>
          <w:sz w:val="20"/>
          <w:szCs w:val="20"/>
          <w:color w:val="auto"/>
        </w:rPr>
      </w:pPr>
    </w:p>
    <w:tbl>
      <w:tblPr>
        <w:tblLayout w:type="fixed"/>
        <w:tblInd w:w="880" w:type="dxa"/>
        <w:tblCellMar>
          <w:top w:w="0" w:type="dxa"/>
          <w:left w:w="0" w:type="dxa"/>
          <w:bottom w:w="0" w:type="dxa"/>
          <w:right w:w="0" w:type="dxa"/>
        </w:tblCellMar>
      </w:tblPr>
      <w:tr>
        <w:trPr>
          <w:trHeight w:val="230"/>
        </w:trPr>
        <w:tc>
          <w:tcPr>
            <w:tcW w:w="2740" w:type="dxa"/>
            <w:vAlign w:val="bottom"/>
          </w:tcPr>
          <w:p>
            <w:pPr>
              <w:spacing w:after="0"/>
              <w:rPr>
                <w:sz w:val="20"/>
                <w:szCs w:val="20"/>
                <w:color w:val="auto"/>
              </w:rPr>
            </w:pPr>
          </w:p>
        </w:tc>
        <w:tc>
          <w:tcPr>
            <w:tcW w:w="6940" w:type="dxa"/>
            <w:vAlign w:val="bottom"/>
            <w:gridSpan w:val="5"/>
          </w:tcPr>
          <w:p>
            <w:pPr>
              <w:jc w:val="center"/>
              <w:ind w:right="2651"/>
              <w:spacing w:after="0"/>
              <w:rPr>
                <w:sz w:val="20"/>
                <w:szCs w:val="20"/>
                <w:color w:val="auto"/>
              </w:rPr>
            </w:pPr>
            <w:r>
              <w:rPr>
                <w:rFonts w:ascii="Arial" w:cs="Arial" w:eastAsia="Arial" w:hAnsi="Arial"/>
                <w:sz w:val="18"/>
                <w:szCs w:val="18"/>
                <w:b w:val="1"/>
                <w:bCs w:val="1"/>
                <w:color w:val="auto"/>
                <w:w w:val="88"/>
              </w:rPr>
              <w:t>(Exact name of registrant as specified in its charter)</w:t>
            </w:r>
          </w:p>
        </w:tc>
      </w:tr>
      <w:tr>
        <w:trPr>
          <w:trHeight w:val="434"/>
        </w:trPr>
        <w:tc>
          <w:tcPr>
            <w:tcW w:w="2740" w:type="dxa"/>
            <w:vAlign w:val="bottom"/>
          </w:tcPr>
          <w:p>
            <w:pPr>
              <w:jc w:val="center"/>
              <w:ind w:left="171"/>
              <w:spacing w:after="0"/>
              <w:rPr>
                <w:sz w:val="20"/>
                <w:szCs w:val="20"/>
                <w:color w:val="auto"/>
              </w:rPr>
            </w:pPr>
            <w:r>
              <w:rPr>
                <w:rFonts w:ascii="Arial" w:cs="Arial" w:eastAsia="Arial" w:hAnsi="Arial"/>
                <w:sz w:val="18"/>
                <w:szCs w:val="18"/>
                <w:b w:val="1"/>
                <w:bCs w:val="1"/>
                <w:color w:val="auto"/>
                <w:w w:val="92"/>
              </w:rPr>
              <w:t>Bermuda</w:t>
            </w:r>
          </w:p>
        </w:tc>
        <w:tc>
          <w:tcPr>
            <w:tcW w:w="3600" w:type="dxa"/>
            <w:vAlign w:val="bottom"/>
            <w:gridSpan w:val="3"/>
          </w:tcPr>
          <w:p>
            <w:pPr>
              <w:jc w:val="center"/>
              <w:ind w:left="471"/>
              <w:spacing w:after="0"/>
              <w:rPr>
                <w:sz w:val="20"/>
                <w:szCs w:val="20"/>
                <w:color w:val="auto"/>
              </w:rPr>
            </w:pPr>
            <w:r>
              <w:rPr>
                <w:rFonts w:ascii="Arial" w:cs="Arial" w:eastAsia="Arial" w:hAnsi="Arial"/>
                <w:sz w:val="18"/>
                <w:szCs w:val="18"/>
                <w:b w:val="1"/>
                <w:bCs w:val="1"/>
                <w:color w:val="auto"/>
                <w:w w:val="90"/>
              </w:rPr>
              <w:t>0-30877</w:t>
            </w:r>
          </w:p>
        </w:tc>
        <w:tc>
          <w:tcPr>
            <w:tcW w:w="3340" w:type="dxa"/>
            <w:vAlign w:val="bottom"/>
            <w:gridSpan w:val="2"/>
          </w:tcPr>
          <w:p>
            <w:pPr>
              <w:jc w:val="right"/>
              <w:ind w:right="1011"/>
              <w:spacing w:after="0"/>
              <w:rPr>
                <w:sz w:val="20"/>
                <w:szCs w:val="20"/>
                <w:color w:val="auto"/>
              </w:rPr>
            </w:pPr>
            <w:r>
              <w:rPr>
                <w:rFonts w:ascii="Arial" w:cs="Arial" w:eastAsia="Arial" w:hAnsi="Arial"/>
                <w:sz w:val="18"/>
                <w:szCs w:val="18"/>
                <w:b w:val="1"/>
                <w:bCs w:val="1"/>
                <w:color w:val="auto"/>
              </w:rPr>
              <w:t>77-0481679</w:t>
            </w:r>
          </w:p>
        </w:tc>
      </w:tr>
      <w:tr>
        <w:trPr>
          <w:trHeight w:val="228"/>
        </w:trPr>
        <w:tc>
          <w:tcPr>
            <w:tcW w:w="2740" w:type="dxa"/>
            <w:vAlign w:val="bottom"/>
            <w:tcBorders>
              <w:top w:val="single" w:sz="8" w:color="808080"/>
            </w:tcBorders>
          </w:tcPr>
          <w:p>
            <w:pPr>
              <w:jc w:val="center"/>
              <w:ind w:left="191"/>
              <w:spacing w:after="0"/>
              <w:rPr>
                <w:sz w:val="20"/>
                <w:szCs w:val="20"/>
                <w:color w:val="auto"/>
              </w:rPr>
            </w:pPr>
            <w:r>
              <w:rPr>
                <w:rFonts w:ascii="Arial" w:cs="Arial" w:eastAsia="Arial" w:hAnsi="Arial"/>
                <w:sz w:val="18"/>
                <w:szCs w:val="18"/>
                <w:b w:val="1"/>
                <w:bCs w:val="1"/>
                <w:color w:val="auto"/>
                <w:w w:val="89"/>
              </w:rPr>
              <w:t>(State or other jurisdiction of</w:t>
            </w:r>
          </w:p>
        </w:tc>
        <w:tc>
          <w:tcPr>
            <w:tcW w:w="280" w:type="dxa"/>
            <w:vAlign w:val="bottom"/>
            <w:tcBorders>
              <w:top w:val="single" w:sz="8" w:color="808080"/>
            </w:tcBorders>
          </w:tcPr>
          <w:p>
            <w:pPr>
              <w:spacing w:after="0"/>
              <w:rPr>
                <w:sz w:val="19"/>
                <w:szCs w:val="19"/>
                <w:color w:val="auto"/>
              </w:rPr>
            </w:pPr>
          </w:p>
        </w:tc>
        <w:tc>
          <w:tcPr>
            <w:tcW w:w="280" w:type="dxa"/>
            <w:vAlign w:val="bottom"/>
          </w:tcPr>
          <w:p>
            <w:pPr>
              <w:spacing w:after="0"/>
              <w:rPr>
                <w:sz w:val="19"/>
                <w:szCs w:val="19"/>
                <w:color w:val="auto"/>
              </w:rPr>
            </w:pPr>
          </w:p>
        </w:tc>
        <w:tc>
          <w:tcPr>
            <w:tcW w:w="3040" w:type="dxa"/>
            <w:vAlign w:val="bottom"/>
            <w:tcBorders>
              <w:top w:val="single" w:sz="8" w:color="808080"/>
            </w:tcBorders>
          </w:tcPr>
          <w:p>
            <w:pPr>
              <w:jc w:val="center"/>
              <w:spacing w:after="0"/>
              <w:rPr>
                <w:sz w:val="20"/>
                <w:szCs w:val="20"/>
                <w:color w:val="auto"/>
              </w:rPr>
            </w:pPr>
            <w:r>
              <w:rPr>
                <w:rFonts w:ascii="Arial" w:cs="Arial" w:eastAsia="Arial" w:hAnsi="Arial"/>
                <w:sz w:val="18"/>
                <w:szCs w:val="18"/>
                <w:b w:val="1"/>
                <w:bCs w:val="1"/>
                <w:color w:val="auto"/>
                <w:w w:val="89"/>
              </w:rPr>
              <w:t>(Commission File Number)</w:t>
            </w:r>
          </w:p>
        </w:tc>
        <w:tc>
          <w:tcPr>
            <w:tcW w:w="280" w:type="dxa"/>
            <w:vAlign w:val="bottom"/>
          </w:tcPr>
          <w:p>
            <w:pPr>
              <w:spacing w:after="0"/>
              <w:rPr>
                <w:sz w:val="19"/>
                <w:szCs w:val="19"/>
                <w:color w:val="auto"/>
              </w:rPr>
            </w:pPr>
          </w:p>
        </w:tc>
        <w:tc>
          <w:tcPr>
            <w:tcW w:w="3060" w:type="dxa"/>
            <w:vAlign w:val="bottom"/>
            <w:tcBorders>
              <w:top w:val="single" w:sz="8" w:color="808080"/>
            </w:tcBorders>
          </w:tcPr>
          <w:p>
            <w:pPr>
              <w:jc w:val="center"/>
              <w:spacing w:after="0"/>
              <w:rPr>
                <w:sz w:val="20"/>
                <w:szCs w:val="20"/>
                <w:color w:val="auto"/>
              </w:rPr>
            </w:pPr>
            <w:r>
              <w:rPr>
                <w:rFonts w:ascii="Arial" w:cs="Arial" w:eastAsia="Arial" w:hAnsi="Arial"/>
                <w:sz w:val="18"/>
                <w:szCs w:val="18"/>
                <w:b w:val="1"/>
                <w:bCs w:val="1"/>
                <w:color w:val="auto"/>
                <w:w w:val="91"/>
              </w:rPr>
              <w:t>(I.R.S. Employer Identification No.)</w:t>
            </w:r>
          </w:p>
        </w:tc>
      </w:tr>
    </w:tbl>
    <w:p>
      <w:pPr>
        <w:ind w:left="1220"/>
        <w:spacing w:after="0"/>
        <w:rPr>
          <w:sz w:val="20"/>
          <w:szCs w:val="20"/>
          <w:color w:val="auto"/>
        </w:rPr>
      </w:pPr>
      <w:r>
        <w:rPr>
          <w:rFonts w:ascii="Arial" w:cs="Arial" w:eastAsia="Arial" w:hAnsi="Arial"/>
          <w:sz w:val="18"/>
          <w:szCs w:val="18"/>
          <w:b w:val="1"/>
          <w:bCs w:val="1"/>
          <w:color w:val="auto"/>
        </w:rPr>
        <w:t>incorporation or organization)</w:t>
      </w:r>
    </w:p>
    <w:p>
      <w:pPr>
        <w:spacing w:after="0" w:line="173"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Canon’s Court</w:t>
      </w:r>
    </w:p>
    <w:p>
      <w:pPr>
        <w:spacing w:after="0" w:line="23"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22 Victoria Street</w:t>
      </w:r>
    </w:p>
    <w:p>
      <w:pPr>
        <w:spacing w:after="0" w:line="6"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Hamilton HM 12</w:t>
      </w:r>
    </w:p>
    <w:p>
      <w:pPr>
        <w:spacing w:after="0" w:line="6"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Bermuda</w:t>
      </w:r>
    </w:p>
    <w:p>
      <w:pPr>
        <w:spacing w:after="0" w:line="162"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(Address of principal executive offices) (Zip Code)</w:t>
      </w:r>
    </w:p>
    <w:p>
      <w:pPr>
        <w:spacing w:after="0" w:line="179"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Registrant’s telephone number, including area code: (441) 296-6395</w:t>
      </w:r>
    </w:p>
    <w:p>
      <w:pPr>
        <w:spacing w:after="0" w:line="193"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N/A</w:t>
      </w:r>
    </w:p>
    <w:p>
      <w:pPr>
        <w:spacing w:after="0" w:line="179" w:lineRule="exact"/>
        <w:rPr>
          <w:sz w:val="20"/>
          <w:szCs w:val="20"/>
          <w:color w:val="auto"/>
        </w:rPr>
      </w:pPr>
    </w:p>
    <w:p>
      <w:pPr>
        <w:jc w:val="center"/>
        <w:ind w:right="-859"/>
        <w:spacing w:after="0"/>
        <w:rPr>
          <w:sz w:val="20"/>
          <w:szCs w:val="20"/>
          <w:color w:val="auto"/>
        </w:rPr>
      </w:pPr>
      <w:r>
        <w:rPr>
          <w:rFonts w:ascii="Arial" w:cs="Arial" w:eastAsia="Arial" w:hAnsi="Arial"/>
          <w:sz w:val="18"/>
          <w:szCs w:val="18"/>
          <w:b w:val="1"/>
          <w:bCs w:val="1"/>
          <w:color w:val="auto"/>
        </w:rPr>
        <w:t>(Former name and former address, if changed since last report)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123190</wp:posOffset>
            </wp:positionV>
            <wp:extent cx="7252970" cy="381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52970" cy="3810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537845</wp:posOffset>
            </wp:positionV>
            <wp:extent cx="7252970" cy="209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52970" cy="20955"/>
                    </a:xfrm>
                    <a:prstGeom prst="rect">
                      <a:avLst/>
                    </a:prstGeom>
                    <a:noFill/>
                  </pic:spPr>
                </pic:pic>
              </a:graphicData>
            </a:graphic>
          </wp:anchor>
        </w:drawing>
      </w:r>
    </w:p>
    <w:p>
      <w:pPr>
        <w:sectPr>
          <w:pgSz w:w="11900" w:h="16838" w:orient="portrait"/>
          <w:cols w:equalWidth="0" w:num="1">
            <w:col w:w="10560"/>
          </w:cols>
          <w:pgMar w:left="240" w:top="122" w:right="1099" w:bottom="1440" w:gutter="0" w:footer="0" w:header="0"/>
        </w:sectPr>
      </w:pPr>
    </w:p>
    <w:bookmarkStart w:id="2" w:name="page3"/>
    <w:bookmarkEnd w:id="2"/>
    <w:p>
      <w:pPr>
        <w:ind w:left="4000"/>
        <w:spacing w:after="0"/>
        <w:rPr>
          <w:sz w:val="20"/>
          <w:szCs w:val="20"/>
          <w:color w:val="auto"/>
        </w:rPr>
      </w:pPr>
      <w:r>
        <w:rPr>
          <w:rFonts w:ascii="Arial" w:cs="Arial" w:eastAsia="Arial" w:hAnsi="Arial"/>
          <w:sz w:val="21"/>
          <w:szCs w:val="21"/>
          <w:b w:val="1"/>
          <w:bCs w:val="1"/>
          <w:u w:val="single" w:color="auto"/>
          <w:color w:val="auto"/>
        </w:rPr>
        <w:t>TABLE OF CONTENTS</w:t>
      </w:r>
    </w:p>
    <w:p>
      <w:pPr>
        <w:spacing w:after="0" w:line="218" w:lineRule="exact"/>
        <w:rPr>
          <w:sz w:val="20"/>
          <w:szCs w:val="20"/>
          <w:color w:val="auto"/>
        </w:rPr>
      </w:pPr>
    </w:p>
    <w:p>
      <w:pPr>
        <w:ind w:left="320"/>
        <w:spacing w:after="0"/>
        <w:rPr>
          <w:rFonts w:ascii="Arial" w:cs="Arial" w:eastAsia="Arial" w:hAnsi="Arial"/>
          <w:sz w:val="21"/>
          <w:szCs w:val="21"/>
          <w:u w:val="single" w:color="auto"/>
          <w:color w:val="0000EE"/>
        </w:rPr>
      </w:pPr>
      <w:hyperlink w:anchor="page4">
        <w:r>
          <w:rPr>
            <w:rFonts w:ascii="Arial" w:cs="Arial" w:eastAsia="Arial" w:hAnsi="Arial"/>
            <w:sz w:val="21"/>
            <w:szCs w:val="21"/>
            <w:u w:val="single" w:color="auto"/>
            <w:color w:val="0000EE"/>
          </w:rPr>
          <w:t>Item 12. Results of Operations and Financial Condition.</w:t>
        </w:r>
      </w:hyperlink>
    </w:p>
    <w:p>
      <w:pPr>
        <w:spacing w:after="0" w:line="15" w:lineRule="exact"/>
        <w:rPr>
          <w:sz w:val="20"/>
          <w:szCs w:val="20"/>
          <w:color w:val="auto"/>
        </w:rPr>
      </w:pPr>
    </w:p>
    <w:p>
      <w:pPr>
        <w:spacing w:after="0"/>
        <w:rPr>
          <w:rFonts w:ascii="Arial" w:cs="Arial" w:eastAsia="Arial" w:hAnsi="Arial"/>
          <w:sz w:val="21"/>
          <w:szCs w:val="21"/>
          <w:u w:val="single" w:color="auto"/>
          <w:color w:val="0000EE"/>
        </w:rPr>
      </w:pPr>
      <w:hyperlink w:anchor="page5">
        <w:r>
          <w:rPr>
            <w:rFonts w:ascii="Arial" w:cs="Arial" w:eastAsia="Arial" w:hAnsi="Arial"/>
            <w:sz w:val="21"/>
            <w:szCs w:val="21"/>
            <w:u w:val="single" w:color="auto"/>
            <w:color w:val="0000EE"/>
          </w:rPr>
          <w:t>SIGNATURE</w:t>
        </w:r>
      </w:hyperlink>
    </w:p>
    <w:p>
      <w:pPr>
        <w:spacing w:after="0"/>
        <w:rPr>
          <w:sz w:val="20"/>
          <w:szCs w:val="20"/>
          <w:color w:val="auto"/>
        </w:rPr>
      </w:pPr>
      <w:r>
        <w:rPr>
          <w:rFonts w:ascii="Arial" w:cs="Arial" w:eastAsia="Arial" w:hAnsi="Arial"/>
          <w:sz w:val="21"/>
          <w:szCs w:val="21"/>
          <w:u w:val="single" w:color="auto"/>
          <w:color w:val="0000EE"/>
        </w:rPr>
        <w:t>EXHIBIT 99.1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-365760</wp:posOffset>
            </wp:positionH>
            <wp:positionV relativeFrom="paragraph">
              <wp:posOffset>133985</wp:posOffset>
            </wp:positionV>
            <wp:extent cx="7252970" cy="209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52970" cy="20955"/>
                    </a:xfrm>
                    <a:prstGeom prst="rect">
                      <a:avLst/>
                    </a:prstGeom>
                    <a:noFill/>
                  </pic:spPr>
                </pic:pic>
              </a:graphicData>
            </a:graphic>
          </wp:anchor>
        </w:drawing>
      </w:r>
    </w:p>
    <w:p>
      <w:pPr>
        <w:sectPr>
          <w:pgSz w:w="11900" w:h="16838" w:orient="portrait"/>
          <w:cols w:equalWidth="0" w:num="1">
            <w:col w:w="9639"/>
          </w:cols>
          <w:pgMar w:left="820" w:top="111" w:right="1440" w:bottom="1440" w:gutter="0" w:footer="0" w:header="0"/>
        </w:sectPr>
      </w:pPr>
    </w:p>
    <w:bookmarkStart w:id="3" w:name="page4"/>
    <w:bookmarkEnd w:id="3"/>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Item 12. Results of Operations and Financial Condition.</w:t>
      </w:r>
    </w:p>
    <w:p>
      <w:pPr>
        <w:spacing w:after="0" w:line="199" w:lineRule="exact"/>
        <w:rPr>
          <w:sz w:val="20"/>
          <w:szCs w:val="20"/>
          <w:color w:val="auto"/>
        </w:rPr>
      </w:pPr>
    </w:p>
    <w:p>
      <w:pPr>
        <w:jc w:val="both"/>
        <w:ind w:right="80" w:firstLine="219"/>
        <w:spacing w:after="0" w:line="279" w:lineRule="auto"/>
        <w:rPr>
          <w:sz w:val="20"/>
          <w:szCs w:val="20"/>
          <w:color w:val="auto"/>
        </w:rPr>
      </w:pPr>
      <w:r>
        <w:rPr>
          <w:rFonts w:ascii="Arial" w:cs="Arial" w:eastAsia="Arial" w:hAnsi="Arial"/>
          <w:sz w:val="17"/>
          <w:szCs w:val="17"/>
          <w:color w:val="auto"/>
        </w:rPr>
        <w:t>The information in this Current Report is being furnished and shall not be deemed “filed” for purposes of Section 18 of the Securities Exchange Act of 1934 (the “Exchange Act”), or otherwise subject to the liabilities of that Section. The information in this Current Report shall not be incorporated by reference in any filing under the Securities Act of 1933 or the Exchange Act, except as shall be expressly set forth by specific reference in such a filing.</w:t>
      </w:r>
    </w:p>
    <w:p>
      <w:pPr>
        <w:spacing w:after="0" w:line="131" w:lineRule="exact"/>
        <w:rPr>
          <w:sz w:val="20"/>
          <w:szCs w:val="20"/>
          <w:color w:val="auto"/>
        </w:rPr>
      </w:pPr>
    </w:p>
    <w:p>
      <w:pPr>
        <w:ind w:right="340" w:firstLine="222"/>
        <w:spacing w:after="0" w:line="267" w:lineRule="auto"/>
        <w:rPr>
          <w:sz w:val="20"/>
          <w:szCs w:val="20"/>
          <w:color w:val="auto"/>
        </w:rPr>
      </w:pPr>
      <w:r>
        <w:rPr>
          <w:rFonts w:ascii="Arial" w:cs="Arial" w:eastAsia="Arial" w:hAnsi="Arial"/>
          <w:sz w:val="18"/>
          <w:szCs w:val="18"/>
          <w:color w:val="auto"/>
        </w:rPr>
        <w:t>On August 19, 2004, Marvell Technology Group, Ltd. (“Marvell”) issued a press release regarding its financial results for its second fiscal quarter ended July 31, 2004. The full text of Marvell’s press release is furnished herewith as Exhibit 99.1.</w:t>
      </w:r>
    </w:p>
    <w:p>
      <w:pPr>
        <w:spacing w:after="0" w:line="139" w:lineRule="exact"/>
        <w:rPr>
          <w:sz w:val="20"/>
          <w:szCs w:val="20"/>
          <w:color w:val="auto"/>
        </w:rPr>
      </w:pPr>
    </w:p>
    <w:p>
      <w:pPr>
        <w:jc w:val="both"/>
        <w:ind w:right="60" w:firstLine="219"/>
        <w:spacing w:after="0" w:line="304" w:lineRule="auto"/>
        <w:rPr>
          <w:sz w:val="20"/>
          <w:szCs w:val="20"/>
          <w:color w:val="auto"/>
        </w:rPr>
      </w:pPr>
      <w:r>
        <w:rPr>
          <w:rFonts w:ascii="Arial" w:cs="Arial" w:eastAsia="Arial" w:hAnsi="Arial"/>
          <w:sz w:val="16"/>
          <w:szCs w:val="16"/>
          <w:color w:val="auto"/>
        </w:rPr>
        <w:t>The following non-GAAP financial measures are included in the press release: pro forma net income and basic and diluted net income per share. These non-GAAP measures exclude the effects of acquisition-related expenses, amortization of stock-based compensation and charges related to facilities consolidation. A reconciliation to the most directly comparable GAAP measure is included in the financial statements portion of the press release.</w:t>
      </w:r>
    </w:p>
    <w:p>
      <w:pPr>
        <w:spacing w:after="0" w:line="127" w:lineRule="exact"/>
        <w:rPr>
          <w:sz w:val="20"/>
          <w:szCs w:val="20"/>
          <w:color w:val="auto"/>
        </w:rPr>
      </w:pPr>
    </w:p>
    <w:p>
      <w:pPr>
        <w:ind w:right="300" w:firstLine="222"/>
        <w:spacing w:after="0" w:line="304" w:lineRule="auto"/>
        <w:rPr>
          <w:sz w:val="20"/>
          <w:szCs w:val="20"/>
          <w:color w:val="auto"/>
        </w:rPr>
      </w:pPr>
      <w:r>
        <w:rPr>
          <w:rFonts w:ascii="Arial" w:cs="Arial" w:eastAsia="Arial" w:hAnsi="Arial"/>
          <w:sz w:val="16"/>
          <w:szCs w:val="16"/>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pacing w:after="0" w:line="316"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2580" w:type="dxa"/>
            <w:vAlign w:val="bottom"/>
          </w:tcPr>
          <w:p>
            <w:pPr>
              <w:spacing w:after="0"/>
              <w:rPr>
                <w:sz w:val="16"/>
                <w:szCs w:val="16"/>
                <w:color w:val="auto"/>
              </w:rPr>
            </w:pPr>
          </w:p>
        </w:tc>
        <w:tc>
          <w:tcPr>
            <w:tcW w:w="68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20" w:type="dxa"/>
            <w:vAlign w:val="bottom"/>
          </w:tcPr>
          <w:p>
            <w:pPr>
              <w:spacing w:after="0"/>
              <w:rPr>
                <w:sz w:val="16"/>
                <w:szCs w:val="16"/>
                <w:color w:val="auto"/>
              </w:rPr>
            </w:pPr>
          </w:p>
        </w:tc>
        <w:tc>
          <w:tcPr>
            <w:tcW w:w="5280" w:type="dxa"/>
            <w:vAlign w:val="bottom"/>
          </w:tcPr>
          <w:p>
            <w:pPr>
              <w:ind w:left="2280"/>
              <w:spacing w:after="0"/>
              <w:rPr>
                <w:sz w:val="20"/>
                <w:szCs w:val="20"/>
                <w:color w:val="auto"/>
              </w:rPr>
            </w:pPr>
            <w:r>
              <w:rPr>
                <w:rFonts w:ascii="Arial" w:cs="Arial" w:eastAsia="Arial" w:hAnsi="Arial"/>
                <w:sz w:val="14"/>
                <w:szCs w:val="14"/>
                <w:b w:val="1"/>
                <w:bCs w:val="1"/>
                <w:color w:val="auto"/>
              </w:rPr>
              <w:t>Description</w:t>
            </w:r>
          </w:p>
        </w:tc>
        <w:tc>
          <w:tcPr>
            <w:tcW w:w="2560" w:type="dxa"/>
            <w:vAlign w:val="bottom"/>
          </w:tcPr>
          <w:p>
            <w:pPr>
              <w:spacing w:after="0"/>
              <w:rPr>
                <w:sz w:val="16"/>
                <w:szCs w:val="16"/>
                <w:color w:val="auto"/>
              </w:rPr>
            </w:pPr>
          </w:p>
        </w:tc>
      </w:tr>
      <w:tr>
        <w:trPr>
          <w:trHeight w:val="51"/>
        </w:trPr>
        <w:tc>
          <w:tcPr>
            <w:tcW w:w="2580" w:type="dxa"/>
            <w:vAlign w:val="bottom"/>
          </w:tcPr>
          <w:p>
            <w:pPr>
              <w:spacing w:after="0"/>
              <w:rPr>
                <w:sz w:val="4"/>
                <w:szCs w:val="4"/>
                <w:color w:val="auto"/>
              </w:rPr>
            </w:pPr>
          </w:p>
        </w:tc>
        <w:tc>
          <w:tcPr>
            <w:tcW w:w="68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5280" w:type="dxa"/>
            <w:vAlign w:val="bottom"/>
            <w:tcBorders>
              <w:bottom w:val="single" w:sz="8" w:color="808080"/>
            </w:tcBorders>
          </w:tcPr>
          <w:p>
            <w:pPr>
              <w:spacing w:after="0"/>
              <w:rPr>
                <w:sz w:val="4"/>
                <w:szCs w:val="4"/>
                <w:color w:val="auto"/>
              </w:rPr>
            </w:pPr>
          </w:p>
        </w:tc>
        <w:tc>
          <w:tcPr>
            <w:tcW w:w="2560" w:type="dxa"/>
            <w:vAlign w:val="bottom"/>
          </w:tcPr>
          <w:p>
            <w:pPr>
              <w:spacing w:after="0"/>
              <w:rPr>
                <w:sz w:val="4"/>
                <w:szCs w:val="4"/>
                <w:color w:val="auto"/>
              </w:rPr>
            </w:pPr>
          </w:p>
        </w:tc>
      </w:tr>
      <w:tr>
        <w:trPr>
          <w:trHeight w:val="285"/>
        </w:trPr>
        <w:tc>
          <w:tcPr>
            <w:tcW w:w="2580" w:type="dxa"/>
            <w:vAlign w:val="bottom"/>
          </w:tcPr>
          <w:p>
            <w:pPr>
              <w:spacing w:after="0"/>
              <w:rPr>
                <w:sz w:val="24"/>
                <w:szCs w:val="24"/>
                <w:color w:val="auto"/>
              </w:rPr>
            </w:pPr>
          </w:p>
        </w:tc>
        <w:tc>
          <w:tcPr>
            <w:tcW w:w="680" w:type="dxa"/>
            <w:vAlign w:val="bottom"/>
          </w:tcPr>
          <w:p>
            <w:pPr>
              <w:spacing w:after="0"/>
              <w:rPr>
                <w:sz w:val="20"/>
                <w:szCs w:val="20"/>
                <w:color w:val="auto"/>
              </w:rPr>
            </w:pPr>
            <w:r>
              <w:rPr>
                <w:rFonts w:ascii="Arial" w:cs="Arial" w:eastAsia="Arial" w:hAnsi="Arial"/>
                <w:sz w:val="18"/>
                <w:szCs w:val="18"/>
                <w:color w:val="auto"/>
              </w:rPr>
              <w:t>99.1</w:t>
            </w:r>
          </w:p>
        </w:tc>
        <w:tc>
          <w:tcPr>
            <w:tcW w:w="320" w:type="dxa"/>
            <w:vAlign w:val="bottom"/>
          </w:tcPr>
          <w:p>
            <w:pPr>
              <w:spacing w:after="0"/>
              <w:rPr>
                <w:sz w:val="24"/>
                <w:szCs w:val="24"/>
                <w:color w:val="auto"/>
              </w:rPr>
            </w:pPr>
          </w:p>
        </w:tc>
        <w:tc>
          <w:tcPr>
            <w:tcW w:w="5280" w:type="dxa"/>
            <w:vAlign w:val="bottom"/>
          </w:tcPr>
          <w:p>
            <w:pPr>
              <w:spacing w:after="0"/>
              <w:rPr>
                <w:sz w:val="20"/>
                <w:szCs w:val="20"/>
                <w:color w:val="auto"/>
              </w:rPr>
            </w:pPr>
            <w:r>
              <w:rPr>
                <w:rFonts w:ascii="Arial" w:cs="Arial" w:eastAsia="Arial" w:hAnsi="Arial"/>
                <w:sz w:val="18"/>
                <w:szCs w:val="18"/>
                <w:color w:val="auto"/>
              </w:rPr>
              <w:t>Press Release dated August 19, 2004.</w:t>
            </w:r>
          </w:p>
        </w:tc>
        <w:tc>
          <w:tcPr>
            <w:tcW w:w="2560" w:type="dxa"/>
            <w:vAlign w:val="bottom"/>
          </w:tcPr>
          <w:p>
            <w:pPr>
              <w:spacing w:after="0"/>
              <w:rPr>
                <w:sz w:val="24"/>
                <w:szCs w:val="24"/>
                <w:color w:val="auto"/>
              </w:rPr>
            </w:pPr>
          </w:p>
        </w:tc>
      </w:tr>
      <w:tr>
        <w:trPr>
          <w:trHeight w:val="611"/>
        </w:trPr>
        <w:tc>
          <w:tcPr>
            <w:tcW w:w="2580" w:type="dxa"/>
            <w:vAlign w:val="bottom"/>
            <w:tcBorders>
              <w:bottom w:val="single" w:sz="8" w:color="808080"/>
            </w:tcBorders>
          </w:tcPr>
          <w:p>
            <w:pPr>
              <w:spacing w:after="0"/>
              <w:rPr>
                <w:sz w:val="24"/>
                <w:szCs w:val="24"/>
                <w:color w:val="auto"/>
              </w:rPr>
            </w:pPr>
          </w:p>
        </w:tc>
        <w:tc>
          <w:tcPr>
            <w:tcW w:w="680" w:type="dxa"/>
            <w:vAlign w:val="bottom"/>
            <w:tcBorders>
              <w:bottom w:val="single" w:sz="8" w:color="808080"/>
            </w:tcBorders>
          </w:tcPr>
          <w:p>
            <w:pPr>
              <w:spacing w:after="0"/>
              <w:rPr>
                <w:sz w:val="24"/>
                <w:szCs w:val="24"/>
                <w:color w:val="auto"/>
              </w:rPr>
            </w:pPr>
          </w:p>
        </w:tc>
        <w:tc>
          <w:tcPr>
            <w:tcW w:w="320" w:type="dxa"/>
            <w:vAlign w:val="bottom"/>
            <w:tcBorders>
              <w:bottom w:val="single" w:sz="8" w:color="808080"/>
            </w:tcBorders>
          </w:tcPr>
          <w:p>
            <w:pPr>
              <w:spacing w:after="0"/>
              <w:rPr>
                <w:sz w:val="24"/>
                <w:szCs w:val="24"/>
                <w:color w:val="auto"/>
              </w:rPr>
            </w:pPr>
          </w:p>
        </w:tc>
        <w:tc>
          <w:tcPr>
            <w:tcW w:w="5280" w:type="dxa"/>
            <w:vAlign w:val="bottom"/>
            <w:tcBorders>
              <w:bottom w:val="single" w:sz="8" w:color="808080"/>
            </w:tcBorders>
          </w:tcPr>
          <w:p>
            <w:pPr>
              <w:spacing w:after="0"/>
              <w:rPr>
                <w:sz w:val="24"/>
                <w:szCs w:val="24"/>
                <w:color w:val="auto"/>
              </w:rPr>
            </w:pPr>
          </w:p>
        </w:tc>
        <w:tc>
          <w:tcPr>
            <w:tcW w:w="256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7242175</wp:posOffset>
            </wp:positionH>
            <wp:positionV relativeFrom="paragraph">
              <wp:posOffset>-13970</wp:posOffset>
            </wp:positionV>
            <wp:extent cx="1270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270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-13970</wp:posOffset>
            </wp:positionV>
            <wp:extent cx="1270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8255"/>
                    </a:xfrm>
                    <a:prstGeom prst="rect">
                      <a:avLst/>
                    </a:prstGeom>
                    <a:noFill/>
                  </pic:spPr>
                </pic:pic>
              </a:graphicData>
            </a:graphic>
          </wp:anchor>
        </w:drawing>
      </w:r>
    </w:p>
    <w:p>
      <w:pPr>
        <w:sectPr>
          <w:pgSz w:w="11900" w:h="16838" w:orient="portrait"/>
          <w:cols w:equalWidth="0" w:num="1">
            <w:col w:w="11420"/>
          </w:cols>
          <w:pgMar w:left="240" w:top="415" w:right="239" w:bottom="1440" w:gutter="0" w:footer="0" w:header="0"/>
        </w:sectPr>
      </w:pPr>
    </w:p>
    <w:bookmarkStart w:id="4" w:name="page5"/>
    <w:bookmarkEnd w:id="4"/>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299" w:lineRule="exact"/>
        <w:rPr>
          <w:sz w:val="20"/>
          <w:szCs w:val="20"/>
          <w:color w:val="auto"/>
        </w:rPr>
      </w:pPr>
    </w:p>
    <w:p>
      <w:pPr>
        <w:jc w:val="center"/>
        <w:ind w:right="-79"/>
        <w:spacing w:after="0"/>
        <w:rPr>
          <w:sz w:val="20"/>
          <w:szCs w:val="20"/>
          <w:color w:val="auto"/>
        </w:rPr>
      </w:pPr>
      <w:r>
        <w:rPr>
          <w:rFonts w:ascii="Arial" w:cs="Arial" w:eastAsia="Arial" w:hAnsi="Arial"/>
          <w:sz w:val="18"/>
          <w:szCs w:val="18"/>
          <w:b w:val="1"/>
          <w:bCs w:val="1"/>
          <w:color w:val="auto"/>
        </w:rPr>
        <w:t>SIGNATURE</w:t>
      </w:r>
    </w:p>
    <w:p>
      <w:pPr>
        <w:spacing w:after="0" w:line="199" w:lineRule="exact"/>
        <w:rPr>
          <w:sz w:val="20"/>
          <w:szCs w:val="20"/>
          <w:color w:val="auto"/>
        </w:rPr>
      </w:pPr>
    </w:p>
    <w:p>
      <w:pPr>
        <w:ind w:firstLine="222"/>
        <w:spacing w:after="0" w:line="26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39" w:lineRule="exact"/>
        <w:rPr>
          <w:sz w:val="20"/>
          <w:szCs w:val="20"/>
          <w:color w:val="auto"/>
        </w:rPr>
      </w:pPr>
    </w:p>
    <w:p>
      <w:pPr>
        <w:spacing w:after="0"/>
        <w:rPr>
          <w:sz w:val="20"/>
          <w:szCs w:val="20"/>
          <w:color w:val="auto"/>
        </w:rPr>
      </w:pPr>
      <w:r>
        <w:rPr>
          <w:rFonts w:ascii="Arial" w:cs="Arial" w:eastAsia="Arial" w:hAnsi="Arial"/>
          <w:sz w:val="18"/>
          <w:szCs w:val="18"/>
          <w:color w:val="auto"/>
        </w:rPr>
        <w:t>Date: August 19, 2004.</w:t>
      </w:r>
    </w:p>
    <w:p>
      <w:pPr>
        <w:spacing w:after="0" w:line="213" w:lineRule="exact"/>
        <w:rPr>
          <w:sz w:val="20"/>
          <w:szCs w:val="20"/>
          <w:color w:val="auto"/>
        </w:rPr>
      </w:pPr>
    </w:p>
    <w:p>
      <w:pPr>
        <w:ind w:left="5360"/>
        <w:spacing w:after="0"/>
        <w:rPr>
          <w:sz w:val="20"/>
          <w:szCs w:val="20"/>
          <w:color w:val="auto"/>
        </w:rPr>
      </w:pPr>
      <w:r>
        <w:rPr>
          <w:rFonts w:ascii="Arial" w:cs="Arial" w:eastAsia="Arial" w:hAnsi="Arial"/>
          <w:sz w:val="18"/>
          <w:szCs w:val="18"/>
          <w:b w:val="1"/>
          <w:bCs w:val="1"/>
          <w:color w:val="auto"/>
        </w:rPr>
        <w:t>MARVELL TECHNOLOGY GROUP LTD.</w:t>
      </w:r>
    </w:p>
    <w:p>
      <w:pPr>
        <w:spacing w:after="0" w:line="225"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By: /s/ 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3623945</wp:posOffset>
            </wp:positionH>
            <wp:positionV relativeFrom="paragraph">
              <wp:posOffset>11430</wp:posOffset>
            </wp:positionV>
            <wp:extent cx="256286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ind w:left="5700"/>
        <w:spacing w:after="0"/>
        <w:rPr>
          <w:sz w:val="20"/>
          <w:szCs w:val="20"/>
          <w:color w:val="auto"/>
        </w:rPr>
      </w:pPr>
      <w:r>
        <w:rPr>
          <w:rFonts w:ascii="Arial" w:cs="Arial" w:eastAsia="Arial" w:hAnsi="Arial"/>
          <w:sz w:val="18"/>
          <w:szCs w:val="18"/>
          <w:color w:val="auto"/>
        </w:rPr>
        <w:t>George A. Hervey</w:t>
      </w:r>
    </w:p>
    <w:p>
      <w:pPr>
        <w:spacing w:after="0" w:line="17" w:lineRule="exact"/>
        <w:rPr>
          <w:sz w:val="20"/>
          <w:szCs w:val="20"/>
          <w:color w:val="auto"/>
        </w:rPr>
      </w:pPr>
    </w:p>
    <w:p>
      <w:pPr>
        <w:ind w:left="5700"/>
        <w:spacing w:after="0"/>
        <w:rPr>
          <w:sz w:val="20"/>
          <w:szCs w:val="20"/>
          <w:color w:val="auto"/>
        </w:rPr>
      </w:pPr>
      <w:r>
        <w:rPr>
          <w:rFonts w:ascii="Arial" w:cs="Arial" w:eastAsia="Arial" w:hAnsi="Arial"/>
          <w:sz w:val="18"/>
          <w:szCs w:val="18"/>
          <w:color w:val="auto"/>
        </w:rPr>
        <w:t>Vice President of Finance and 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518795</wp:posOffset>
            </wp:positionV>
            <wp:extent cx="7252970" cy="209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2970" cy="20955"/>
                    </a:xfrm>
                    <a:prstGeom prst="rect">
                      <a:avLst/>
                    </a:prstGeom>
                    <a:noFill/>
                  </pic:spPr>
                </pic:pic>
              </a:graphicData>
            </a:graphic>
          </wp:anchor>
        </w:drawing>
      </w:r>
    </w:p>
    <w:p>
      <w:pPr>
        <w:sectPr>
          <w:pgSz w:w="11900" w:h="16838" w:orient="portrait"/>
          <w:cols w:equalWidth="0" w:num="1">
            <w:col w:w="11340"/>
          </w:cols>
          <w:pgMar w:left="240" w:top="415" w:right="319" w:bottom="1440" w:gutter="0" w:footer="0" w:header="0"/>
        </w:sectPr>
      </w:pPr>
    </w:p>
    <w:bookmarkStart w:id="5" w:name="page6"/>
    <w:bookmarkEnd w:id="5"/>
    <w:p>
      <w:pPr>
        <w:spacing w:after="0"/>
        <w:rPr>
          <w:rFonts w:ascii="Arial" w:cs="Arial" w:eastAsia="Arial" w:hAnsi="Arial"/>
          <w:sz w:val="18"/>
          <w:szCs w:val="18"/>
          <w:b w:val="1"/>
          <w:bCs w:val="1"/>
          <w:u w:val="single" w:color="auto"/>
          <w:color w:val="0000EE"/>
        </w:rPr>
      </w:pPr>
      <w:hyperlink w:anchor="page3">
        <w:r>
          <w:rPr>
            <w:rFonts w:ascii="Arial" w:cs="Arial" w:eastAsia="Arial" w:hAnsi="Arial"/>
            <w:sz w:val="18"/>
            <w:szCs w:val="18"/>
            <w:b w:val="1"/>
            <w:bCs w:val="1"/>
            <w:u w:val="single" w:color="auto"/>
            <w:color w:val="0000EE"/>
          </w:rPr>
          <w:t>Table of Contents</w:t>
        </w:r>
      </w:hyperlink>
    </w:p>
    <w:p>
      <w:pPr>
        <w:spacing w:after="0" w:line="305" w:lineRule="exact"/>
        <w:rPr>
          <w:sz w:val="20"/>
          <w:szCs w:val="20"/>
          <w:color w:val="auto"/>
        </w:rPr>
      </w:pPr>
    </w:p>
    <w:tbl>
      <w:tblPr>
        <w:tblLayout w:type="fixed"/>
        <w:tblInd w:w="2580" w:type="dxa"/>
        <w:tblCellMar>
          <w:top w:w="0" w:type="dxa"/>
          <w:left w:w="0" w:type="dxa"/>
          <w:bottom w:w="0" w:type="dxa"/>
          <w:right w:w="0" w:type="dxa"/>
        </w:tblCellMar>
      </w:tblPr>
      <w:tr>
        <w:trPr>
          <w:trHeight w:val="224"/>
        </w:trPr>
        <w:tc>
          <w:tcPr>
            <w:tcW w:w="15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4400" w:type="dxa"/>
            <w:vAlign w:val="bottom"/>
          </w:tcPr>
          <w:p>
            <w:pPr>
              <w:ind w:left="600"/>
              <w:spacing w:after="0"/>
              <w:rPr>
                <w:sz w:val="20"/>
                <w:szCs w:val="20"/>
                <w:color w:val="auto"/>
              </w:rPr>
            </w:pPr>
            <w:r>
              <w:rPr>
                <w:rFonts w:ascii="Arial" w:cs="Arial" w:eastAsia="Arial" w:hAnsi="Arial"/>
                <w:sz w:val="18"/>
                <w:szCs w:val="18"/>
                <w:color w:val="auto"/>
              </w:rPr>
              <w:t>EXHIBIT INDEX</w:t>
            </w:r>
          </w:p>
        </w:tc>
        <w:tc>
          <w:tcPr>
            <w:tcW w:w="0" w:type="dxa"/>
            <w:vAlign w:val="bottom"/>
          </w:tcPr>
          <w:p>
            <w:pPr>
              <w:spacing w:after="0"/>
              <w:rPr>
                <w:sz w:val="1"/>
                <w:szCs w:val="1"/>
                <w:color w:val="auto"/>
              </w:rPr>
            </w:pPr>
          </w:p>
        </w:tc>
      </w:tr>
      <w:tr>
        <w:trPr>
          <w:trHeight w:val="525"/>
        </w:trPr>
        <w:tc>
          <w:tcPr>
            <w:tcW w:w="1560" w:type="dxa"/>
            <w:vAlign w:val="bottom"/>
          </w:tcPr>
          <w:p>
            <w:pPr>
              <w:spacing w:after="0"/>
              <w:rPr>
                <w:sz w:val="20"/>
                <w:szCs w:val="20"/>
                <w:color w:val="auto"/>
              </w:rPr>
            </w:pPr>
            <w:r>
              <w:rPr>
                <w:rFonts w:ascii="Arial" w:cs="Arial" w:eastAsia="Arial" w:hAnsi="Arial"/>
                <w:sz w:val="14"/>
                <w:szCs w:val="14"/>
                <w:b w:val="1"/>
                <w:bCs w:val="1"/>
                <w:color w:val="auto"/>
              </w:rPr>
              <w:t>Exhibit</w:t>
            </w:r>
          </w:p>
        </w:tc>
        <w:tc>
          <w:tcPr>
            <w:tcW w:w="320" w:type="dxa"/>
            <w:vAlign w:val="bottom"/>
          </w:tcPr>
          <w:p>
            <w:pPr>
              <w:spacing w:after="0"/>
              <w:rPr>
                <w:sz w:val="24"/>
                <w:szCs w:val="24"/>
                <w:color w:val="auto"/>
              </w:rPr>
            </w:pPr>
          </w:p>
        </w:tc>
        <w:tc>
          <w:tcPr>
            <w:tcW w:w="4400" w:type="dxa"/>
            <w:vAlign w:val="bottom"/>
            <w:vMerge w:val="restart"/>
          </w:tcPr>
          <w:p>
            <w:pPr>
              <w:ind w:left="1880"/>
              <w:spacing w:after="0"/>
              <w:rPr>
                <w:sz w:val="20"/>
                <w:szCs w:val="20"/>
                <w:color w:val="auto"/>
              </w:rPr>
            </w:pPr>
            <w:r>
              <w:rPr>
                <w:rFonts w:ascii="Arial" w:cs="Arial" w:eastAsia="Arial" w:hAnsi="Arial"/>
                <w:sz w:val="14"/>
                <w:szCs w:val="14"/>
                <w:b w:val="1"/>
                <w:bCs w:val="1"/>
                <w:color w:val="auto"/>
              </w:rPr>
              <w:t>Document</w:t>
            </w:r>
          </w:p>
        </w:tc>
        <w:tc>
          <w:tcPr>
            <w:tcW w:w="0" w:type="dxa"/>
            <w:vAlign w:val="bottom"/>
          </w:tcPr>
          <w:p>
            <w:pPr>
              <w:spacing w:after="0"/>
              <w:rPr>
                <w:sz w:val="1"/>
                <w:szCs w:val="1"/>
                <w:color w:val="auto"/>
              </w:rPr>
            </w:pPr>
          </w:p>
        </w:tc>
      </w:tr>
      <w:tr>
        <w:trPr>
          <w:trHeight w:val="185"/>
        </w:trPr>
        <w:tc>
          <w:tcPr>
            <w:tcW w:w="1560" w:type="dxa"/>
            <w:vAlign w:val="bottom"/>
          </w:tcPr>
          <w:p>
            <w:pPr>
              <w:spacing w:after="0"/>
              <w:rPr>
                <w:sz w:val="20"/>
                <w:szCs w:val="20"/>
                <w:color w:val="auto"/>
              </w:rPr>
            </w:pPr>
            <w:r>
              <w:rPr>
                <w:rFonts w:ascii="Arial" w:cs="Arial" w:eastAsia="Arial" w:hAnsi="Arial"/>
                <w:sz w:val="14"/>
                <w:szCs w:val="14"/>
                <w:b w:val="1"/>
                <w:bCs w:val="1"/>
                <w:color w:val="auto"/>
              </w:rPr>
              <w:t>No.</w:t>
            </w:r>
          </w:p>
        </w:tc>
        <w:tc>
          <w:tcPr>
            <w:tcW w:w="320" w:type="dxa"/>
            <w:vAlign w:val="bottom"/>
          </w:tcPr>
          <w:p>
            <w:pPr>
              <w:spacing w:after="0"/>
              <w:rPr>
                <w:sz w:val="16"/>
                <w:szCs w:val="16"/>
                <w:color w:val="auto"/>
              </w:rPr>
            </w:pPr>
          </w:p>
        </w:tc>
        <w:tc>
          <w:tcPr>
            <w:tcW w:w="44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51"/>
        </w:trPr>
        <w:tc>
          <w:tcPr>
            <w:tcW w:w="1560" w:type="dxa"/>
            <w:vAlign w:val="bottom"/>
            <w:tcBorders>
              <w:bottom w:val="single" w:sz="8" w:color="808080"/>
            </w:tcBorders>
          </w:tcPr>
          <w:p>
            <w:pPr>
              <w:spacing w:after="0"/>
              <w:rPr>
                <w:sz w:val="4"/>
                <w:szCs w:val="4"/>
                <w:color w:val="auto"/>
              </w:rPr>
            </w:pPr>
          </w:p>
        </w:tc>
        <w:tc>
          <w:tcPr>
            <w:tcW w:w="320" w:type="dxa"/>
            <w:vAlign w:val="bottom"/>
          </w:tcPr>
          <w:p>
            <w:pPr>
              <w:spacing w:after="0"/>
              <w:rPr>
                <w:sz w:val="4"/>
                <w:szCs w:val="4"/>
                <w:color w:val="auto"/>
              </w:rPr>
            </w:pPr>
          </w:p>
        </w:tc>
        <w:tc>
          <w:tcPr>
            <w:tcW w:w="440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285"/>
        </w:trPr>
        <w:tc>
          <w:tcPr>
            <w:tcW w:w="1560" w:type="dxa"/>
            <w:vAlign w:val="bottom"/>
          </w:tcPr>
          <w:p>
            <w:pPr>
              <w:spacing w:after="0"/>
              <w:rPr>
                <w:sz w:val="20"/>
                <w:szCs w:val="20"/>
                <w:color w:val="auto"/>
              </w:rPr>
            </w:pPr>
            <w:r>
              <w:rPr>
                <w:rFonts w:ascii="Arial" w:cs="Arial" w:eastAsia="Arial" w:hAnsi="Arial"/>
                <w:sz w:val="18"/>
                <w:szCs w:val="18"/>
                <w:color w:val="auto"/>
              </w:rPr>
              <w:t>Exhibit 99.1</w:t>
            </w:r>
          </w:p>
        </w:tc>
        <w:tc>
          <w:tcPr>
            <w:tcW w:w="4720" w:type="dxa"/>
            <w:vAlign w:val="bottom"/>
            <w:gridSpan w:val="2"/>
          </w:tcPr>
          <w:p>
            <w:pPr>
              <w:ind w:left="320"/>
              <w:spacing w:after="0"/>
              <w:rPr>
                <w:sz w:val="20"/>
                <w:szCs w:val="20"/>
                <w:color w:val="auto"/>
              </w:rPr>
            </w:pPr>
            <w:r>
              <w:rPr>
                <w:rFonts w:ascii="Arial" w:cs="Arial" w:eastAsia="Arial" w:hAnsi="Arial"/>
                <w:sz w:val="18"/>
                <w:szCs w:val="18"/>
                <w:color w:val="auto"/>
              </w:rPr>
              <w:t>Press Release issued August 19, 2004.</w:t>
            </w:r>
          </w:p>
        </w:tc>
        <w:tc>
          <w:tcPr>
            <w:tcW w:w="0" w:type="dxa"/>
            <w:vAlign w:val="bottom"/>
          </w:tcPr>
          <w:p>
            <w:pPr>
              <w:spacing w:after="0"/>
              <w:rPr>
                <w:sz w:val="1"/>
                <w:szCs w:val="1"/>
                <w:color w:val="auto"/>
              </w:rPr>
            </w:pPr>
          </w:p>
        </w:tc>
      </w:tr>
    </w:tbl>
    <w:p>
      <w:pPr>
        <w:sectPr>
          <w:pgSz w:w="11900" w:h="16838" w:orient="portrait"/>
          <w:cols w:equalWidth="0" w:num="1">
            <w:col w:w="10219"/>
          </w:cols>
          <w:pgMar w:left="240" w:top="415" w:right="1440" w:bottom="1440" w:gutter="0" w:footer="0" w:header="0"/>
        </w:sectPr>
      </w:pPr>
    </w:p>
    <w:bookmarkStart w:id="6" w:name="page7"/>
    <w:bookmarkEnd w:id="6"/>
    <w:p>
      <w:pPr>
        <w:jc w:val="right"/>
        <w:ind w:right="1899"/>
        <w:spacing w:after="0"/>
        <w:rPr>
          <w:sz w:val="20"/>
          <w:szCs w:val="20"/>
          <w:color w:val="auto"/>
        </w:rPr>
      </w:pPr>
      <w:r>
        <w:rPr>
          <w:rFonts w:ascii="Courier New" w:cs="Courier New" w:eastAsia="Courier New" w:hAnsi="Courier New"/>
          <w:sz w:val="17"/>
          <w:szCs w:val="17"/>
          <w:color w:val="auto"/>
        </w:rPr>
        <w:t>EXHIBIT 99.1</w:t>
      </w:r>
    </w:p>
    <w:p>
      <w:pPr>
        <w:spacing w:after="0" w:line="207"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NEWS RELEASE</w:t>
      </w:r>
    </w:p>
    <w:p>
      <w:pPr>
        <w:spacing w:after="0" w:line="200" w:lineRule="exact"/>
        <w:rPr>
          <w:sz w:val="20"/>
          <w:szCs w:val="20"/>
          <w:color w:val="auto"/>
        </w:rPr>
      </w:pPr>
    </w:p>
    <w:p>
      <w:pPr>
        <w:spacing w:after="0" w:line="207" w:lineRule="exact"/>
        <w:rPr>
          <w:sz w:val="20"/>
          <w:szCs w:val="20"/>
          <w:color w:val="auto"/>
        </w:rPr>
      </w:pPr>
    </w:p>
    <w:p>
      <w:pPr>
        <w:ind w:left="2080"/>
        <w:spacing w:after="0"/>
        <w:rPr>
          <w:sz w:val="20"/>
          <w:szCs w:val="20"/>
          <w:color w:val="auto"/>
        </w:rPr>
      </w:pPr>
      <w:r>
        <w:rPr>
          <w:rFonts w:ascii="Courier New" w:cs="Courier New" w:eastAsia="Courier New" w:hAnsi="Courier New"/>
          <w:sz w:val="17"/>
          <w:szCs w:val="17"/>
          <w:color w:val="auto"/>
        </w:rPr>
        <w:t>MARVELL(R) TECHNOLOGY GROUP LTD. REPORTS</w:t>
      </w:r>
    </w:p>
    <w:p>
      <w:pPr>
        <w:spacing w:after="0" w:line="7" w:lineRule="exact"/>
        <w:rPr>
          <w:sz w:val="20"/>
          <w:szCs w:val="20"/>
          <w:color w:val="auto"/>
        </w:rPr>
      </w:pPr>
    </w:p>
    <w:p>
      <w:pPr>
        <w:ind w:left="2080"/>
        <w:spacing w:after="0"/>
        <w:rPr>
          <w:sz w:val="20"/>
          <w:szCs w:val="20"/>
          <w:color w:val="auto"/>
        </w:rPr>
      </w:pPr>
      <w:r>
        <w:rPr>
          <w:rFonts w:ascii="Courier New" w:cs="Courier New" w:eastAsia="Courier New" w:hAnsi="Courier New"/>
          <w:sz w:val="17"/>
          <w:szCs w:val="17"/>
          <w:color w:val="auto"/>
        </w:rPr>
        <w:t>RECORD SECOND QUARTER FISCAL 2005 RESULTS</w:t>
      </w:r>
    </w:p>
    <w:p>
      <w:pPr>
        <w:spacing w:after="0" w:line="207" w:lineRule="exact"/>
        <w:rPr>
          <w:sz w:val="20"/>
          <w:szCs w:val="20"/>
          <w:color w:val="auto"/>
        </w:rPr>
      </w:pPr>
    </w:p>
    <w:p>
      <w:pPr>
        <w:ind w:left="940"/>
        <w:spacing w:after="0"/>
        <w:rPr>
          <w:sz w:val="20"/>
          <w:szCs w:val="20"/>
          <w:color w:val="auto"/>
        </w:rPr>
      </w:pPr>
      <w:r>
        <w:rPr>
          <w:rFonts w:ascii="Courier New" w:cs="Courier New" w:eastAsia="Courier New" w:hAnsi="Courier New"/>
          <w:sz w:val="17"/>
          <w:szCs w:val="17"/>
          <w:color w:val="auto"/>
        </w:rPr>
        <w:t>Q2 NET REVENUES INCREASE 54% FROM PRIOR YEAR TO $297.2 MILLION</w:t>
      </w:r>
    </w:p>
    <w:p>
      <w:pPr>
        <w:spacing w:after="0" w:line="207" w:lineRule="exact"/>
        <w:rPr>
          <w:sz w:val="20"/>
          <w:szCs w:val="20"/>
          <w:color w:val="auto"/>
        </w:rPr>
      </w:pPr>
    </w:p>
    <w:p>
      <w:pPr>
        <w:ind w:right="2099"/>
        <w:spacing w:after="0" w:line="249" w:lineRule="auto"/>
        <w:rPr>
          <w:sz w:val="20"/>
          <w:szCs w:val="20"/>
          <w:color w:val="auto"/>
        </w:rPr>
      </w:pPr>
      <w:r>
        <w:rPr>
          <w:rFonts w:ascii="Courier New" w:cs="Courier New" w:eastAsia="Courier New" w:hAnsi="Courier New"/>
          <w:sz w:val="17"/>
          <w:szCs w:val="17"/>
          <w:color w:val="auto"/>
        </w:rPr>
        <w:t>Sunnyvale, CA. (August 19, 2004) - Marvell(R)Technology Group Ltd. (NASDAQ: MRVL), the technology leader in the development of extreme broadband communications and storage solutions, today reported financial results for its second fiscal quarter ended July 31, 2004.</w:t>
      </w:r>
    </w:p>
    <w:p>
      <w:pPr>
        <w:spacing w:after="0" w:line="200" w:lineRule="exact"/>
        <w:rPr>
          <w:sz w:val="20"/>
          <w:szCs w:val="20"/>
          <w:color w:val="auto"/>
        </w:rPr>
      </w:pPr>
    </w:p>
    <w:p>
      <w:pPr>
        <w:ind w:right="1899"/>
        <w:spacing w:after="0" w:line="249" w:lineRule="auto"/>
        <w:rPr>
          <w:sz w:val="20"/>
          <w:szCs w:val="20"/>
          <w:color w:val="auto"/>
        </w:rPr>
      </w:pPr>
      <w:r>
        <w:rPr>
          <w:rFonts w:ascii="Courier New" w:cs="Courier New" w:eastAsia="Courier New" w:hAnsi="Courier New"/>
          <w:sz w:val="17"/>
          <w:szCs w:val="17"/>
          <w:color w:val="auto"/>
        </w:rPr>
        <w:t>Net revenue for the second quarter of fiscal 2005 was a record $297.2 million, an increase of 54% over net revenue of $192.9 million for the second quarter of fiscal 2004 and a 10% sequential increase from net revenue of $269.6 million for the first quarter of fiscal 2005. Net income under generally accepted accounting principles (GAAP) was $28.6 million, or $0.10 per share (diluted), for the second quarter of fiscal 2005, compared with a net income under GAAP of $9.4 million, or $0.03 per share (diluted), for the second quarter of fiscal 2004.</w:t>
      </w:r>
    </w:p>
    <w:p>
      <w:pPr>
        <w:spacing w:after="0" w:line="200" w:lineRule="exact"/>
        <w:rPr>
          <w:sz w:val="20"/>
          <w:szCs w:val="20"/>
          <w:color w:val="auto"/>
        </w:rPr>
      </w:pPr>
    </w:p>
    <w:p>
      <w:pPr>
        <w:ind w:right="2219"/>
        <w:spacing w:after="0" w:line="249" w:lineRule="auto"/>
        <w:rPr>
          <w:sz w:val="20"/>
          <w:szCs w:val="20"/>
          <w:color w:val="auto"/>
        </w:rPr>
      </w:pPr>
      <w:r>
        <w:rPr>
          <w:rFonts w:ascii="Courier New" w:cs="Courier New" w:eastAsia="Courier New" w:hAnsi="Courier New"/>
          <w:sz w:val="17"/>
          <w:szCs w:val="17"/>
          <w:color w:val="auto"/>
        </w:rPr>
        <w:t>Net revenue for the six months ended July 31, 2004 was $566.7 million, an increase of 57% over net revenue of $361.1 million for the six months ended August 2, 2003. Net income under GAAP was $43.1 million, or $0.15 per share (diluted), for the six months ended July 31, 2004, compared with a net income under GAAP of $13.8 million, or $0.05 per share (diluted), for the six months ended August 2, 2003.</w:t>
      </w:r>
    </w:p>
    <w:p>
      <w:pPr>
        <w:spacing w:after="0" w:line="200" w:lineRule="exact"/>
        <w:rPr>
          <w:sz w:val="20"/>
          <w:szCs w:val="20"/>
          <w:color w:val="auto"/>
        </w:rPr>
      </w:pPr>
    </w:p>
    <w:p>
      <w:pPr>
        <w:ind w:right="2099"/>
        <w:spacing w:after="0" w:line="249" w:lineRule="auto"/>
        <w:rPr>
          <w:sz w:val="20"/>
          <w:szCs w:val="20"/>
          <w:color w:val="auto"/>
        </w:rPr>
      </w:pPr>
      <w:r>
        <w:rPr>
          <w:rFonts w:ascii="Courier New" w:cs="Courier New" w:eastAsia="Courier New" w:hAnsi="Courier New"/>
          <w:sz w:val="17"/>
          <w:szCs w:val="17"/>
          <w:color w:val="auto"/>
        </w:rPr>
        <w:t>Marvell reports net income and basic and diluted net income per share in accordance with GAAP and additionally on a non-GAAP basis, referred to as pro forma. Pro forma net income, where applicable, excludes the effect of amortization and write-off of acquired intangible assets and other, and amortization of stock-based compensation. Pro forma net income was $59.7 million, or $0.20 per share (diluted), for the second quarter of fiscal 2005, compared with pro forma net income of $30.0 million, or $0.11 per share (diluted), for the second quarter of fiscal 2004. Shares used in computing pro forma net income per share for the second quarter of fiscal 2005 increased to 295.8 million, compared with 273.6 million for the second quarter of fiscal 2004.</w:t>
      </w:r>
    </w:p>
    <w:p>
      <w:pPr>
        <w:spacing w:after="0" w:line="200" w:lineRule="exact"/>
        <w:rPr>
          <w:sz w:val="20"/>
          <w:szCs w:val="20"/>
          <w:color w:val="auto"/>
        </w:rPr>
      </w:pPr>
    </w:p>
    <w:p>
      <w:pPr>
        <w:ind w:right="1899"/>
        <w:spacing w:after="0" w:line="249" w:lineRule="auto"/>
        <w:rPr>
          <w:sz w:val="20"/>
          <w:szCs w:val="20"/>
          <w:color w:val="auto"/>
        </w:rPr>
      </w:pPr>
      <w:r>
        <w:rPr>
          <w:rFonts w:ascii="Courier New" w:cs="Courier New" w:eastAsia="Courier New" w:hAnsi="Courier New"/>
          <w:sz w:val="17"/>
          <w:szCs w:val="17"/>
          <w:color w:val="auto"/>
        </w:rPr>
        <w:t>Pro forma net income was $108.8 million, or $0.37 per share (diluted), for the six months ended July 31, 2004, compared with pro forma net income of $54.5 million, or $0.20 per share (diluted), for the six months ended August 2, 2003. Shares used in computing pro forma net income per share for the six months ended July 31, 2004 increased to 294.0 million, compared with 266.4 million for the six months ended August 2, 2003.</w:t>
      </w:r>
    </w:p>
    <w:p>
      <w:pPr>
        <w:spacing w:after="0" w:line="200" w:lineRule="exact"/>
        <w:rPr>
          <w:sz w:val="20"/>
          <w:szCs w:val="20"/>
          <w:color w:val="auto"/>
        </w:rPr>
      </w:pPr>
    </w:p>
    <w:p>
      <w:pPr>
        <w:ind w:right="2099"/>
        <w:spacing w:after="0" w:line="249" w:lineRule="auto"/>
        <w:rPr>
          <w:sz w:val="20"/>
          <w:szCs w:val="20"/>
          <w:color w:val="auto"/>
        </w:rPr>
      </w:pPr>
      <w:r>
        <w:rPr>
          <w:rFonts w:ascii="Courier New" w:cs="Courier New" w:eastAsia="Courier New" w:hAnsi="Courier New"/>
          <w:sz w:val="17"/>
          <w:szCs w:val="17"/>
          <w:color w:val="auto"/>
        </w:rPr>
        <w:t>These non-GAAP measures should be considered in addition to, and not as a substitute for, the results prepared in accordance with GAAP. A reconciliation of GAAP net income to pro forma net income is included in the financial statements portion of this release as well as on our website in the Investors section at www.marvell.com.</w:t>
      </w:r>
    </w:p>
    <w:p>
      <w:pPr>
        <w:spacing w:after="0" w:line="200" w:lineRule="exact"/>
        <w:rPr>
          <w:sz w:val="20"/>
          <w:szCs w:val="20"/>
          <w:color w:val="auto"/>
        </w:rPr>
      </w:pPr>
    </w:p>
    <w:p>
      <w:pPr>
        <w:ind w:right="1899"/>
        <w:spacing w:after="0" w:line="249" w:lineRule="auto"/>
        <w:rPr>
          <w:sz w:val="20"/>
          <w:szCs w:val="20"/>
          <w:color w:val="auto"/>
        </w:rPr>
      </w:pPr>
      <w:r>
        <w:rPr>
          <w:rFonts w:ascii="Courier New" w:cs="Courier New" w:eastAsia="Courier New" w:hAnsi="Courier New"/>
          <w:sz w:val="17"/>
          <w:szCs w:val="17"/>
          <w:color w:val="auto"/>
        </w:rPr>
        <w:t>Marvell's management believes the non-GAAP information is useful because it can enhance the understanding of the Company's ongoing economic performance and Marvell therefore uses pro forma reporting internally to evaluate and manage the Company's operations. Marvell has chosen to provide this information to investors to enable them to perform comparisons of operating results in a manner similar to how the Company analyzes its operating results.</w:t>
      </w:r>
    </w:p>
    <w:p>
      <w:pPr>
        <w:sectPr>
          <w:pgSz w:w="11900" w:h="16838" w:orient="portrait"/>
          <w:cols w:equalWidth="0" w:num="1">
            <w:col w:w="10219"/>
          </w:cols>
          <w:pgMar w:left="240" w:top="342" w:right="1440" w:bottom="1440" w:gutter="0" w:footer="0" w:header="0"/>
        </w:sectPr>
      </w:pPr>
    </w:p>
    <w:bookmarkStart w:id="7" w:name="page8"/>
    <w:bookmarkEnd w:id="7"/>
    <w:p>
      <w:pPr>
        <w:ind w:right="1899"/>
        <w:spacing w:after="0" w:line="249" w:lineRule="auto"/>
        <w:rPr>
          <w:sz w:val="20"/>
          <w:szCs w:val="20"/>
          <w:color w:val="auto"/>
        </w:rPr>
      </w:pPr>
      <w:r>
        <w:rPr>
          <w:rFonts w:ascii="Courier New" w:cs="Courier New" w:eastAsia="Courier New" w:hAnsi="Courier New"/>
          <w:sz w:val="17"/>
          <w:szCs w:val="17"/>
          <w:color w:val="auto"/>
        </w:rPr>
        <w:t>"Q2 was a very successful quarter for Marvell. Along with another strong quarter of revenue growth, we also continued to expand our operating margins and further strengthen our balance sheet," stated Dr. Sehat Sutardja, Marvell's President and CEO. "We are enjoying strong momentum in both the enterprise and consumer markets. In particular, we are very excited about the rate of adoption of our wireless LAN and storage electronics for emerging consumer applications as well as continued strong design activity for our Linear DSP power management products."</w:t>
      </w:r>
    </w:p>
    <w:p>
      <w:pPr>
        <w:spacing w:after="0" w:line="200" w:lineRule="exact"/>
        <w:rPr>
          <w:sz w:val="20"/>
          <w:szCs w:val="20"/>
          <w:color w:val="auto"/>
        </w:rPr>
      </w:pPr>
    </w:p>
    <w:p>
      <w:pPr>
        <w:ind w:right="1899"/>
        <w:spacing w:after="0" w:line="249" w:lineRule="auto"/>
        <w:rPr>
          <w:sz w:val="20"/>
          <w:szCs w:val="20"/>
          <w:color w:val="auto"/>
        </w:rPr>
      </w:pPr>
      <w:r>
        <w:rPr>
          <w:rFonts w:ascii="Courier New" w:cs="Courier New" w:eastAsia="Courier New" w:hAnsi="Courier New"/>
          <w:sz w:val="17"/>
          <w:szCs w:val="17"/>
          <w:color w:val="auto"/>
        </w:rPr>
        <w:t>Revenue for the second quarter was a record for Marvell and represented the 27th consecutive quarter of sequential revenue growth. Also, the 10% sequential increase in the second quarter revenue was Marvell's 11th consecutive quarter where sequential revenue growth was at least 10%. The following is a review of some of the recent highlights that occurred since last quarter's earnings release:</w:t>
      </w:r>
    </w:p>
    <w:p>
      <w:pPr>
        <w:spacing w:after="0" w:line="200" w:lineRule="exact"/>
        <w:rPr>
          <w:sz w:val="20"/>
          <w:szCs w:val="20"/>
          <w:color w:val="auto"/>
        </w:rPr>
      </w:pPr>
    </w:p>
    <w:p>
      <w:pPr>
        <w:ind w:left="520" w:right="1899" w:hanging="513"/>
        <w:spacing w:after="0" w:line="249" w:lineRule="auto"/>
        <w:tabs>
          <w:tab w:leader="none" w:pos="52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Marvell continues to lead the adoption of WLAN into consumer electronic devices. During the quarter, Marvell expanded upon its impressive list of design wins into high volume applications such as cellular handsets, gaming devices, digital cameras, MP3 players, PDAs and emerging home entertainment multimedia client devices. Marvell expects to commence volume shipment into such emerging applications in the third quarter including initial shipments of its 802.11 solution into a major consumer gaming application. Also, a number of Marvell's WLAN design wins for cellular handsets have now commenced the field trial stage this summer.</w:t>
      </w:r>
    </w:p>
    <w:p>
      <w:pPr>
        <w:spacing w:after="0" w:line="199" w:lineRule="exact"/>
        <w:rPr>
          <w:rFonts w:ascii="Courier New" w:cs="Courier New" w:eastAsia="Courier New" w:hAnsi="Courier New"/>
          <w:sz w:val="17"/>
          <w:szCs w:val="17"/>
          <w:color w:val="auto"/>
        </w:rPr>
      </w:pPr>
    </w:p>
    <w:p>
      <w:pPr>
        <w:ind w:left="520" w:right="1899" w:hanging="513"/>
        <w:spacing w:after="0" w:line="249" w:lineRule="auto"/>
        <w:tabs>
          <w:tab w:leader="none" w:pos="52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Today, Marvell raised the technological bar once again with the introduction of the World's first 60 Gigabit per second single chip solution. These new Prestera(TM) devices, which utilize the Marvell distributed switching architecture, offer true security, advanced QOS and full integrated support for next generation IPv6 protocols. The complete Prestera product family continues to enjoy strong revenue growth and design wins for infrastructure switching applications across all market segments from the SMB to large scale Enterprise.</w:t>
      </w:r>
    </w:p>
    <w:p>
      <w:pPr>
        <w:spacing w:after="0" w:line="199" w:lineRule="exact"/>
        <w:rPr>
          <w:rFonts w:ascii="Courier New" w:cs="Courier New" w:eastAsia="Courier New" w:hAnsi="Courier New"/>
          <w:sz w:val="17"/>
          <w:szCs w:val="17"/>
          <w:color w:val="auto"/>
        </w:rPr>
      </w:pPr>
    </w:p>
    <w:p>
      <w:pPr>
        <w:ind w:left="520" w:right="2099" w:hanging="513"/>
        <w:spacing w:after="0" w:line="249" w:lineRule="auto"/>
        <w:tabs>
          <w:tab w:leader="none" w:pos="52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Q2 was another outstanding quarter for Marvell's storage electronics for the hard disk drive market. During the quarter, Marvell enjoyed continued solid revenue growth from market share gains in the traditional hard disk drive market. Additionally, the emerging consumer small form factor drive market continues to grow as these exciting drives are designed into a variety of consumer electronic devices. Marvell expects further strong market adoption of consumer hard disk drives as even smaller form factor drives and increased storage capacities begin to be introduced into the marketplace.</w:t>
      </w:r>
    </w:p>
    <w:p>
      <w:pPr>
        <w:spacing w:after="0" w:line="199" w:lineRule="exact"/>
        <w:rPr>
          <w:rFonts w:ascii="Courier New" w:cs="Courier New" w:eastAsia="Courier New" w:hAnsi="Courier New"/>
          <w:sz w:val="17"/>
          <w:szCs w:val="17"/>
          <w:color w:val="auto"/>
        </w:rPr>
      </w:pPr>
    </w:p>
    <w:p>
      <w:pPr>
        <w:ind w:left="520" w:right="1999" w:hanging="513"/>
        <w:spacing w:after="0" w:line="249" w:lineRule="auto"/>
        <w:tabs>
          <w:tab w:leader="none" w:pos="520" w:val="left"/>
        </w:tabs>
        <w:numPr>
          <w:ilvl w:val="0"/>
          <w:numId w:val="1"/>
        </w:numPr>
        <w:rPr>
          <w:rFonts w:ascii="Courier New" w:cs="Courier New" w:eastAsia="Courier New" w:hAnsi="Courier New"/>
          <w:sz w:val="17"/>
          <w:szCs w:val="17"/>
          <w:color w:val="auto"/>
        </w:rPr>
      </w:pPr>
      <w:r>
        <w:rPr>
          <w:rFonts w:ascii="Courier New" w:cs="Courier New" w:eastAsia="Courier New" w:hAnsi="Courier New"/>
          <w:sz w:val="17"/>
          <w:szCs w:val="17"/>
          <w:color w:val="auto"/>
        </w:rPr>
        <w:t>During the quarter, Marvell also commenced volume shipments of its All-into-1 and LiveAP(TM)WLAN solutions that were just introduced earlier this year. Marvell's All-into-1 technology for the first time allows the integration of many WLAN functions into a single device that were previously separate functions handled by multiple devices. Now, in just a size of a credit card, one can add wireless capability to Ethernet enabled devices, extend the range of any 802.11 g/b Access Point or wireless router, provide easier setup for broadband wireless gaming over the Internet, allow personal 54Mbps `hot-spot' connectivity and much more. Marvell is also now shipping LiveAP(TM)into volume PC desktop motherboards as an embedded access point product. LiveAP utilizes Marvell's extreme low power and integrated processor technology to offer "on-demand" access to the wireless network and Internet even when the host device is turned off.</w:t>
      </w:r>
    </w:p>
    <w:p>
      <w:pPr>
        <w:sectPr>
          <w:pgSz w:w="11900" w:h="16838" w:orient="portrait"/>
          <w:cols w:equalWidth="0" w:num="1">
            <w:col w:w="10219"/>
          </w:cols>
          <w:pgMar w:left="240" w:top="715" w:right="1440" w:bottom="1440" w:gutter="0" w:footer="0" w:header="0"/>
        </w:sectPr>
      </w:pPr>
    </w:p>
    <w:bookmarkStart w:id="8" w:name="page9"/>
    <w:bookmarkEnd w:id="8"/>
    <w:p>
      <w:pPr>
        <w:ind w:right="1899"/>
        <w:spacing w:after="0" w:line="249" w:lineRule="auto"/>
        <w:rPr>
          <w:sz w:val="20"/>
          <w:szCs w:val="20"/>
          <w:color w:val="auto"/>
        </w:rPr>
      </w:pPr>
      <w:r>
        <w:rPr>
          <w:rFonts w:ascii="Courier New" w:cs="Courier New" w:eastAsia="Courier New" w:hAnsi="Courier New"/>
          <w:sz w:val="17"/>
          <w:szCs w:val="17"/>
          <w:color w:val="auto"/>
        </w:rPr>
        <w:t>Marvell will be conducting a conference call today at 1:45 p.m. PT to discuss its second quarter financial results. To listen to the conference call, investors can dial (706) 679-0800 approximately ten minutes prior to the initiation of the teleconference and refer to conference code 9073056. Replay of the conference call will be available until August 26, 2004 at midnight PDT by dialing (706) 645-9291. The conference call will also be available via the web at www.marvell.com. Please visit the Investor Events section. Replay on the Internet will be available until August 19, 2005.</w:t>
      </w:r>
    </w:p>
    <w:p>
      <w:pPr>
        <w:spacing w:after="0" w:line="200" w:lineRule="exact"/>
        <w:rPr>
          <w:sz w:val="20"/>
          <w:szCs w:val="20"/>
          <w:color w:val="auto"/>
        </w:rPr>
      </w:pPr>
    </w:p>
    <w:p>
      <w:pPr>
        <w:spacing w:after="0"/>
        <w:rPr>
          <w:sz w:val="20"/>
          <w:szCs w:val="20"/>
          <w:color w:val="auto"/>
        </w:rPr>
      </w:pPr>
      <w:r>
        <w:rPr>
          <w:rFonts w:ascii="Courier New" w:cs="Courier New" w:eastAsia="Courier New" w:hAnsi="Courier New"/>
          <w:sz w:val="17"/>
          <w:szCs w:val="17"/>
          <w:color w:val="auto"/>
        </w:rPr>
        <w:t>ABOUT MARVELL</w:t>
      </w:r>
    </w:p>
    <w:p>
      <w:pPr>
        <w:spacing w:after="0" w:line="7" w:lineRule="exact"/>
        <w:rPr>
          <w:sz w:val="20"/>
          <w:szCs w:val="20"/>
          <w:color w:val="auto"/>
        </w:rPr>
      </w:pPr>
    </w:p>
    <w:p>
      <w:pPr>
        <w:ind w:right="1999"/>
        <w:spacing w:after="0" w:line="249" w:lineRule="auto"/>
        <w:rPr>
          <w:sz w:val="20"/>
          <w:szCs w:val="20"/>
          <w:color w:val="auto"/>
        </w:rPr>
      </w:pPr>
      <w:r>
        <w:rPr>
          <w:rFonts w:ascii="Courier New" w:cs="Courier New" w:eastAsia="Courier New" w:hAnsi="Courier New"/>
          <w:sz w:val="17"/>
          <w:szCs w:val="17"/>
          <w:color w:val="auto"/>
        </w:rPr>
        <w:t>Marvell (NASDAQ: MRVL) is the leading global semiconductor provider of complete broadband communications and storage solutions. The Company's diverse product portfolio includes switching, transceiver, communications controller, wireless, and storage solutions that power the entire communications infrastructure, including enterprise, metro, home, and storage networking. As used in this release, the terms "Company" and "Marvell" refer to Marvell Technology Group Ltd. and its subsidiaries, including Marvell Semiconductor, Inc. (MSI), Marvell Asia Pte Ltd. (MAPL), Marvell Japan K.K., Marvell Taiwan Ltd., Marvell International Ltd. (MIL), Marvell U.K. Limited, Marvell Semiconductor Israel Ltd. (MSIL), RADLAN Computer Communications Ltd., and SysKonnect GmbH. MSI is headquartered in Sunnyvale, Calif., and designs, develops and markets products on behalf of MIL and MAPL. MSI may be contacted at (408) 222-2500 or at www.marvell.com.</w:t>
      </w:r>
    </w:p>
    <w:p>
      <w:pPr>
        <w:spacing w:after="0" w:line="200" w:lineRule="exact"/>
        <w:rPr>
          <w:sz w:val="20"/>
          <w:szCs w:val="20"/>
          <w:color w:val="auto"/>
        </w:rPr>
      </w:pPr>
    </w:p>
    <w:p>
      <w:pPr>
        <w:ind w:right="2419"/>
        <w:spacing w:after="0" w:line="248" w:lineRule="auto"/>
        <w:rPr>
          <w:sz w:val="20"/>
          <w:szCs w:val="20"/>
          <w:color w:val="auto"/>
        </w:rPr>
      </w:pPr>
      <w:r>
        <w:rPr>
          <w:rFonts w:ascii="Courier New" w:cs="Courier New" w:eastAsia="Courier New" w:hAnsi="Courier New"/>
          <w:sz w:val="17"/>
          <w:szCs w:val="17"/>
          <w:color w:val="auto"/>
        </w:rPr>
        <w:t>SAFE HARBOR STATEMENT UNDER THE PRIVATE SECURITIES LITIGATION REFORM ACT OF 1995:</w:t>
      </w:r>
    </w:p>
    <w:p>
      <w:pPr>
        <w:spacing w:after="0" w:line="2" w:lineRule="exact"/>
        <w:rPr>
          <w:sz w:val="20"/>
          <w:szCs w:val="20"/>
          <w:color w:val="auto"/>
        </w:rPr>
      </w:pPr>
    </w:p>
    <w:p>
      <w:pPr>
        <w:ind w:right="1899"/>
        <w:spacing w:after="0" w:line="249" w:lineRule="auto"/>
        <w:rPr>
          <w:sz w:val="20"/>
          <w:szCs w:val="20"/>
          <w:color w:val="auto"/>
        </w:rPr>
      </w:pPr>
      <w:r>
        <w:rPr>
          <w:rFonts w:ascii="Courier New" w:cs="Courier New" w:eastAsia="Courier New" w:hAnsi="Courier New"/>
          <w:sz w:val="17"/>
          <w:szCs w:val="17"/>
          <w:color w:val="auto"/>
        </w:rPr>
        <w:t>This release contains forward-looking statements based on projections and assumptions about our products and our markets. Words such as "anticipates," "expects," "intends," "plans," "believes," "seeks," "estimates," "may," "will," "should," and their variations identify forward-looking statements. These statements include those relating to the rate of our customers' adoption of our wireless LAN and storage electronics, continued strong design activity for identified power management products, the commencement of volume shipments of WLAN products for consumer applications and the anticipated benefits of and the continued strong revenue growth and design win activity for our Prestera product family and hard disk drive products, including small form factor drives, and anticipated benefits of our All-into-1 and LiveAP WLAN solutions. Statements that refer to, or are based on projections, uncertain events or assumptions also identify forward-looking statements. These statements are not guarantees of results and are subject to risks and uncertainties. Some risks and uncertainties that may adversely impact the statements in this release include, but are not limited to, the timing, cost and successful completion of development and volume production, end-customer qualification and adoption, and the timing, pricing, rescheduling, or cancellation of orders. For other factors that could cause Marvell's results to vary from expectations, please see the sections titled "Additional Factors That May Affect Future Results" in Marvell's annual report on Form 10-K for the fiscal year ended January 31, 2004 and Marvell's subsequent reports on Form 10-Q. We undertake no obligation to revise or update publicly any forward-looking statements.</w:t>
      </w:r>
    </w:p>
    <w:p>
      <w:pPr>
        <w:spacing w:after="0" w:line="200" w:lineRule="exact"/>
        <w:rPr>
          <w:sz w:val="20"/>
          <w:szCs w:val="20"/>
          <w:color w:val="auto"/>
        </w:rPr>
      </w:pPr>
    </w:p>
    <w:p>
      <w:pPr>
        <w:ind w:right="1999"/>
        <w:spacing w:after="0" w:line="251" w:lineRule="auto"/>
        <w:rPr>
          <w:sz w:val="20"/>
          <w:szCs w:val="20"/>
          <w:color w:val="auto"/>
        </w:rPr>
      </w:pPr>
      <w:r>
        <w:rPr>
          <w:rFonts w:ascii="Courier New" w:cs="Courier New" w:eastAsia="Courier New" w:hAnsi="Courier New"/>
          <w:sz w:val="17"/>
          <w:szCs w:val="17"/>
          <w:color w:val="auto"/>
        </w:rPr>
        <w:t>MARVELL(R) AND THE MARVELL LOGO ARE TRADEMARKS OF MARVELL. ALL OTHER TRADEMARKS ARE THE PROPERTY OF THEIR RESPECTIVE OWNERS.</w:t>
      </w:r>
    </w:p>
    <w:p>
      <w:pPr>
        <w:sectPr>
          <w:pgSz w:w="11900" w:h="16838" w:orient="portrait"/>
          <w:cols w:equalWidth="0" w:num="1">
            <w:col w:w="10219"/>
          </w:cols>
          <w:pgMar w:left="240" w:top="715" w:right="1440" w:bottom="1440" w:gutter="0" w:footer="0" w:header="0"/>
        </w:sectPr>
      </w:pPr>
    </w:p>
    <w:bookmarkStart w:id="9" w:name="page10"/>
    <w:bookmarkEnd w:id="9"/>
    <w:p>
      <w:pPr>
        <w:jc w:val="center"/>
        <w:ind w:right="3100"/>
        <w:spacing w:after="0"/>
        <w:rPr>
          <w:sz w:val="20"/>
          <w:szCs w:val="20"/>
          <w:color w:val="auto"/>
        </w:rPr>
      </w:pPr>
      <w:r>
        <w:rPr>
          <w:rFonts w:ascii="Courier New" w:cs="Courier New" w:eastAsia="Courier New" w:hAnsi="Courier New"/>
          <w:sz w:val="17"/>
          <w:szCs w:val="17"/>
          <w:color w:val="auto"/>
        </w:rPr>
        <w:t>MARVELL TECHNOLOGY GROUP LTD.</w:t>
      </w:r>
    </w:p>
    <w:p>
      <w:pPr>
        <w:spacing w:after="0" w:line="7" w:lineRule="exact"/>
        <w:rPr>
          <w:sz w:val="20"/>
          <w:szCs w:val="20"/>
          <w:color w:val="auto"/>
        </w:rPr>
      </w:pPr>
    </w:p>
    <w:p>
      <w:pPr>
        <w:jc w:val="center"/>
        <w:ind w:right="3100"/>
        <w:spacing w:after="0"/>
        <w:rPr>
          <w:sz w:val="20"/>
          <w:szCs w:val="20"/>
          <w:color w:val="auto"/>
        </w:rPr>
      </w:pPr>
      <w:r>
        <w:rPr>
          <w:rFonts w:ascii="Courier New" w:cs="Courier New" w:eastAsia="Courier New" w:hAnsi="Courier New"/>
          <w:sz w:val="17"/>
          <w:szCs w:val="17"/>
          <w:color w:val="auto"/>
        </w:rPr>
        <w:t>CONSOLIDATED STATEMENTS OF OPERATIONS</w:t>
      </w:r>
    </w:p>
    <w:p>
      <w:pPr>
        <w:spacing w:after="0" w:line="7" w:lineRule="exact"/>
        <w:rPr>
          <w:sz w:val="20"/>
          <w:szCs w:val="20"/>
          <w:color w:val="auto"/>
        </w:rPr>
      </w:pPr>
    </w:p>
    <w:p>
      <w:pPr>
        <w:jc w:val="center"/>
        <w:ind w:right="3100"/>
        <w:spacing w:after="0"/>
        <w:rPr>
          <w:sz w:val="20"/>
          <w:szCs w:val="20"/>
          <w:color w:val="auto"/>
        </w:rPr>
      </w:pPr>
      <w:r>
        <w:rPr>
          <w:rFonts w:ascii="Courier New" w:cs="Courier New" w:eastAsia="Courier New" w:hAnsi="Courier New"/>
          <w:sz w:val="17"/>
          <w:szCs w:val="17"/>
          <w:color w:val="auto"/>
        </w:rPr>
        <w:t>(UNAUDITED)</w:t>
      </w:r>
    </w:p>
    <w:p>
      <w:pPr>
        <w:spacing w:after="0" w:line="7" w:lineRule="exact"/>
        <w:rPr>
          <w:sz w:val="20"/>
          <w:szCs w:val="20"/>
          <w:color w:val="auto"/>
        </w:rPr>
      </w:pPr>
    </w:p>
    <w:p>
      <w:pPr>
        <w:jc w:val="center"/>
        <w:ind w:right="3200"/>
        <w:spacing w:after="0"/>
        <w:rPr>
          <w:sz w:val="20"/>
          <w:szCs w:val="20"/>
          <w:color w:val="auto"/>
        </w:rPr>
      </w:pPr>
      <w:r>
        <w:rPr>
          <w:rFonts w:ascii="Courier New" w:cs="Courier New" w:eastAsia="Courier New" w:hAnsi="Courier New"/>
          <w:sz w:val="17"/>
          <w:szCs w:val="17"/>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55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700" w:type="dxa"/>
            <w:vAlign w:val="bottom"/>
            <w:gridSpan w:val="3"/>
          </w:tcPr>
          <w:p>
            <w:pPr>
              <w:ind w:left="100"/>
              <w:spacing w:after="0"/>
              <w:rPr>
                <w:sz w:val="20"/>
                <w:szCs w:val="20"/>
                <w:color w:val="auto"/>
              </w:rPr>
            </w:pPr>
            <w:r>
              <w:rPr>
                <w:rFonts w:ascii="Courier New" w:cs="Courier New" w:eastAsia="Courier New" w:hAnsi="Courier New"/>
                <w:sz w:val="17"/>
                <w:szCs w:val="17"/>
                <w:color w:val="auto"/>
              </w:rPr>
              <w:t>THREE MONTHS ENDED</w:t>
            </w:r>
          </w:p>
        </w:tc>
        <w:tc>
          <w:tcPr>
            <w:tcW w:w="400" w:type="dxa"/>
            <w:vAlign w:val="bottom"/>
          </w:tcPr>
          <w:p>
            <w:pPr>
              <w:spacing w:after="0"/>
              <w:rPr>
                <w:sz w:val="16"/>
                <w:szCs w:val="16"/>
                <w:color w:val="auto"/>
              </w:rPr>
            </w:pPr>
          </w:p>
        </w:tc>
        <w:tc>
          <w:tcPr>
            <w:tcW w:w="2380" w:type="dxa"/>
            <w:vAlign w:val="bottom"/>
            <w:gridSpan w:val="3"/>
          </w:tcPr>
          <w:p>
            <w:pPr>
              <w:jc w:val="right"/>
              <w:ind w:right="413"/>
              <w:spacing w:after="0"/>
              <w:rPr>
                <w:sz w:val="20"/>
                <w:szCs w:val="20"/>
                <w:color w:val="auto"/>
              </w:rPr>
            </w:pPr>
            <w:r>
              <w:rPr>
                <w:rFonts w:ascii="Courier New" w:cs="Courier New" w:eastAsia="Courier New" w:hAnsi="Courier New"/>
                <w:sz w:val="17"/>
                <w:szCs w:val="17"/>
                <w:color w:val="auto"/>
              </w:rPr>
              <w:t>SIX MONTHS ENDED</w:t>
            </w:r>
          </w:p>
        </w:tc>
      </w:tr>
      <w:tr>
        <w:trPr>
          <w:trHeight w:val="200"/>
        </w:trPr>
        <w:tc>
          <w:tcPr>
            <w:tcW w:w="5560" w:type="dxa"/>
            <w:vAlign w:val="bottom"/>
          </w:tcPr>
          <w:p>
            <w:pPr>
              <w:spacing w:after="0"/>
              <w:rPr>
                <w:sz w:val="17"/>
                <w:szCs w:val="17"/>
                <w:color w:val="auto"/>
              </w:rPr>
            </w:pPr>
          </w:p>
        </w:tc>
        <w:tc>
          <w:tcPr>
            <w:tcW w:w="3180" w:type="dxa"/>
            <w:vAlign w:val="bottom"/>
            <w:gridSpan w:val="4"/>
          </w:tcPr>
          <w:p>
            <w:pPr>
              <w:ind w:left="360"/>
              <w:spacing w:after="0"/>
              <w:rPr>
                <w:sz w:val="20"/>
                <w:szCs w:val="20"/>
                <w:color w:val="auto"/>
              </w:rPr>
            </w:pPr>
            <w:r>
              <w:rPr>
                <w:rFonts w:ascii="Courier New" w:cs="Courier New" w:eastAsia="Courier New" w:hAnsi="Courier New"/>
                <w:sz w:val="17"/>
                <w:szCs w:val="17"/>
                <w:color w:val="auto"/>
              </w:rPr>
              <w:t>------------------------</w:t>
            </w:r>
          </w:p>
        </w:tc>
        <w:tc>
          <w:tcPr>
            <w:tcW w:w="2780" w:type="dxa"/>
            <w:vAlign w:val="bottom"/>
            <w:gridSpan w:val="4"/>
          </w:tcPr>
          <w:p>
            <w:pPr>
              <w:ind w:left="300"/>
              <w:spacing w:after="0"/>
              <w:rPr>
                <w:sz w:val="20"/>
                <w:szCs w:val="20"/>
                <w:color w:val="auto"/>
              </w:rPr>
            </w:pPr>
            <w:r>
              <w:rPr>
                <w:rFonts w:ascii="Courier New" w:cs="Courier New" w:eastAsia="Courier New" w:hAnsi="Courier New"/>
                <w:sz w:val="17"/>
                <w:szCs w:val="17"/>
                <w:color w:val="auto"/>
              </w:rPr>
              <w:t>------------------------</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JULY 31,</w:t>
            </w:r>
          </w:p>
        </w:tc>
        <w:tc>
          <w:tcPr>
            <w:tcW w:w="1620" w:type="dxa"/>
            <w:vAlign w:val="bottom"/>
            <w:gridSpan w:val="2"/>
          </w:tcPr>
          <w:p>
            <w:pPr>
              <w:jc w:val="right"/>
              <w:ind w:right="233"/>
              <w:spacing w:after="0"/>
              <w:rPr>
                <w:sz w:val="20"/>
                <w:szCs w:val="20"/>
                <w:color w:val="auto"/>
              </w:rPr>
            </w:pPr>
            <w:r>
              <w:rPr>
                <w:rFonts w:ascii="Courier New" w:cs="Courier New" w:eastAsia="Courier New" w:hAnsi="Courier New"/>
                <w:sz w:val="17"/>
                <w:szCs w:val="17"/>
                <w:color w:val="auto"/>
              </w:rPr>
              <w:t>AUGUST 2,</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JULY 31,</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AUGUST 2,</w:t>
            </w:r>
          </w:p>
        </w:tc>
      </w:tr>
      <w:tr>
        <w:trPr>
          <w:trHeight w:val="200"/>
        </w:trPr>
        <w:tc>
          <w:tcPr>
            <w:tcW w:w="556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080" w:type="dxa"/>
            <w:vAlign w:val="bottom"/>
          </w:tcPr>
          <w:p>
            <w:pPr>
              <w:ind w:left="100"/>
              <w:spacing w:after="0"/>
              <w:rPr>
                <w:sz w:val="20"/>
                <w:szCs w:val="20"/>
                <w:color w:val="auto"/>
              </w:rPr>
            </w:pPr>
            <w:r>
              <w:rPr>
                <w:rFonts w:ascii="Courier New" w:cs="Courier New" w:eastAsia="Courier New" w:hAnsi="Courier New"/>
                <w:sz w:val="17"/>
                <w:szCs w:val="17"/>
                <w:color w:val="auto"/>
              </w:rPr>
              <w:t>2004</w:t>
            </w:r>
          </w:p>
        </w:tc>
        <w:tc>
          <w:tcPr>
            <w:tcW w:w="480" w:type="dxa"/>
            <w:vAlign w:val="bottom"/>
          </w:tcPr>
          <w:p>
            <w:pPr>
              <w:spacing w:after="0"/>
              <w:rPr>
                <w:sz w:val="17"/>
                <w:szCs w:val="17"/>
                <w:color w:val="auto"/>
              </w:rPr>
            </w:pPr>
          </w:p>
        </w:tc>
        <w:tc>
          <w:tcPr>
            <w:tcW w:w="1140" w:type="dxa"/>
            <w:vAlign w:val="bottom"/>
          </w:tcPr>
          <w:p>
            <w:pPr>
              <w:jc w:val="right"/>
              <w:ind w:right="533"/>
              <w:spacing w:after="0"/>
              <w:rPr>
                <w:sz w:val="20"/>
                <w:szCs w:val="20"/>
                <w:color w:val="auto"/>
              </w:rPr>
            </w:pPr>
            <w:r>
              <w:rPr>
                <w:rFonts w:ascii="Courier New" w:cs="Courier New" w:eastAsia="Courier New" w:hAnsi="Courier New"/>
                <w:sz w:val="17"/>
                <w:szCs w:val="17"/>
                <w:color w:val="auto"/>
              </w:rPr>
              <w:t>2003</w:t>
            </w:r>
          </w:p>
        </w:tc>
        <w:tc>
          <w:tcPr>
            <w:tcW w:w="400" w:type="dxa"/>
            <w:vAlign w:val="bottom"/>
          </w:tcPr>
          <w:p>
            <w:pPr>
              <w:spacing w:after="0"/>
              <w:rPr>
                <w:sz w:val="17"/>
                <w:szCs w:val="17"/>
                <w:color w:val="auto"/>
              </w:rPr>
            </w:pPr>
          </w:p>
        </w:tc>
        <w:tc>
          <w:tcPr>
            <w:tcW w:w="1100" w:type="dxa"/>
            <w:vAlign w:val="bottom"/>
          </w:tcPr>
          <w:p>
            <w:pPr>
              <w:jc w:val="right"/>
              <w:ind w:right="493"/>
              <w:spacing w:after="0"/>
              <w:rPr>
                <w:sz w:val="20"/>
                <w:szCs w:val="20"/>
                <w:color w:val="auto"/>
              </w:rPr>
            </w:pPr>
            <w:r>
              <w:rPr>
                <w:rFonts w:ascii="Courier New" w:cs="Courier New" w:eastAsia="Courier New" w:hAnsi="Courier New"/>
                <w:sz w:val="17"/>
                <w:szCs w:val="17"/>
                <w:color w:val="auto"/>
              </w:rPr>
              <w:t>2004</w:t>
            </w:r>
          </w:p>
        </w:tc>
        <w:tc>
          <w:tcPr>
            <w:tcW w:w="460" w:type="dxa"/>
            <w:vAlign w:val="bottom"/>
          </w:tcPr>
          <w:p>
            <w:pPr>
              <w:spacing w:after="0"/>
              <w:rPr>
                <w:sz w:val="17"/>
                <w:szCs w:val="17"/>
                <w:color w:val="auto"/>
              </w:rPr>
            </w:pPr>
          </w:p>
        </w:tc>
        <w:tc>
          <w:tcPr>
            <w:tcW w:w="820" w:type="dxa"/>
            <w:vAlign w:val="bottom"/>
          </w:tcPr>
          <w:p>
            <w:pPr>
              <w:jc w:val="right"/>
              <w:ind w:right="213"/>
              <w:spacing w:after="0"/>
              <w:rPr>
                <w:sz w:val="20"/>
                <w:szCs w:val="20"/>
                <w:color w:val="auto"/>
              </w:rPr>
            </w:pPr>
            <w:r>
              <w:rPr>
                <w:rFonts w:ascii="Courier New" w:cs="Courier New" w:eastAsia="Courier New" w:hAnsi="Courier New"/>
                <w:sz w:val="17"/>
                <w:szCs w:val="17"/>
                <w:color w:val="auto"/>
              </w:rPr>
              <w:t>2003</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ind w:left="360"/>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ind w:left="360"/>
              <w:spacing w:after="0"/>
              <w:rPr>
                <w:sz w:val="20"/>
                <w:szCs w:val="20"/>
                <w:color w:val="auto"/>
              </w:rPr>
            </w:pPr>
            <w:r>
              <w:rPr>
                <w:rFonts w:ascii="Courier New" w:cs="Courier New" w:eastAsia="Courier New" w:hAnsi="Courier New"/>
                <w:sz w:val="17"/>
                <w:szCs w:val="17"/>
                <w:color w:val="auto"/>
                <w:w w:val="97"/>
              </w:rPr>
              <w:t>---------</w:t>
            </w:r>
          </w:p>
        </w:tc>
      </w:tr>
      <w:tr>
        <w:trPr>
          <w:trHeight w:val="4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Net revenue</w:t>
            </w: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$297,154</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$192,854</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$566,731</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$361,137</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Cost of goods sold</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140,905</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88,944</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268,741</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165,057</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Gross profit</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156,249</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w w:val="97"/>
              </w:rPr>
              <w:t>103,910</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297,990</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196,080</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Operating expenses:</w:t>
            </w:r>
          </w:p>
        </w:tc>
        <w:tc>
          <w:tcPr>
            <w:tcW w:w="4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820" w:type="dxa"/>
            <w:vAlign w:val="bottom"/>
          </w:tcPr>
          <w:p>
            <w:pPr>
              <w:spacing w:after="0"/>
              <w:rPr>
                <w:sz w:val="17"/>
                <w:szCs w:val="17"/>
                <w:color w:val="auto"/>
              </w:rPr>
            </w:pPr>
          </w:p>
        </w:tc>
      </w:tr>
      <w:tr>
        <w:trPr>
          <w:trHeight w:val="200"/>
        </w:trPr>
        <w:tc>
          <w:tcPr>
            <w:tcW w:w="5560" w:type="dxa"/>
            <w:vAlign w:val="bottom"/>
          </w:tcPr>
          <w:p>
            <w:pPr>
              <w:ind w:left="520"/>
              <w:spacing w:after="0"/>
              <w:rPr>
                <w:sz w:val="20"/>
                <w:szCs w:val="20"/>
                <w:color w:val="auto"/>
              </w:rPr>
            </w:pPr>
            <w:r>
              <w:rPr>
                <w:rFonts w:ascii="Courier New" w:cs="Courier New" w:eastAsia="Courier New" w:hAnsi="Courier New"/>
                <w:sz w:val="17"/>
                <w:szCs w:val="17"/>
                <w:color w:val="auto"/>
              </w:rPr>
              <w:t>Research and development</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64,036</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52,252</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127,308</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98,891</w:t>
            </w:r>
          </w:p>
        </w:tc>
      </w:tr>
      <w:tr>
        <w:trPr>
          <w:trHeight w:val="200"/>
        </w:trPr>
        <w:tc>
          <w:tcPr>
            <w:tcW w:w="5560" w:type="dxa"/>
            <w:vAlign w:val="bottom"/>
          </w:tcPr>
          <w:p>
            <w:pPr>
              <w:ind w:left="520"/>
              <w:spacing w:after="0"/>
              <w:rPr>
                <w:sz w:val="20"/>
                <w:szCs w:val="20"/>
                <w:color w:val="auto"/>
              </w:rPr>
            </w:pPr>
            <w:r>
              <w:rPr>
                <w:rFonts w:ascii="Courier New" w:cs="Courier New" w:eastAsia="Courier New" w:hAnsi="Courier New"/>
                <w:sz w:val="17"/>
                <w:szCs w:val="17"/>
                <w:color w:val="auto"/>
              </w:rPr>
              <w:t>Selling and marketing</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19,884</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14,783</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38,585</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30,246</w:t>
            </w:r>
          </w:p>
        </w:tc>
      </w:tr>
      <w:tr>
        <w:trPr>
          <w:trHeight w:val="200"/>
        </w:trPr>
        <w:tc>
          <w:tcPr>
            <w:tcW w:w="5560" w:type="dxa"/>
            <w:vAlign w:val="bottom"/>
          </w:tcPr>
          <w:p>
            <w:pPr>
              <w:ind w:left="520"/>
              <w:spacing w:after="0"/>
              <w:rPr>
                <w:sz w:val="20"/>
                <w:szCs w:val="20"/>
                <w:color w:val="auto"/>
              </w:rPr>
            </w:pPr>
            <w:r>
              <w:rPr>
                <w:rFonts w:ascii="Courier New" w:cs="Courier New" w:eastAsia="Courier New" w:hAnsi="Courier New"/>
                <w:sz w:val="17"/>
                <w:szCs w:val="17"/>
                <w:color w:val="auto"/>
              </w:rPr>
              <w:t>General and administrative</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7,662</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4,351</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14,499</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7,931</w:t>
            </w:r>
          </w:p>
        </w:tc>
      </w:tr>
      <w:tr>
        <w:trPr>
          <w:trHeight w:val="200"/>
        </w:trPr>
        <w:tc>
          <w:tcPr>
            <w:tcW w:w="5560" w:type="dxa"/>
            <w:vAlign w:val="bottom"/>
          </w:tcPr>
          <w:p>
            <w:pPr>
              <w:ind w:left="520"/>
              <w:spacing w:after="0"/>
              <w:rPr>
                <w:sz w:val="20"/>
                <w:szCs w:val="20"/>
                <w:color w:val="auto"/>
              </w:rPr>
            </w:pPr>
            <w:r>
              <w:rPr>
                <w:rFonts w:ascii="Courier New" w:cs="Courier New" w:eastAsia="Courier New" w:hAnsi="Courier New"/>
                <w:sz w:val="17"/>
                <w:szCs w:val="17"/>
                <w:color w:val="auto"/>
              </w:rPr>
              <w:t>Amortization of stock-based compensation</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1,272</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1,020</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2,660</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1,678</w:t>
            </w:r>
          </w:p>
        </w:tc>
      </w:tr>
      <w:tr>
        <w:trPr>
          <w:trHeight w:val="200"/>
        </w:trPr>
        <w:tc>
          <w:tcPr>
            <w:tcW w:w="5560" w:type="dxa"/>
            <w:vAlign w:val="bottom"/>
          </w:tcPr>
          <w:p>
            <w:pPr>
              <w:ind w:left="520"/>
              <w:spacing w:after="0"/>
              <w:rPr>
                <w:sz w:val="20"/>
                <w:szCs w:val="20"/>
                <w:color w:val="auto"/>
              </w:rPr>
            </w:pPr>
            <w:r>
              <w:rPr>
                <w:rFonts w:ascii="Courier New" w:cs="Courier New" w:eastAsia="Courier New" w:hAnsi="Courier New"/>
                <w:sz w:val="17"/>
                <w:szCs w:val="17"/>
                <w:color w:val="auto"/>
              </w:rPr>
              <w:t>Amortization/write-off of acquired intangible</w:t>
            </w:r>
          </w:p>
        </w:tc>
        <w:tc>
          <w:tcPr>
            <w:tcW w:w="4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820" w:type="dxa"/>
            <w:vAlign w:val="bottom"/>
          </w:tcPr>
          <w:p>
            <w:pPr>
              <w:spacing w:after="0"/>
              <w:rPr>
                <w:sz w:val="17"/>
                <w:szCs w:val="17"/>
                <w:color w:val="auto"/>
              </w:rPr>
            </w:pPr>
          </w:p>
        </w:tc>
      </w:tr>
      <w:tr>
        <w:trPr>
          <w:trHeight w:val="200"/>
        </w:trPr>
        <w:tc>
          <w:tcPr>
            <w:tcW w:w="5560" w:type="dxa"/>
            <w:vAlign w:val="bottom"/>
          </w:tcPr>
          <w:p>
            <w:pPr>
              <w:ind w:left="940"/>
              <w:spacing w:after="0"/>
              <w:rPr>
                <w:sz w:val="20"/>
                <w:szCs w:val="20"/>
                <w:color w:val="auto"/>
              </w:rPr>
            </w:pPr>
            <w:r>
              <w:rPr>
                <w:rFonts w:ascii="Courier New" w:cs="Courier New" w:eastAsia="Courier New" w:hAnsi="Courier New"/>
                <w:sz w:val="17"/>
                <w:szCs w:val="17"/>
                <w:color w:val="auto"/>
              </w:rPr>
              <w:t>assets and other</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29,759</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19,560</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63,017</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39,008</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200"/>
        </w:trPr>
        <w:tc>
          <w:tcPr>
            <w:tcW w:w="5560" w:type="dxa"/>
            <w:vAlign w:val="bottom"/>
          </w:tcPr>
          <w:p>
            <w:pPr>
              <w:ind w:left="940"/>
              <w:spacing w:after="0"/>
              <w:rPr>
                <w:sz w:val="20"/>
                <w:szCs w:val="20"/>
                <w:color w:val="auto"/>
              </w:rPr>
            </w:pPr>
            <w:r>
              <w:rPr>
                <w:rFonts w:ascii="Courier New" w:cs="Courier New" w:eastAsia="Courier New" w:hAnsi="Courier New"/>
                <w:sz w:val="17"/>
                <w:szCs w:val="17"/>
                <w:color w:val="auto"/>
              </w:rPr>
              <w:t>Total operating expenses</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122,613</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91,966</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246,069</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177,754</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Operating income</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33,636</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11,944</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51,921</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18,326</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Interest and other income, net</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1,616</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1,569</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3,288</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2,880</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Income before income taxes</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35,252</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13,513</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55,209</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21,206</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Provision for income taxes</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6,628</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4,091</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12,088</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7,427</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Net income</w:t>
            </w: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$ 28,624</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9,422</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$ 43,121</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$ 13,779</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4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Basic net income per share</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0.11</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0.04</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0.16</w:t>
            </w:r>
          </w:p>
        </w:tc>
        <w:tc>
          <w:tcPr>
            <w:tcW w:w="460" w:type="dxa"/>
            <w:vAlign w:val="bottom"/>
          </w:tcPr>
          <w:p>
            <w:pPr>
              <w:ind w:left="360"/>
              <w:spacing w:after="0"/>
              <w:rPr>
                <w:sz w:val="20"/>
                <w:szCs w:val="20"/>
                <w:color w:val="auto"/>
              </w:rPr>
            </w:pPr>
            <w:r>
              <w:rPr>
                <w:rFonts w:ascii="Courier New" w:cs="Courier New" w:eastAsia="Courier New" w:hAnsi="Courier New"/>
                <w:sz w:val="17"/>
                <w:szCs w:val="17"/>
                <w:color w:val="auto"/>
                <w:w w:val="77"/>
              </w:rPr>
              <w:t>$</w:t>
            </w: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0.06</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Diluted net income per share</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0.10</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0.03</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0.15</w:t>
            </w:r>
          </w:p>
        </w:tc>
        <w:tc>
          <w:tcPr>
            <w:tcW w:w="460" w:type="dxa"/>
            <w:vAlign w:val="bottom"/>
          </w:tcPr>
          <w:p>
            <w:pPr>
              <w:ind w:left="360"/>
              <w:spacing w:after="0"/>
              <w:rPr>
                <w:sz w:val="20"/>
                <w:szCs w:val="20"/>
                <w:color w:val="auto"/>
              </w:rPr>
            </w:pPr>
            <w:r>
              <w:rPr>
                <w:rFonts w:ascii="Courier New" w:cs="Courier New" w:eastAsia="Courier New" w:hAnsi="Courier New"/>
                <w:sz w:val="17"/>
                <w:szCs w:val="17"/>
                <w:color w:val="auto"/>
                <w:w w:val="77"/>
              </w:rPr>
              <w:t>$</w:t>
            </w: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0.05</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4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Weighted average shares-- basic</w:t>
            </w:r>
          </w:p>
        </w:tc>
        <w:tc>
          <w:tcPr>
            <w:tcW w:w="480" w:type="dxa"/>
            <w:vAlign w:val="bottom"/>
          </w:tcPr>
          <w:p>
            <w:pPr>
              <w:spacing w:after="0"/>
              <w:rPr>
                <w:sz w:val="24"/>
                <w:szCs w:val="24"/>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267,940</w:t>
            </w:r>
          </w:p>
        </w:tc>
        <w:tc>
          <w:tcPr>
            <w:tcW w:w="480" w:type="dxa"/>
            <w:vAlign w:val="bottom"/>
          </w:tcPr>
          <w:p>
            <w:pPr>
              <w:spacing w:after="0"/>
              <w:rPr>
                <w:sz w:val="24"/>
                <w:szCs w:val="24"/>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w w:val="97"/>
              </w:rPr>
              <w:t>247,334</w:t>
            </w:r>
          </w:p>
        </w:tc>
        <w:tc>
          <w:tcPr>
            <w:tcW w:w="400" w:type="dxa"/>
            <w:vAlign w:val="bottom"/>
          </w:tcPr>
          <w:p>
            <w:pPr>
              <w:spacing w:after="0"/>
              <w:rPr>
                <w:sz w:val="24"/>
                <w:szCs w:val="24"/>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266,209</w:t>
            </w:r>
          </w:p>
        </w:tc>
        <w:tc>
          <w:tcPr>
            <w:tcW w:w="460" w:type="dxa"/>
            <w:vAlign w:val="bottom"/>
          </w:tcPr>
          <w:p>
            <w:pPr>
              <w:spacing w:after="0"/>
              <w:rPr>
                <w:sz w:val="24"/>
                <w:szCs w:val="24"/>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245,004</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r>
        <w:trPr>
          <w:trHeight w:val="200"/>
        </w:trPr>
        <w:tc>
          <w:tcPr>
            <w:tcW w:w="5560" w:type="dxa"/>
            <w:vAlign w:val="bottom"/>
          </w:tcPr>
          <w:p>
            <w:pPr>
              <w:spacing w:after="0"/>
              <w:rPr>
                <w:sz w:val="20"/>
                <w:szCs w:val="20"/>
                <w:color w:val="auto"/>
              </w:rPr>
            </w:pPr>
            <w:r>
              <w:rPr>
                <w:rFonts w:ascii="Courier New" w:cs="Courier New" w:eastAsia="Courier New" w:hAnsi="Courier New"/>
                <w:sz w:val="17"/>
                <w:szCs w:val="17"/>
                <w:color w:val="auto"/>
              </w:rPr>
              <w:t>Weighted average shares-- diluted</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295,769</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w w:val="97"/>
              </w:rPr>
              <w:t>273,608</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293,977</w:t>
            </w:r>
          </w:p>
        </w:tc>
        <w:tc>
          <w:tcPr>
            <w:tcW w:w="460" w:type="dxa"/>
            <w:vAlign w:val="bottom"/>
          </w:tcPr>
          <w:p>
            <w:pPr>
              <w:spacing w:after="0"/>
              <w:rPr>
                <w:sz w:val="17"/>
                <w:szCs w:val="17"/>
                <w:color w:val="auto"/>
              </w:rPr>
            </w:pPr>
          </w:p>
        </w:tc>
        <w:tc>
          <w:tcPr>
            <w:tcW w:w="820" w:type="dxa"/>
            <w:vAlign w:val="bottom"/>
          </w:tcPr>
          <w:p>
            <w:pPr>
              <w:jc w:val="right"/>
              <w:spacing w:after="0"/>
              <w:rPr>
                <w:sz w:val="20"/>
                <w:szCs w:val="20"/>
                <w:color w:val="auto"/>
              </w:rPr>
            </w:pPr>
            <w:r>
              <w:rPr>
                <w:rFonts w:ascii="Courier New" w:cs="Courier New" w:eastAsia="Courier New" w:hAnsi="Courier New"/>
                <w:sz w:val="17"/>
                <w:szCs w:val="17"/>
                <w:color w:val="auto"/>
              </w:rPr>
              <w:t>266,377</w:t>
            </w:r>
          </w:p>
        </w:tc>
      </w:tr>
      <w:tr>
        <w:trPr>
          <w:trHeight w:val="200"/>
        </w:trPr>
        <w:tc>
          <w:tcPr>
            <w:tcW w:w="556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28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w:t>
            </w:r>
          </w:p>
        </w:tc>
      </w:tr>
    </w:tbl>
    <w:p>
      <w:pPr>
        <w:sectPr>
          <w:pgSz w:w="11900" w:h="16838" w:orient="portrait"/>
          <w:cols w:equalWidth="0" w:num="1">
            <w:col w:w="11520"/>
          </w:cols>
          <w:pgMar w:left="240" w:top="715" w:right="139" w:bottom="1440" w:gutter="0" w:footer="0" w:header="0"/>
        </w:sectPr>
      </w:pPr>
    </w:p>
    <w:bookmarkStart w:id="10" w:name="page11"/>
    <w:bookmarkEnd w:id="10"/>
    <w:p>
      <w:pPr>
        <w:jc w:val="center"/>
        <w:ind w:right="2600"/>
        <w:spacing w:after="0"/>
        <w:rPr>
          <w:sz w:val="20"/>
          <w:szCs w:val="20"/>
          <w:color w:val="auto"/>
        </w:rPr>
      </w:pPr>
      <w:r>
        <w:rPr>
          <w:rFonts w:ascii="Courier New" w:cs="Courier New" w:eastAsia="Courier New" w:hAnsi="Courier New"/>
          <w:sz w:val="17"/>
          <w:szCs w:val="17"/>
          <w:color w:val="auto"/>
        </w:rPr>
        <w:t>MARVELL TECHNOLOGY GROUP LTD.</w:t>
      </w:r>
    </w:p>
    <w:p>
      <w:pPr>
        <w:spacing w:after="0" w:line="7" w:lineRule="exact"/>
        <w:rPr>
          <w:sz w:val="20"/>
          <w:szCs w:val="20"/>
          <w:color w:val="auto"/>
        </w:rPr>
      </w:pPr>
    </w:p>
    <w:p>
      <w:pPr>
        <w:jc w:val="center"/>
        <w:ind w:right="2600"/>
        <w:spacing w:after="0"/>
        <w:rPr>
          <w:sz w:val="20"/>
          <w:szCs w:val="20"/>
          <w:color w:val="auto"/>
        </w:rPr>
      </w:pPr>
      <w:r>
        <w:rPr>
          <w:rFonts w:ascii="Courier New" w:cs="Courier New" w:eastAsia="Courier New" w:hAnsi="Courier New"/>
          <w:sz w:val="17"/>
          <w:szCs w:val="17"/>
          <w:color w:val="auto"/>
        </w:rPr>
        <w:t>PRO FORMA CONSOLIDATED STATEMENTS OF OPERATIONS</w:t>
      </w:r>
    </w:p>
    <w:p>
      <w:pPr>
        <w:spacing w:after="0" w:line="7" w:lineRule="exact"/>
        <w:rPr>
          <w:sz w:val="20"/>
          <w:szCs w:val="20"/>
          <w:color w:val="auto"/>
        </w:rPr>
      </w:pPr>
    </w:p>
    <w:p>
      <w:pPr>
        <w:jc w:val="center"/>
        <w:ind w:right="2600"/>
        <w:spacing w:after="0"/>
        <w:rPr>
          <w:sz w:val="20"/>
          <w:szCs w:val="20"/>
          <w:color w:val="auto"/>
        </w:rPr>
      </w:pPr>
      <w:r>
        <w:rPr>
          <w:rFonts w:ascii="Courier New" w:cs="Courier New" w:eastAsia="Courier New" w:hAnsi="Courier New"/>
          <w:sz w:val="17"/>
          <w:szCs w:val="17"/>
          <w:color w:val="auto"/>
        </w:rPr>
        <w:t>(UNAUDITED)</w:t>
      </w:r>
    </w:p>
    <w:p>
      <w:pPr>
        <w:spacing w:after="0" w:line="7" w:lineRule="exact"/>
        <w:rPr>
          <w:sz w:val="20"/>
          <w:szCs w:val="20"/>
          <w:color w:val="auto"/>
        </w:rPr>
      </w:pPr>
    </w:p>
    <w:p>
      <w:pPr>
        <w:jc w:val="center"/>
        <w:ind w:right="2700"/>
        <w:spacing w:after="0"/>
        <w:rPr>
          <w:sz w:val="20"/>
          <w:szCs w:val="20"/>
          <w:color w:val="auto"/>
        </w:rPr>
      </w:pPr>
      <w:r>
        <w:rPr>
          <w:rFonts w:ascii="Courier New" w:cs="Courier New" w:eastAsia="Courier New" w:hAnsi="Courier New"/>
          <w:sz w:val="17"/>
          <w:szCs w:val="17"/>
          <w:color w:val="auto"/>
        </w:rPr>
        <w:t>(IN THOUSANDS, EXCEPT PER SHARE AMOUNTS)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50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700" w:type="dxa"/>
            <w:vAlign w:val="bottom"/>
            <w:gridSpan w:val="3"/>
          </w:tcPr>
          <w:p>
            <w:pPr>
              <w:jc w:val="right"/>
              <w:ind w:right="533"/>
              <w:spacing w:after="0"/>
              <w:rPr>
                <w:sz w:val="20"/>
                <w:szCs w:val="20"/>
                <w:color w:val="auto"/>
              </w:rPr>
            </w:pPr>
            <w:r>
              <w:rPr>
                <w:rFonts w:ascii="Courier New" w:cs="Courier New" w:eastAsia="Courier New" w:hAnsi="Courier New"/>
                <w:sz w:val="17"/>
                <w:szCs w:val="17"/>
                <w:color w:val="auto"/>
              </w:rPr>
              <w:t>THREE MONTHS ENDED</w:t>
            </w:r>
          </w:p>
        </w:tc>
        <w:tc>
          <w:tcPr>
            <w:tcW w:w="400" w:type="dxa"/>
            <w:vAlign w:val="bottom"/>
          </w:tcPr>
          <w:p>
            <w:pPr>
              <w:spacing w:after="0"/>
              <w:rPr>
                <w:sz w:val="16"/>
                <w:szCs w:val="16"/>
                <w:color w:val="auto"/>
              </w:rPr>
            </w:pPr>
          </w:p>
        </w:tc>
        <w:tc>
          <w:tcPr>
            <w:tcW w:w="2400" w:type="dxa"/>
            <w:vAlign w:val="bottom"/>
            <w:gridSpan w:val="3"/>
          </w:tcPr>
          <w:p>
            <w:pPr>
              <w:jc w:val="right"/>
              <w:ind w:right="433"/>
              <w:spacing w:after="0"/>
              <w:rPr>
                <w:sz w:val="20"/>
                <w:szCs w:val="20"/>
                <w:color w:val="auto"/>
              </w:rPr>
            </w:pPr>
            <w:r>
              <w:rPr>
                <w:rFonts w:ascii="Courier New" w:cs="Courier New" w:eastAsia="Courier New" w:hAnsi="Courier New"/>
                <w:sz w:val="17"/>
                <w:szCs w:val="17"/>
                <w:color w:val="auto"/>
              </w:rPr>
              <w:t>SIX MONTHS ENDED</w:t>
            </w:r>
          </w:p>
        </w:tc>
      </w:tr>
      <w:tr>
        <w:trPr>
          <w:trHeight w:val="200"/>
        </w:trPr>
        <w:tc>
          <w:tcPr>
            <w:tcW w:w="5040" w:type="dxa"/>
            <w:vAlign w:val="bottom"/>
          </w:tcPr>
          <w:p>
            <w:pPr>
              <w:spacing w:after="0"/>
              <w:rPr>
                <w:sz w:val="17"/>
                <w:szCs w:val="17"/>
                <w:color w:val="auto"/>
              </w:rPr>
            </w:pPr>
          </w:p>
        </w:tc>
        <w:tc>
          <w:tcPr>
            <w:tcW w:w="3180" w:type="dxa"/>
            <w:vAlign w:val="bottom"/>
            <w:gridSpan w:val="4"/>
          </w:tcPr>
          <w:p>
            <w:pPr>
              <w:ind w:left="360"/>
              <w:spacing w:after="0"/>
              <w:rPr>
                <w:sz w:val="20"/>
                <w:szCs w:val="20"/>
                <w:color w:val="auto"/>
              </w:rPr>
            </w:pPr>
            <w:r>
              <w:rPr>
                <w:rFonts w:ascii="Courier New" w:cs="Courier New" w:eastAsia="Courier New" w:hAnsi="Courier New"/>
                <w:sz w:val="17"/>
                <w:szCs w:val="17"/>
                <w:color w:val="auto"/>
              </w:rPr>
              <w:t>------------------------</w:t>
            </w:r>
          </w:p>
        </w:tc>
        <w:tc>
          <w:tcPr>
            <w:tcW w:w="2800" w:type="dxa"/>
            <w:vAlign w:val="bottom"/>
            <w:gridSpan w:val="4"/>
          </w:tcPr>
          <w:p>
            <w:pPr>
              <w:ind w:left="300"/>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JULY 31,</w:t>
            </w:r>
          </w:p>
        </w:tc>
        <w:tc>
          <w:tcPr>
            <w:tcW w:w="1620" w:type="dxa"/>
            <w:vAlign w:val="bottom"/>
            <w:gridSpan w:val="2"/>
          </w:tcPr>
          <w:p>
            <w:pPr>
              <w:jc w:val="right"/>
              <w:ind w:right="233"/>
              <w:spacing w:after="0"/>
              <w:rPr>
                <w:sz w:val="20"/>
                <w:szCs w:val="20"/>
                <w:color w:val="auto"/>
              </w:rPr>
            </w:pPr>
            <w:r>
              <w:rPr>
                <w:rFonts w:ascii="Courier New" w:cs="Courier New" w:eastAsia="Courier New" w:hAnsi="Courier New"/>
                <w:sz w:val="17"/>
                <w:szCs w:val="17"/>
                <w:color w:val="auto"/>
              </w:rPr>
              <w:t>AUGUST 2,</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JULY 31,</w:t>
            </w:r>
          </w:p>
        </w:tc>
        <w:tc>
          <w:tcPr>
            <w:tcW w:w="1300" w:type="dxa"/>
            <w:vAlign w:val="bottom"/>
            <w:gridSpan w:val="2"/>
          </w:tcPr>
          <w:p>
            <w:pPr>
              <w:jc w:val="right"/>
              <w:spacing w:after="0"/>
              <w:rPr>
                <w:sz w:val="20"/>
                <w:szCs w:val="20"/>
                <w:color w:val="auto"/>
              </w:rPr>
            </w:pPr>
            <w:r>
              <w:rPr>
                <w:rFonts w:ascii="Courier New" w:cs="Courier New" w:eastAsia="Courier New" w:hAnsi="Courier New"/>
                <w:sz w:val="17"/>
                <w:szCs w:val="17"/>
                <w:color w:val="auto"/>
              </w:rPr>
              <w:t>AUGUST 2,</w:t>
            </w:r>
          </w:p>
        </w:tc>
      </w:tr>
      <w:tr>
        <w:trPr>
          <w:trHeight w:val="200"/>
        </w:trPr>
        <w:tc>
          <w:tcPr>
            <w:tcW w:w="50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080" w:type="dxa"/>
            <w:vAlign w:val="bottom"/>
          </w:tcPr>
          <w:p>
            <w:pPr>
              <w:jc w:val="right"/>
              <w:ind w:right="473"/>
              <w:spacing w:after="0"/>
              <w:rPr>
                <w:sz w:val="20"/>
                <w:szCs w:val="20"/>
                <w:color w:val="auto"/>
              </w:rPr>
            </w:pPr>
            <w:r>
              <w:rPr>
                <w:rFonts w:ascii="Courier New" w:cs="Courier New" w:eastAsia="Courier New" w:hAnsi="Courier New"/>
                <w:sz w:val="17"/>
                <w:szCs w:val="17"/>
                <w:color w:val="auto"/>
              </w:rPr>
              <w:t>2004</w:t>
            </w:r>
          </w:p>
        </w:tc>
        <w:tc>
          <w:tcPr>
            <w:tcW w:w="480" w:type="dxa"/>
            <w:vAlign w:val="bottom"/>
          </w:tcPr>
          <w:p>
            <w:pPr>
              <w:spacing w:after="0"/>
              <w:rPr>
                <w:sz w:val="17"/>
                <w:szCs w:val="17"/>
                <w:color w:val="auto"/>
              </w:rPr>
            </w:pPr>
          </w:p>
        </w:tc>
        <w:tc>
          <w:tcPr>
            <w:tcW w:w="1140" w:type="dxa"/>
            <w:vAlign w:val="bottom"/>
          </w:tcPr>
          <w:p>
            <w:pPr>
              <w:jc w:val="right"/>
              <w:ind w:right="533"/>
              <w:spacing w:after="0"/>
              <w:rPr>
                <w:sz w:val="20"/>
                <w:szCs w:val="20"/>
                <w:color w:val="auto"/>
              </w:rPr>
            </w:pPr>
            <w:r>
              <w:rPr>
                <w:rFonts w:ascii="Courier New" w:cs="Courier New" w:eastAsia="Courier New" w:hAnsi="Courier New"/>
                <w:sz w:val="17"/>
                <w:szCs w:val="17"/>
                <w:color w:val="auto"/>
              </w:rPr>
              <w:t>2003</w:t>
            </w:r>
          </w:p>
        </w:tc>
        <w:tc>
          <w:tcPr>
            <w:tcW w:w="400" w:type="dxa"/>
            <w:vAlign w:val="bottom"/>
          </w:tcPr>
          <w:p>
            <w:pPr>
              <w:spacing w:after="0"/>
              <w:rPr>
                <w:sz w:val="17"/>
                <w:szCs w:val="17"/>
                <w:color w:val="auto"/>
              </w:rPr>
            </w:pPr>
          </w:p>
        </w:tc>
        <w:tc>
          <w:tcPr>
            <w:tcW w:w="1100" w:type="dxa"/>
            <w:vAlign w:val="bottom"/>
          </w:tcPr>
          <w:p>
            <w:pPr>
              <w:jc w:val="right"/>
              <w:ind w:right="493"/>
              <w:spacing w:after="0"/>
              <w:rPr>
                <w:sz w:val="20"/>
                <w:szCs w:val="20"/>
                <w:color w:val="auto"/>
              </w:rPr>
            </w:pPr>
            <w:r>
              <w:rPr>
                <w:rFonts w:ascii="Courier New" w:cs="Courier New" w:eastAsia="Courier New" w:hAnsi="Courier New"/>
                <w:sz w:val="17"/>
                <w:szCs w:val="17"/>
                <w:color w:val="auto"/>
              </w:rPr>
              <w:t>2004</w:t>
            </w:r>
          </w:p>
        </w:tc>
        <w:tc>
          <w:tcPr>
            <w:tcW w:w="460" w:type="dxa"/>
            <w:vAlign w:val="bottom"/>
          </w:tcPr>
          <w:p>
            <w:pPr>
              <w:spacing w:after="0"/>
              <w:rPr>
                <w:sz w:val="17"/>
                <w:szCs w:val="17"/>
                <w:color w:val="auto"/>
              </w:rPr>
            </w:pPr>
          </w:p>
        </w:tc>
        <w:tc>
          <w:tcPr>
            <w:tcW w:w="840" w:type="dxa"/>
            <w:vAlign w:val="bottom"/>
          </w:tcPr>
          <w:p>
            <w:pPr>
              <w:jc w:val="right"/>
              <w:ind w:right="233"/>
              <w:spacing w:after="0"/>
              <w:rPr>
                <w:sz w:val="20"/>
                <w:szCs w:val="20"/>
                <w:color w:val="auto"/>
              </w:rPr>
            </w:pPr>
            <w:r>
              <w:rPr>
                <w:rFonts w:ascii="Courier New" w:cs="Courier New" w:eastAsia="Courier New" w:hAnsi="Courier New"/>
                <w:sz w:val="17"/>
                <w:szCs w:val="17"/>
                <w:color w:val="auto"/>
              </w:rPr>
              <w:t>2003</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ind w:left="360"/>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ind w:left="360"/>
              <w:spacing w:after="0"/>
              <w:rPr>
                <w:sz w:val="20"/>
                <w:szCs w:val="20"/>
                <w:color w:val="auto"/>
              </w:rPr>
            </w:pPr>
            <w:r>
              <w:rPr>
                <w:rFonts w:ascii="Courier New" w:cs="Courier New" w:eastAsia="Courier New" w:hAnsi="Courier New"/>
                <w:sz w:val="17"/>
                <w:szCs w:val="17"/>
                <w:color w:val="auto"/>
              </w:rPr>
              <w:t>---------</w:t>
            </w:r>
          </w:p>
        </w:tc>
      </w:tr>
      <w:tr>
        <w:trPr>
          <w:trHeight w:val="4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Net revenue</w:t>
            </w: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$297,154</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$192,854</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$566,731</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$361,137</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Cost of goods sold</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140,905</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88,944</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268,741</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165,057</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Gross profit</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156,249</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w w:val="97"/>
              </w:rPr>
              <w:t>103,910</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297,990</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196,080</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Operating expenses:</w:t>
            </w:r>
          </w:p>
        </w:tc>
        <w:tc>
          <w:tcPr>
            <w:tcW w:w="4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840" w:type="dxa"/>
            <w:vAlign w:val="bottom"/>
          </w:tcPr>
          <w:p>
            <w:pPr>
              <w:spacing w:after="0"/>
              <w:rPr>
                <w:sz w:val="17"/>
                <w:szCs w:val="17"/>
                <w:color w:val="auto"/>
              </w:rPr>
            </w:pPr>
          </w:p>
        </w:tc>
      </w:tr>
      <w:tr>
        <w:trPr>
          <w:trHeight w:val="200"/>
        </w:trPr>
        <w:tc>
          <w:tcPr>
            <w:tcW w:w="5040" w:type="dxa"/>
            <w:vAlign w:val="bottom"/>
          </w:tcPr>
          <w:p>
            <w:pPr>
              <w:ind w:left="520"/>
              <w:spacing w:after="0"/>
              <w:rPr>
                <w:sz w:val="20"/>
                <w:szCs w:val="20"/>
                <w:color w:val="auto"/>
              </w:rPr>
            </w:pPr>
            <w:r>
              <w:rPr>
                <w:rFonts w:ascii="Courier New" w:cs="Courier New" w:eastAsia="Courier New" w:hAnsi="Courier New"/>
                <w:sz w:val="17"/>
                <w:szCs w:val="17"/>
                <w:color w:val="auto"/>
              </w:rPr>
              <w:t>Research and development</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64,036</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52,252</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127,308</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98,891</w:t>
            </w:r>
          </w:p>
        </w:tc>
      </w:tr>
      <w:tr>
        <w:trPr>
          <w:trHeight w:val="200"/>
        </w:trPr>
        <w:tc>
          <w:tcPr>
            <w:tcW w:w="5040" w:type="dxa"/>
            <w:vAlign w:val="bottom"/>
          </w:tcPr>
          <w:p>
            <w:pPr>
              <w:ind w:left="520"/>
              <w:spacing w:after="0"/>
              <w:rPr>
                <w:sz w:val="20"/>
                <w:szCs w:val="20"/>
                <w:color w:val="auto"/>
              </w:rPr>
            </w:pPr>
            <w:r>
              <w:rPr>
                <w:rFonts w:ascii="Courier New" w:cs="Courier New" w:eastAsia="Courier New" w:hAnsi="Courier New"/>
                <w:sz w:val="17"/>
                <w:szCs w:val="17"/>
                <w:color w:val="auto"/>
              </w:rPr>
              <w:t>Selling and marketing</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19,884</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14,783</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38,585</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30,246</w:t>
            </w:r>
          </w:p>
        </w:tc>
      </w:tr>
      <w:tr>
        <w:trPr>
          <w:trHeight w:val="200"/>
        </w:trPr>
        <w:tc>
          <w:tcPr>
            <w:tcW w:w="5040" w:type="dxa"/>
            <w:vAlign w:val="bottom"/>
          </w:tcPr>
          <w:p>
            <w:pPr>
              <w:ind w:left="520"/>
              <w:spacing w:after="0"/>
              <w:rPr>
                <w:sz w:val="20"/>
                <w:szCs w:val="20"/>
                <w:color w:val="auto"/>
              </w:rPr>
            </w:pPr>
            <w:r>
              <w:rPr>
                <w:rFonts w:ascii="Courier New" w:cs="Courier New" w:eastAsia="Courier New" w:hAnsi="Courier New"/>
                <w:sz w:val="17"/>
                <w:szCs w:val="17"/>
                <w:color w:val="auto"/>
              </w:rPr>
              <w:t>General and administrative</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7,662</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4,351</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14,499</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7,931</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ind w:left="940"/>
              <w:spacing w:after="0"/>
              <w:rPr>
                <w:sz w:val="20"/>
                <w:szCs w:val="20"/>
                <w:color w:val="auto"/>
              </w:rPr>
            </w:pPr>
            <w:r>
              <w:rPr>
                <w:rFonts w:ascii="Courier New" w:cs="Courier New" w:eastAsia="Courier New" w:hAnsi="Courier New"/>
                <w:sz w:val="17"/>
                <w:szCs w:val="17"/>
                <w:color w:val="auto"/>
              </w:rPr>
              <w:t>Total operating expenses</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91,582</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71,386</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180,392</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137,068</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Operating income</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64,667</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32,524</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117,598</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59,012</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Interest and other income, net</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1,616</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1,569</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3,288</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2,880</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Income before income taxes</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66,283</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34,093</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120,886</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61,892</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Provision for income taxes</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6,628</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4,091</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12,088</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7,427</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Pro forma net income</w:t>
            </w: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$ 59,655</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$ 30,002</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$108,798</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$ 54,465</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4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Basic pro forma net income per share</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0.22</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0.12</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0.41</w:t>
            </w:r>
          </w:p>
        </w:tc>
        <w:tc>
          <w:tcPr>
            <w:tcW w:w="460" w:type="dxa"/>
            <w:vAlign w:val="bottom"/>
          </w:tcPr>
          <w:p>
            <w:pPr>
              <w:ind w:left="360"/>
              <w:spacing w:after="0"/>
              <w:rPr>
                <w:sz w:val="20"/>
                <w:szCs w:val="20"/>
                <w:color w:val="auto"/>
              </w:rPr>
            </w:pPr>
            <w:r>
              <w:rPr>
                <w:rFonts w:ascii="Courier New" w:cs="Courier New" w:eastAsia="Courier New" w:hAnsi="Courier New"/>
                <w:sz w:val="17"/>
                <w:szCs w:val="17"/>
                <w:color w:val="auto"/>
                <w:w w:val="77"/>
              </w:rPr>
              <w:t>$</w:t>
            </w: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0.22</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Diluted pro forma net income per share</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0.20</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0.11</w:t>
            </w:r>
          </w:p>
        </w:tc>
        <w:tc>
          <w:tcPr>
            <w:tcW w:w="400" w:type="dxa"/>
            <w:vAlign w:val="bottom"/>
          </w:tcPr>
          <w:p>
            <w:pPr>
              <w:ind w:left="300"/>
              <w:spacing w:after="0"/>
              <w:rPr>
                <w:sz w:val="20"/>
                <w:szCs w:val="20"/>
                <w:color w:val="auto"/>
              </w:rPr>
            </w:pPr>
            <w:r>
              <w:rPr>
                <w:rFonts w:ascii="Courier New" w:cs="Courier New" w:eastAsia="Courier New" w:hAnsi="Courier New"/>
                <w:sz w:val="17"/>
                <w:szCs w:val="17"/>
                <w:color w:val="auto"/>
                <w:w w:val="77"/>
              </w:rPr>
              <w:t>$</w:t>
            </w: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0.37</w:t>
            </w:r>
          </w:p>
        </w:tc>
        <w:tc>
          <w:tcPr>
            <w:tcW w:w="460" w:type="dxa"/>
            <w:vAlign w:val="bottom"/>
          </w:tcPr>
          <w:p>
            <w:pPr>
              <w:ind w:left="360"/>
              <w:spacing w:after="0"/>
              <w:rPr>
                <w:sz w:val="20"/>
                <w:szCs w:val="20"/>
                <w:color w:val="auto"/>
              </w:rPr>
            </w:pPr>
            <w:r>
              <w:rPr>
                <w:rFonts w:ascii="Courier New" w:cs="Courier New" w:eastAsia="Courier New" w:hAnsi="Courier New"/>
                <w:sz w:val="17"/>
                <w:szCs w:val="17"/>
                <w:color w:val="auto"/>
                <w:w w:val="77"/>
              </w:rPr>
              <w:t>$</w:t>
            </w: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0.20</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4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Weighted average shares-- basic</w:t>
            </w:r>
          </w:p>
        </w:tc>
        <w:tc>
          <w:tcPr>
            <w:tcW w:w="480" w:type="dxa"/>
            <w:vAlign w:val="bottom"/>
          </w:tcPr>
          <w:p>
            <w:pPr>
              <w:spacing w:after="0"/>
              <w:rPr>
                <w:sz w:val="24"/>
                <w:szCs w:val="24"/>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267,940</w:t>
            </w:r>
          </w:p>
        </w:tc>
        <w:tc>
          <w:tcPr>
            <w:tcW w:w="480" w:type="dxa"/>
            <w:vAlign w:val="bottom"/>
          </w:tcPr>
          <w:p>
            <w:pPr>
              <w:spacing w:after="0"/>
              <w:rPr>
                <w:sz w:val="24"/>
                <w:szCs w:val="24"/>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w w:val="97"/>
              </w:rPr>
              <w:t>247,334</w:t>
            </w:r>
          </w:p>
        </w:tc>
        <w:tc>
          <w:tcPr>
            <w:tcW w:w="400" w:type="dxa"/>
            <w:vAlign w:val="bottom"/>
          </w:tcPr>
          <w:p>
            <w:pPr>
              <w:spacing w:after="0"/>
              <w:rPr>
                <w:sz w:val="24"/>
                <w:szCs w:val="24"/>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266,209</w:t>
            </w:r>
          </w:p>
        </w:tc>
        <w:tc>
          <w:tcPr>
            <w:tcW w:w="460" w:type="dxa"/>
            <w:vAlign w:val="bottom"/>
          </w:tcPr>
          <w:p>
            <w:pPr>
              <w:spacing w:after="0"/>
              <w:rPr>
                <w:sz w:val="24"/>
                <w:szCs w:val="24"/>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245,004</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Weighted average shares-- diluted</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w w:val="97"/>
              </w:rPr>
              <w:t>295,769</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w w:val="97"/>
              </w:rPr>
              <w:t>273,608</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293,977</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266,377</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4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RECONCILIATION OF GAAP NET INCOME</w:t>
            </w:r>
          </w:p>
        </w:tc>
        <w:tc>
          <w:tcPr>
            <w:tcW w:w="48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840" w:type="dxa"/>
            <w:vAlign w:val="bottom"/>
          </w:tcPr>
          <w:p>
            <w:pPr>
              <w:spacing w:after="0"/>
              <w:rPr>
                <w:sz w:val="24"/>
                <w:szCs w:val="24"/>
                <w:color w:val="auto"/>
              </w:rPr>
            </w:pPr>
          </w:p>
        </w:tc>
      </w:tr>
      <w:tr>
        <w:trPr>
          <w:trHeight w:val="200"/>
        </w:trPr>
        <w:tc>
          <w:tcPr>
            <w:tcW w:w="5040" w:type="dxa"/>
            <w:vAlign w:val="bottom"/>
          </w:tcPr>
          <w:p>
            <w:pPr>
              <w:ind w:left="220"/>
              <w:spacing w:after="0"/>
              <w:rPr>
                <w:sz w:val="20"/>
                <w:szCs w:val="20"/>
                <w:color w:val="auto"/>
              </w:rPr>
            </w:pPr>
            <w:r>
              <w:rPr>
                <w:rFonts w:ascii="Courier New" w:cs="Courier New" w:eastAsia="Courier New" w:hAnsi="Courier New"/>
                <w:sz w:val="17"/>
                <w:szCs w:val="17"/>
                <w:color w:val="auto"/>
              </w:rPr>
              <w:t>TO  PRO FORMA NET INCOME:</w:t>
            </w:r>
          </w:p>
        </w:tc>
        <w:tc>
          <w:tcPr>
            <w:tcW w:w="4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840" w:type="dxa"/>
            <w:vAlign w:val="bottom"/>
          </w:tcPr>
          <w:p>
            <w:pPr>
              <w:spacing w:after="0"/>
              <w:rPr>
                <w:sz w:val="17"/>
                <w:szCs w:val="17"/>
                <w:color w:val="auto"/>
              </w:rPr>
            </w:pP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GAAP net income</w:t>
            </w: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$ 28,624</w:t>
            </w:r>
          </w:p>
        </w:tc>
        <w:tc>
          <w:tcPr>
            <w:tcW w:w="480" w:type="dxa"/>
            <w:vAlign w:val="bottom"/>
          </w:tcPr>
          <w:p>
            <w:pPr>
              <w:ind w:left="360"/>
              <w:spacing w:after="0"/>
              <w:rPr>
                <w:sz w:val="20"/>
                <w:szCs w:val="20"/>
                <w:color w:val="auto"/>
              </w:rPr>
            </w:pPr>
            <w:r>
              <w:rPr>
                <w:rFonts w:ascii="Courier New" w:cs="Courier New" w:eastAsia="Courier New" w:hAnsi="Courier New"/>
                <w:sz w:val="17"/>
                <w:szCs w:val="17"/>
                <w:color w:val="auto"/>
                <w:w w:val="97"/>
              </w:rPr>
              <w:t>$</w:t>
            </w: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9,422</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$ 43,121</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$ 13,779</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Amortization of stock-based compensation</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1,272</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1,020</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2,660</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1,678</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Amortization/write-off of acquired intangible</w:t>
            </w:r>
          </w:p>
        </w:tc>
        <w:tc>
          <w:tcPr>
            <w:tcW w:w="480" w:type="dxa"/>
            <w:vAlign w:val="bottom"/>
          </w:tcPr>
          <w:p>
            <w:pPr>
              <w:spacing w:after="0"/>
              <w:rPr>
                <w:sz w:val="17"/>
                <w:szCs w:val="17"/>
                <w:color w:val="auto"/>
              </w:rPr>
            </w:pPr>
          </w:p>
        </w:tc>
        <w:tc>
          <w:tcPr>
            <w:tcW w:w="10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840" w:type="dxa"/>
            <w:vAlign w:val="bottom"/>
          </w:tcPr>
          <w:p>
            <w:pPr>
              <w:spacing w:after="0"/>
              <w:rPr>
                <w:sz w:val="17"/>
                <w:szCs w:val="17"/>
                <w:color w:val="auto"/>
              </w:rPr>
            </w:pPr>
          </w:p>
        </w:tc>
      </w:tr>
      <w:tr>
        <w:trPr>
          <w:trHeight w:val="200"/>
        </w:trPr>
        <w:tc>
          <w:tcPr>
            <w:tcW w:w="5040" w:type="dxa"/>
            <w:vAlign w:val="bottom"/>
          </w:tcPr>
          <w:p>
            <w:pPr>
              <w:ind w:left="520"/>
              <w:spacing w:after="0"/>
              <w:rPr>
                <w:sz w:val="20"/>
                <w:szCs w:val="20"/>
                <w:color w:val="auto"/>
              </w:rPr>
            </w:pPr>
            <w:r>
              <w:rPr>
                <w:rFonts w:ascii="Courier New" w:cs="Courier New" w:eastAsia="Courier New" w:hAnsi="Courier New"/>
                <w:sz w:val="17"/>
                <w:szCs w:val="17"/>
                <w:color w:val="auto"/>
              </w:rPr>
              <w:t>assets and other</w:t>
            </w:r>
          </w:p>
        </w:tc>
        <w:tc>
          <w:tcPr>
            <w:tcW w:w="480" w:type="dxa"/>
            <w:vAlign w:val="bottom"/>
          </w:tcPr>
          <w:p>
            <w:pPr>
              <w:spacing w:after="0"/>
              <w:rPr>
                <w:sz w:val="17"/>
                <w:szCs w:val="17"/>
                <w:color w:val="auto"/>
              </w:rPr>
            </w:pPr>
          </w:p>
        </w:tc>
        <w:tc>
          <w:tcPr>
            <w:tcW w:w="108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29,759</w:t>
            </w:r>
          </w:p>
        </w:tc>
        <w:tc>
          <w:tcPr>
            <w:tcW w:w="480" w:type="dxa"/>
            <w:vAlign w:val="bottom"/>
          </w:tcPr>
          <w:p>
            <w:pPr>
              <w:spacing w:after="0"/>
              <w:rPr>
                <w:sz w:val="17"/>
                <w:szCs w:val="17"/>
                <w:color w:val="auto"/>
              </w:rPr>
            </w:pPr>
          </w:p>
        </w:tc>
        <w:tc>
          <w:tcPr>
            <w:tcW w:w="1140" w:type="dxa"/>
            <w:vAlign w:val="bottom"/>
          </w:tcPr>
          <w:p>
            <w:pPr>
              <w:jc w:val="right"/>
              <w:ind w:right="333"/>
              <w:spacing w:after="0"/>
              <w:rPr>
                <w:sz w:val="20"/>
                <w:szCs w:val="20"/>
                <w:color w:val="auto"/>
              </w:rPr>
            </w:pPr>
            <w:r>
              <w:rPr>
                <w:rFonts w:ascii="Courier New" w:cs="Courier New" w:eastAsia="Courier New" w:hAnsi="Courier New"/>
                <w:sz w:val="17"/>
                <w:szCs w:val="17"/>
                <w:color w:val="auto"/>
              </w:rPr>
              <w:t>19,560</w:t>
            </w:r>
          </w:p>
        </w:tc>
        <w:tc>
          <w:tcPr>
            <w:tcW w:w="400" w:type="dxa"/>
            <w:vAlign w:val="bottom"/>
          </w:tcPr>
          <w:p>
            <w:pPr>
              <w:spacing w:after="0"/>
              <w:rPr>
                <w:sz w:val="17"/>
                <w:szCs w:val="17"/>
                <w:color w:val="auto"/>
              </w:rPr>
            </w:pPr>
          </w:p>
        </w:tc>
        <w:tc>
          <w:tcPr>
            <w:tcW w:w="11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63,017</w:t>
            </w:r>
          </w:p>
        </w:tc>
        <w:tc>
          <w:tcPr>
            <w:tcW w:w="460" w:type="dxa"/>
            <w:vAlign w:val="bottom"/>
          </w:tcPr>
          <w:p>
            <w:pPr>
              <w:spacing w:after="0"/>
              <w:rPr>
                <w:sz w:val="17"/>
                <w:szCs w:val="17"/>
                <w:color w:val="auto"/>
              </w:rPr>
            </w:pPr>
          </w:p>
        </w:tc>
        <w:tc>
          <w:tcPr>
            <w:tcW w:w="840" w:type="dxa"/>
            <w:vAlign w:val="bottom"/>
          </w:tcPr>
          <w:p>
            <w:pPr>
              <w:jc w:val="right"/>
              <w:ind w:right="13"/>
              <w:spacing w:after="0"/>
              <w:rPr>
                <w:sz w:val="20"/>
                <w:szCs w:val="20"/>
                <w:color w:val="auto"/>
              </w:rPr>
            </w:pPr>
            <w:r>
              <w:rPr>
                <w:rFonts w:ascii="Courier New" w:cs="Courier New" w:eastAsia="Courier New" w:hAnsi="Courier New"/>
                <w:sz w:val="17"/>
                <w:szCs w:val="17"/>
                <w:color w:val="auto"/>
              </w:rPr>
              <w:t>39,008</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r>
        <w:trPr>
          <w:trHeight w:val="200"/>
        </w:trPr>
        <w:tc>
          <w:tcPr>
            <w:tcW w:w="5040" w:type="dxa"/>
            <w:vAlign w:val="bottom"/>
          </w:tcPr>
          <w:p>
            <w:pPr>
              <w:spacing w:after="0"/>
              <w:rPr>
                <w:sz w:val="20"/>
                <w:szCs w:val="20"/>
                <w:color w:val="auto"/>
              </w:rPr>
            </w:pPr>
            <w:r>
              <w:rPr>
                <w:rFonts w:ascii="Courier New" w:cs="Courier New" w:eastAsia="Courier New" w:hAnsi="Courier New"/>
                <w:sz w:val="17"/>
                <w:szCs w:val="17"/>
                <w:color w:val="auto"/>
              </w:rPr>
              <w:t>Pro forma net income</w:t>
            </w: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$ 59,655</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$ 30,002</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$108,798</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$ 54,465</w:t>
            </w:r>
          </w:p>
        </w:tc>
      </w:tr>
      <w:tr>
        <w:trPr>
          <w:trHeight w:val="200"/>
        </w:trPr>
        <w:tc>
          <w:tcPr>
            <w:tcW w:w="5040" w:type="dxa"/>
            <w:vAlign w:val="bottom"/>
          </w:tcPr>
          <w:p>
            <w:pPr>
              <w:spacing w:after="0"/>
              <w:rPr>
                <w:sz w:val="17"/>
                <w:szCs w:val="17"/>
                <w:color w:val="auto"/>
              </w:rPr>
            </w:pPr>
          </w:p>
        </w:tc>
        <w:tc>
          <w:tcPr>
            <w:tcW w:w="156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3"/>
              <w:spacing w:after="0"/>
              <w:rPr>
                <w:sz w:val="20"/>
                <w:szCs w:val="20"/>
                <w:color w:val="auto"/>
              </w:rPr>
            </w:pPr>
            <w:r>
              <w:rPr>
                <w:rFonts w:ascii="Courier New" w:cs="Courier New" w:eastAsia="Courier New" w:hAnsi="Courier New"/>
                <w:sz w:val="17"/>
                <w:szCs w:val="17"/>
                <w:color w:val="auto"/>
              </w:rPr>
              <w:t>========</w:t>
            </w:r>
          </w:p>
        </w:tc>
        <w:tc>
          <w:tcPr>
            <w:tcW w:w="1500" w:type="dxa"/>
            <w:vAlign w:val="bottom"/>
            <w:gridSpan w:val="2"/>
          </w:tcPr>
          <w:p>
            <w:pPr>
              <w:jc w:val="right"/>
              <w:ind w:right="273"/>
              <w:spacing w:after="0"/>
              <w:rPr>
                <w:sz w:val="20"/>
                <w:szCs w:val="20"/>
                <w:color w:val="auto"/>
              </w:rPr>
            </w:pPr>
            <w:r>
              <w:rPr>
                <w:rFonts w:ascii="Courier New" w:cs="Courier New" w:eastAsia="Courier New" w:hAnsi="Courier New"/>
                <w:sz w:val="17"/>
                <w:szCs w:val="17"/>
                <w:color w:val="auto"/>
              </w:rPr>
              <w:t>========</w:t>
            </w:r>
          </w:p>
        </w:tc>
        <w:tc>
          <w:tcPr>
            <w:tcW w:w="1300" w:type="dxa"/>
            <w:vAlign w:val="bottom"/>
            <w:gridSpan w:val="2"/>
          </w:tcPr>
          <w:p>
            <w:pPr>
              <w:jc w:val="right"/>
              <w:ind w:right="13"/>
              <w:spacing w:after="0"/>
              <w:rPr>
                <w:sz w:val="20"/>
                <w:szCs w:val="20"/>
                <w:color w:val="auto"/>
              </w:rPr>
            </w:pPr>
            <w:r>
              <w:rPr>
                <w:rFonts w:ascii="Courier New" w:cs="Courier New" w:eastAsia="Courier New" w:hAnsi="Courier New"/>
                <w:sz w:val="17"/>
                <w:szCs w:val="17"/>
                <w:color w:val="auto"/>
              </w:rPr>
              <w:t>========</w:t>
            </w:r>
          </w:p>
        </w:tc>
      </w:tr>
    </w:tbl>
    <w:p>
      <w:pPr>
        <w:spacing w:after="0" w:line="200" w:lineRule="exact"/>
        <w:rPr>
          <w:sz w:val="20"/>
          <w:szCs w:val="20"/>
          <w:color w:val="auto"/>
        </w:rPr>
      </w:pPr>
    </w:p>
    <w:p>
      <w:pPr>
        <w:spacing w:after="0" w:line="205" w:lineRule="exact"/>
        <w:rPr>
          <w:sz w:val="20"/>
          <w:szCs w:val="20"/>
          <w:color w:val="auto"/>
        </w:rPr>
      </w:pPr>
    </w:p>
    <w:p>
      <w:pPr>
        <w:ind w:right="2700"/>
        <w:spacing w:after="0" w:line="249" w:lineRule="auto"/>
        <w:rPr>
          <w:sz w:val="20"/>
          <w:szCs w:val="20"/>
          <w:color w:val="auto"/>
        </w:rPr>
      </w:pPr>
      <w:r>
        <w:rPr>
          <w:rFonts w:ascii="Courier New" w:cs="Courier New" w:eastAsia="Courier New" w:hAnsi="Courier New"/>
          <w:sz w:val="17"/>
          <w:szCs w:val="17"/>
          <w:color w:val="auto"/>
        </w:rPr>
        <w:t>The above pro forma statements of operations are for informational purposes only and are provided for understanding our operating results. The pro forma statements of operations have not been prepared in accordance with GAAP, should not be considered a substitute for our historical financial information prepared in accordance with GAAP and may be different from pro forma measures used by other companies. The pro forma income has been derived by adjusting the net income under generally accepted accounting principles for the impact of non cash stock-based compensation charges, non-cash charges associated with purchase accounting and other write-off related expenses.</w:t>
      </w:r>
    </w:p>
    <w:p>
      <w:pPr>
        <w:sectPr>
          <w:pgSz w:w="11900" w:h="16838" w:orient="portrait"/>
          <w:cols w:equalWidth="0" w:num="1">
            <w:col w:w="11020"/>
          </w:cols>
          <w:pgMar w:left="240" w:top="715" w:right="639" w:bottom="1440" w:gutter="0" w:footer="0" w:header="0"/>
        </w:sectPr>
      </w:pPr>
    </w:p>
    <w:bookmarkStart w:id="11" w:name="page12"/>
    <w:bookmarkEnd w:id="11"/>
    <w:p>
      <w:pPr>
        <w:jc w:val="center"/>
        <w:ind w:right="1799"/>
        <w:spacing w:after="0"/>
        <w:rPr>
          <w:sz w:val="20"/>
          <w:szCs w:val="20"/>
          <w:color w:val="auto"/>
        </w:rPr>
      </w:pPr>
      <w:r>
        <w:rPr>
          <w:rFonts w:ascii="Courier New" w:cs="Courier New" w:eastAsia="Courier New" w:hAnsi="Courier New"/>
          <w:sz w:val="17"/>
          <w:szCs w:val="17"/>
          <w:color w:val="auto"/>
        </w:rPr>
        <w:t>MARVELL TECHNOLOGY GROUP LTD.</w:t>
      </w:r>
    </w:p>
    <w:p>
      <w:pPr>
        <w:spacing w:after="0" w:line="7" w:lineRule="exact"/>
        <w:rPr>
          <w:sz w:val="20"/>
          <w:szCs w:val="20"/>
          <w:color w:val="auto"/>
        </w:rPr>
      </w:pPr>
    </w:p>
    <w:p>
      <w:pPr>
        <w:jc w:val="center"/>
        <w:ind w:right="1799"/>
        <w:spacing w:after="0"/>
        <w:rPr>
          <w:sz w:val="20"/>
          <w:szCs w:val="20"/>
          <w:color w:val="auto"/>
        </w:rPr>
      </w:pPr>
      <w:r>
        <w:rPr>
          <w:rFonts w:ascii="Courier New" w:cs="Courier New" w:eastAsia="Courier New" w:hAnsi="Courier New"/>
          <w:sz w:val="17"/>
          <w:szCs w:val="17"/>
          <w:color w:val="auto"/>
        </w:rPr>
        <w:t>CONSOLIDATED BALANCE SHEETS</w:t>
      </w:r>
    </w:p>
    <w:p>
      <w:pPr>
        <w:spacing w:after="0" w:line="7" w:lineRule="exact"/>
        <w:rPr>
          <w:sz w:val="20"/>
          <w:szCs w:val="20"/>
          <w:color w:val="auto"/>
        </w:rPr>
      </w:pPr>
    </w:p>
    <w:p>
      <w:pPr>
        <w:jc w:val="center"/>
        <w:ind w:right="1799"/>
        <w:spacing w:after="0"/>
        <w:rPr>
          <w:sz w:val="20"/>
          <w:szCs w:val="20"/>
          <w:color w:val="auto"/>
        </w:rPr>
      </w:pPr>
      <w:r>
        <w:rPr>
          <w:rFonts w:ascii="Courier New" w:cs="Courier New" w:eastAsia="Courier New" w:hAnsi="Courier New"/>
          <w:sz w:val="17"/>
          <w:szCs w:val="17"/>
          <w:color w:val="auto"/>
        </w:rPr>
        <w:t>(UNAUDITED)</w:t>
      </w:r>
    </w:p>
    <w:p>
      <w:pPr>
        <w:spacing w:after="0" w:line="7" w:lineRule="exact"/>
        <w:rPr>
          <w:sz w:val="20"/>
          <w:szCs w:val="20"/>
          <w:color w:val="auto"/>
        </w:rPr>
      </w:pPr>
    </w:p>
    <w:p>
      <w:pPr>
        <w:ind w:left="3440"/>
        <w:spacing w:after="0"/>
        <w:rPr>
          <w:sz w:val="20"/>
          <w:szCs w:val="20"/>
          <w:color w:val="auto"/>
        </w:rPr>
      </w:pPr>
      <w:r>
        <w:rPr>
          <w:rFonts w:ascii="Courier New" w:cs="Courier New" w:eastAsia="Courier New" w:hAnsi="Courier New"/>
          <w:sz w:val="17"/>
          <w:szCs w:val="17"/>
          <w:color w:val="auto"/>
        </w:rPr>
        <w:t>(IN THOUSANDS)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tbl>
      <w:tblPr>
        <w:tblLayout w:type="fixed"/>
        <w:tblInd w:w="0" w:type="dxa"/>
        <w:tblCellMar>
          <w:top w:w="0" w:type="dxa"/>
          <w:left w:w="0" w:type="dxa"/>
          <w:bottom w:w="0" w:type="dxa"/>
          <w:right w:w="0" w:type="dxa"/>
        </w:tblCellMar>
      </w:tblPr>
      <w:tr>
        <w:trPr>
          <w:trHeight w:val="194"/>
        </w:trPr>
        <w:tc>
          <w:tcPr>
            <w:tcW w:w="566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1500" w:type="dxa"/>
            <w:vAlign w:val="bottom"/>
          </w:tcPr>
          <w:p>
            <w:pPr>
              <w:jc w:val="right"/>
              <w:ind w:right="593"/>
              <w:spacing w:after="0"/>
              <w:rPr>
                <w:sz w:val="20"/>
                <w:szCs w:val="20"/>
                <w:color w:val="auto"/>
              </w:rPr>
            </w:pPr>
            <w:r>
              <w:rPr>
                <w:rFonts w:ascii="Courier New" w:cs="Courier New" w:eastAsia="Courier New" w:hAnsi="Courier New"/>
                <w:sz w:val="17"/>
                <w:szCs w:val="17"/>
                <w:color w:val="auto"/>
                <w:w w:val="97"/>
              </w:rPr>
              <w:t>JULY 31,</w:t>
            </w:r>
          </w:p>
        </w:tc>
        <w:tc>
          <w:tcPr>
            <w:tcW w:w="1620" w:type="dxa"/>
            <w:vAlign w:val="bottom"/>
            <w:gridSpan w:val="2"/>
          </w:tcPr>
          <w:p>
            <w:pPr>
              <w:ind w:left="360"/>
              <w:spacing w:after="0"/>
              <w:rPr>
                <w:sz w:val="20"/>
                <w:szCs w:val="20"/>
                <w:color w:val="auto"/>
              </w:rPr>
            </w:pPr>
            <w:r>
              <w:rPr>
                <w:rFonts w:ascii="Courier New" w:cs="Courier New" w:eastAsia="Courier New" w:hAnsi="Courier New"/>
                <w:sz w:val="17"/>
                <w:szCs w:val="17"/>
                <w:color w:val="auto"/>
              </w:rPr>
              <w:t>JANUARY 31,</w:t>
            </w:r>
          </w:p>
        </w:tc>
      </w:tr>
      <w:tr>
        <w:trPr>
          <w:trHeight w:val="2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ASSETS</w:t>
            </w:r>
          </w:p>
        </w:tc>
        <w:tc>
          <w:tcPr>
            <w:tcW w:w="480" w:type="dxa"/>
            <w:vAlign w:val="bottom"/>
          </w:tcPr>
          <w:p>
            <w:pPr>
              <w:spacing w:after="0"/>
              <w:rPr>
                <w:sz w:val="17"/>
                <w:szCs w:val="17"/>
                <w:color w:val="auto"/>
              </w:rPr>
            </w:pPr>
          </w:p>
        </w:tc>
        <w:tc>
          <w:tcPr>
            <w:tcW w:w="1500" w:type="dxa"/>
            <w:vAlign w:val="bottom"/>
          </w:tcPr>
          <w:p>
            <w:pPr>
              <w:jc w:val="right"/>
              <w:ind w:right="793"/>
              <w:spacing w:after="0"/>
              <w:rPr>
                <w:sz w:val="20"/>
                <w:szCs w:val="20"/>
                <w:color w:val="auto"/>
              </w:rPr>
            </w:pPr>
            <w:r>
              <w:rPr>
                <w:rFonts w:ascii="Courier New" w:cs="Courier New" w:eastAsia="Courier New" w:hAnsi="Courier New"/>
                <w:sz w:val="17"/>
                <w:szCs w:val="17"/>
                <w:color w:val="auto"/>
              </w:rPr>
              <w:t>2004</w:t>
            </w:r>
          </w:p>
        </w:tc>
        <w:tc>
          <w:tcPr>
            <w:tcW w:w="520" w:type="dxa"/>
            <w:vAlign w:val="bottom"/>
          </w:tcPr>
          <w:p>
            <w:pPr>
              <w:spacing w:after="0"/>
              <w:rPr>
                <w:sz w:val="17"/>
                <w:szCs w:val="17"/>
                <w:color w:val="auto"/>
              </w:rPr>
            </w:pPr>
          </w:p>
        </w:tc>
        <w:tc>
          <w:tcPr>
            <w:tcW w:w="1100" w:type="dxa"/>
            <w:vAlign w:val="bottom"/>
          </w:tcPr>
          <w:p>
            <w:pPr>
              <w:jc w:val="right"/>
              <w:ind w:right="433"/>
              <w:spacing w:after="0"/>
              <w:rPr>
                <w:sz w:val="20"/>
                <w:szCs w:val="20"/>
                <w:color w:val="auto"/>
              </w:rPr>
            </w:pPr>
            <w:r>
              <w:rPr>
                <w:rFonts w:ascii="Courier New" w:cs="Courier New" w:eastAsia="Courier New" w:hAnsi="Courier New"/>
                <w:sz w:val="17"/>
                <w:szCs w:val="17"/>
                <w:color w:val="auto"/>
              </w:rPr>
              <w:t>2004</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4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Current assets:</w:t>
            </w:r>
          </w:p>
        </w:tc>
        <w:tc>
          <w:tcPr>
            <w:tcW w:w="48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100" w:type="dxa"/>
            <w:vAlign w:val="bottom"/>
          </w:tcPr>
          <w:p>
            <w:pPr>
              <w:spacing w:after="0"/>
              <w:rPr>
                <w:sz w:val="24"/>
                <w:szCs w:val="24"/>
                <w:color w:val="auto"/>
              </w:rPr>
            </w:pP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Cash and cash equivalents</w:t>
            </w:r>
          </w:p>
        </w:tc>
        <w:tc>
          <w:tcPr>
            <w:tcW w:w="4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298,141</w:t>
            </w:r>
          </w:p>
        </w:tc>
        <w:tc>
          <w:tcPr>
            <w:tcW w:w="52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224,399</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Short-term investments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184,277</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161,872</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Accounts receivable, net</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161,107</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136,513</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Inventory, net</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97,107</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91,785</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Prepaid expenses and other current assets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17,691</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18,713</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200"/>
        </w:trPr>
        <w:tc>
          <w:tcPr>
            <w:tcW w:w="5660" w:type="dxa"/>
            <w:vAlign w:val="bottom"/>
          </w:tcPr>
          <w:p>
            <w:pPr>
              <w:ind w:left="940"/>
              <w:spacing w:after="0"/>
              <w:rPr>
                <w:sz w:val="20"/>
                <w:szCs w:val="20"/>
                <w:color w:val="auto"/>
              </w:rPr>
            </w:pPr>
            <w:r>
              <w:rPr>
                <w:rFonts w:ascii="Courier New" w:cs="Courier New" w:eastAsia="Courier New" w:hAnsi="Courier New"/>
                <w:sz w:val="17"/>
                <w:szCs w:val="17"/>
                <w:color w:val="auto"/>
              </w:rPr>
              <w:t>Total current assets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758,323</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633,282</w:t>
            </w:r>
          </w:p>
        </w:tc>
      </w:tr>
      <w:tr>
        <w:trPr>
          <w:trHeight w:val="2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Property and equipment, net</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148,498</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149,705</w:t>
            </w:r>
          </w:p>
        </w:tc>
      </w:tr>
      <w:tr>
        <w:trPr>
          <w:trHeight w:val="2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Goodwill and acquired intangible assets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1,588,736</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1,615,084</w:t>
            </w:r>
          </w:p>
        </w:tc>
      </w:tr>
      <w:tr>
        <w:trPr>
          <w:trHeight w:val="2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Other noncurrent assets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49,890</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37,394</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200"/>
        </w:trPr>
        <w:tc>
          <w:tcPr>
            <w:tcW w:w="5660" w:type="dxa"/>
            <w:vAlign w:val="bottom"/>
          </w:tcPr>
          <w:p>
            <w:pPr>
              <w:ind w:left="940"/>
              <w:spacing w:after="0"/>
              <w:rPr>
                <w:sz w:val="20"/>
                <w:szCs w:val="20"/>
                <w:color w:val="auto"/>
              </w:rPr>
            </w:pPr>
            <w:r>
              <w:rPr>
                <w:rFonts w:ascii="Courier New" w:cs="Courier New" w:eastAsia="Courier New" w:hAnsi="Courier New"/>
                <w:sz w:val="17"/>
                <w:szCs w:val="17"/>
                <w:color w:val="auto"/>
              </w:rPr>
              <w:t>Total assets</w:t>
            </w: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$ 2,545,447</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$ 2,435,465</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4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LIABILITIES AND SHAREHOLDERS' EQUITY</w:t>
            </w:r>
          </w:p>
        </w:tc>
        <w:tc>
          <w:tcPr>
            <w:tcW w:w="48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100" w:type="dxa"/>
            <w:vAlign w:val="bottom"/>
          </w:tcPr>
          <w:p>
            <w:pPr>
              <w:spacing w:after="0"/>
              <w:rPr>
                <w:sz w:val="24"/>
                <w:szCs w:val="24"/>
                <w:color w:val="auto"/>
              </w:rPr>
            </w:pPr>
          </w:p>
        </w:tc>
      </w:tr>
      <w:tr>
        <w:trPr>
          <w:trHeight w:val="2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Current liabilities:</w:t>
            </w:r>
          </w:p>
        </w:tc>
        <w:tc>
          <w:tcPr>
            <w:tcW w:w="48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00" w:type="dxa"/>
            <w:vAlign w:val="bottom"/>
          </w:tcPr>
          <w:p>
            <w:pPr>
              <w:spacing w:after="0"/>
              <w:rPr>
                <w:sz w:val="17"/>
                <w:szCs w:val="17"/>
                <w:color w:val="auto"/>
              </w:rPr>
            </w:pP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Accounts payable</w:t>
            </w:r>
          </w:p>
        </w:tc>
        <w:tc>
          <w:tcPr>
            <w:tcW w:w="480" w:type="dxa"/>
            <w:vAlign w:val="bottom"/>
          </w:tcPr>
          <w:p>
            <w:pPr>
              <w:jc w:val="right"/>
              <w:spacing w:after="0"/>
              <w:rPr>
                <w:sz w:val="20"/>
                <w:szCs w:val="20"/>
                <w:color w:val="auto"/>
              </w:rPr>
            </w:pPr>
            <w:r>
              <w:rPr>
                <w:rFonts w:ascii="Courier New" w:cs="Courier New" w:eastAsia="Courier New" w:hAnsi="Courier New"/>
                <w:sz w:val="17"/>
                <w:szCs w:val="17"/>
                <w:color w:val="auto"/>
              </w:rPr>
              <w:t>$</w:t>
            </w: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97,658</w:t>
            </w:r>
          </w:p>
        </w:tc>
        <w:tc>
          <w:tcPr>
            <w:tcW w:w="520" w:type="dxa"/>
            <w:vAlign w:val="bottom"/>
          </w:tcPr>
          <w:p>
            <w:pPr>
              <w:ind w:left="360"/>
              <w:spacing w:after="0"/>
              <w:rPr>
                <w:sz w:val="20"/>
                <w:szCs w:val="20"/>
                <w:color w:val="auto"/>
              </w:rPr>
            </w:pPr>
            <w:r>
              <w:rPr>
                <w:rFonts w:ascii="Courier New" w:cs="Courier New" w:eastAsia="Courier New" w:hAnsi="Courier New"/>
                <w:sz w:val="17"/>
                <w:szCs w:val="17"/>
                <w:color w:val="auto"/>
              </w:rPr>
              <w:t>$</w:t>
            </w: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121,190</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Accrued liabilities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51,870</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36,823</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Income taxes payable</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6,180</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2,155</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Deferred income</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14,618</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12,996</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Current portion of capital lease obligations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11,795</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10,747</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200"/>
        </w:trPr>
        <w:tc>
          <w:tcPr>
            <w:tcW w:w="5660" w:type="dxa"/>
            <w:vAlign w:val="bottom"/>
          </w:tcPr>
          <w:p>
            <w:pPr>
              <w:ind w:left="940"/>
              <w:spacing w:after="0"/>
              <w:rPr>
                <w:sz w:val="20"/>
                <w:szCs w:val="20"/>
                <w:color w:val="auto"/>
              </w:rPr>
            </w:pPr>
            <w:r>
              <w:rPr>
                <w:rFonts w:ascii="Courier New" w:cs="Courier New" w:eastAsia="Courier New" w:hAnsi="Courier New"/>
                <w:sz w:val="17"/>
                <w:szCs w:val="17"/>
                <w:color w:val="auto"/>
              </w:rPr>
              <w:t>Total current liabilities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182,121</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183,911</w:t>
            </w:r>
          </w:p>
        </w:tc>
      </w:tr>
      <w:tr>
        <w:trPr>
          <w:trHeight w:val="2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Capital lease obligations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15,973</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19,944</w:t>
            </w:r>
          </w:p>
        </w:tc>
      </w:tr>
      <w:tr>
        <w:trPr>
          <w:trHeight w:val="2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Other long-term liabilities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47,602</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40,769</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200"/>
        </w:trPr>
        <w:tc>
          <w:tcPr>
            <w:tcW w:w="5660" w:type="dxa"/>
            <w:vAlign w:val="bottom"/>
          </w:tcPr>
          <w:p>
            <w:pPr>
              <w:ind w:left="940"/>
              <w:spacing w:after="0"/>
              <w:rPr>
                <w:sz w:val="20"/>
                <w:szCs w:val="20"/>
                <w:color w:val="auto"/>
              </w:rPr>
            </w:pPr>
            <w:r>
              <w:rPr>
                <w:rFonts w:ascii="Courier New" w:cs="Courier New" w:eastAsia="Courier New" w:hAnsi="Courier New"/>
                <w:sz w:val="17"/>
                <w:szCs w:val="17"/>
                <w:color w:val="auto"/>
              </w:rPr>
              <w:t>Total liabilities</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245,696</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244,624</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200"/>
        </w:trPr>
        <w:tc>
          <w:tcPr>
            <w:tcW w:w="5660" w:type="dxa"/>
            <w:vAlign w:val="bottom"/>
          </w:tcPr>
          <w:p>
            <w:pPr>
              <w:spacing w:after="0"/>
              <w:rPr>
                <w:sz w:val="20"/>
                <w:szCs w:val="20"/>
                <w:color w:val="auto"/>
              </w:rPr>
            </w:pPr>
            <w:r>
              <w:rPr>
                <w:rFonts w:ascii="Courier New" w:cs="Courier New" w:eastAsia="Courier New" w:hAnsi="Courier New"/>
                <w:sz w:val="17"/>
                <w:szCs w:val="17"/>
                <w:color w:val="auto"/>
              </w:rPr>
              <w:t>Shareholders' equity:</w:t>
            </w:r>
          </w:p>
        </w:tc>
        <w:tc>
          <w:tcPr>
            <w:tcW w:w="480" w:type="dxa"/>
            <w:vAlign w:val="bottom"/>
          </w:tcPr>
          <w:p>
            <w:pPr>
              <w:spacing w:after="0"/>
              <w:rPr>
                <w:sz w:val="17"/>
                <w:szCs w:val="17"/>
                <w:color w:val="auto"/>
              </w:rPr>
            </w:pPr>
          </w:p>
        </w:tc>
        <w:tc>
          <w:tcPr>
            <w:tcW w:w="150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1100" w:type="dxa"/>
            <w:vAlign w:val="bottom"/>
          </w:tcPr>
          <w:p>
            <w:pPr>
              <w:spacing w:after="0"/>
              <w:rPr>
                <w:sz w:val="17"/>
                <w:szCs w:val="17"/>
                <w:color w:val="auto"/>
              </w:rPr>
            </w:pP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Common stock</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540</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526</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Additional paid-in capital</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2,937,409</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2,872,282</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Deferred stock-based compensation</w:t>
            </w:r>
          </w:p>
        </w:tc>
        <w:tc>
          <w:tcPr>
            <w:tcW w:w="480" w:type="dxa"/>
            <w:vAlign w:val="bottom"/>
          </w:tcPr>
          <w:p>
            <w:pPr>
              <w:spacing w:after="0"/>
              <w:rPr>
                <w:sz w:val="17"/>
                <w:szCs w:val="17"/>
                <w:color w:val="auto"/>
              </w:rPr>
            </w:pPr>
          </w:p>
        </w:tc>
        <w:tc>
          <w:tcPr>
            <w:tcW w:w="15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(4,976)</w:t>
            </w:r>
          </w:p>
        </w:tc>
        <w:tc>
          <w:tcPr>
            <w:tcW w:w="520" w:type="dxa"/>
            <w:vAlign w:val="bottom"/>
          </w:tcPr>
          <w:p>
            <w:pPr>
              <w:spacing w:after="0"/>
              <w:rPr>
                <w:sz w:val="17"/>
                <w:szCs w:val="17"/>
                <w:color w:val="auto"/>
              </w:rPr>
            </w:pPr>
          </w:p>
        </w:tc>
        <w:tc>
          <w:tcPr>
            <w:tcW w:w="1100" w:type="dxa"/>
            <w:vAlign w:val="bottom"/>
          </w:tcPr>
          <w:p>
            <w:pPr>
              <w:jc w:val="right"/>
              <w:spacing w:after="0"/>
              <w:rPr>
                <w:sz w:val="20"/>
                <w:szCs w:val="20"/>
                <w:color w:val="auto"/>
              </w:rPr>
            </w:pPr>
            <w:r>
              <w:rPr>
                <w:rFonts w:ascii="Courier New" w:cs="Courier New" w:eastAsia="Courier New" w:hAnsi="Courier New"/>
                <w:sz w:val="17"/>
                <w:szCs w:val="17"/>
                <w:color w:val="auto"/>
              </w:rPr>
              <w:t>(7,945)</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Accumulated other comprehensive income (loss)</w:t>
            </w:r>
          </w:p>
        </w:tc>
        <w:tc>
          <w:tcPr>
            <w:tcW w:w="480" w:type="dxa"/>
            <w:vAlign w:val="bottom"/>
          </w:tcPr>
          <w:p>
            <w:pPr>
              <w:spacing w:after="0"/>
              <w:rPr>
                <w:sz w:val="17"/>
                <w:szCs w:val="17"/>
                <w:color w:val="auto"/>
              </w:rPr>
            </w:pPr>
          </w:p>
        </w:tc>
        <w:tc>
          <w:tcPr>
            <w:tcW w:w="15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(1,564)</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757</w:t>
            </w:r>
          </w:p>
        </w:tc>
      </w:tr>
      <w:tr>
        <w:trPr>
          <w:trHeight w:val="200"/>
        </w:trPr>
        <w:tc>
          <w:tcPr>
            <w:tcW w:w="5660" w:type="dxa"/>
            <w:vAlign w:val="bottom"/>
          </w:tcPr>
          <w:p>
            <w:pPr>
              <w:ind w:left="520"/>
              <w:spacing w:after="0"/>
              <w:rPr>
                <w:sz w:val="20"/>
                <w:szCs w:val="20"/>
                <w:color w:val="auto"/>
              </w:rPr>
            </w:pPr>
            <w:r>
              <w:rPr>
                <w:rFonts w:ascii="Courier New" w:cs="Courier New" w:eastAsia="Courier New" w:hAnsi="Courier New"/>
                <w:sz w:val="17"/>
                <w:szCs w:val="17"/>
                <w:color w:val="auto"/>
              </w:rPr>
              <w:t>Accumulated deficit</w:t>
            </w:r>
          </w:p>
        </w:tc>
        <w:tc>
          <w:tcPr>
            <w:tcW w:w="480" w:type="dxa"/>
            <w:vAlign w:val="bottom"/>
          </w:tcPr>
          <w:p>
            <w:pPr>
              <w:spacing w:after="0"/>
              <w:rPr>
                <w:sz w:val="17"/>
                <w:szCs w:val="17"/>
                <w:color w:val="auto"/>
              </w:rPr>
            </w:pPr>
          </w:p>
        </w:tc>
        <w:tc>
          <w:tcPr>
            <w:tcW w:w="1500" w:type="dxa"/>
            <w:vAlign w:val="bottom"/>
          </w:tcPr>
          <w:p>
            <w:pPr>
              <w:jc w:val="right"/>
              <w:ind w:right="273"/>
              <w:spacing w:after="0"/>
              <w:rPr>
                <w:sz w:val="20"/>
                <w:szCs w:val="20"/>
                <w:color w:val="auto"/>
              </w:rPr>
            </w:pPr>
            <w:r>
              <w:rPr>
                <w:rFonts w:ascii="Courier New" w:cs="Courier New" w:eastAsia="Courier New" w:hAnsi="Courier New"/>
                <w:sz w:val="17"/>
                <w:szCs w:val="17"/>
                <w:color w:val="auto"/>
              </w:rPr>
              <w:t>(631,658)</w:t>
            </w:r>
          </w:p>
        </w:tc>
        <w:tc>
          <w:tcPr>
            <w:tcW w:w="520" w:type="dxa"/>
            <w:vAlign w:val="bottom"/>
          </w:tcPr>
          <w:p>
            <w:pPr>
              <w:spacing w:after="0"/>
              <w:rPr>
                <w:sz w:val="17"/>
                <w:szCs w:val="17"/>
                <w:color w:val="auto"/>
              </w:rPr>
            </w:pPr>
          </w:p>
        </w:tc>
        <w:tc>
          <w:tcPr>
            <w:tcW w:w="1100" w:type="dxa"/>
            <w:vAlign w:val="bottom"/>
          </w:tcPr>
          <w:p>
            <w:pPr>
              <w:jc w:val="right"/>
              <w:spacing w:after="0"/>
              <w:rPr>
                <w:sz w:val="20"/>
                <w:szCs w:val="20"/>
                <w:color w:val="auto"/>
              </w:rPr>
            </w:pPr>
            <w:r>
              <w:rPr>
                <w:rFonts w:ascii="Courier New" w:cs="Courier New" w:eastAsia="Courier New" w:hAnsi="Courier New"/>
                <w:sz w:val="17"/>
                <w:szCs w:val="17"/>
                <w:color w:val="auto"/>
              </w:rPr>
              <w:t>(674,779)</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200"/>
        </w:trPr>
        <w:tc>
          <w:tcPr>
            <w:tcW w:w="5660" w:type="dxa"/>
            <w:vAlign w:val="bottom"/>
          </w:tcPr>
          <w:p>
            <w:pPr>
              <w:ind w:left="940"/>
              <w:spacing w:after="0"/>
              <w:rPr>
                <w:sz w:val="20"/>
                <w:szCs w:val="20"/>
                <w:color w:val="auto"/>
              </w:rPr>
            </w:pPr>
            <w:r>
              <w:rPr>
                <w:rFonts w:ascii="Courier New" w:cs="Courier New" w:eastAsia="Courier New" w:hAnsi="Courier New"/>
                <w:sz w:val="17"/>
                <w:szCs w:val="17"/>
                <w:color w:val="auto"/>
              </w:rPr>
              <w:t>Total shareholders' equity</w:t>
            </w:r>
          </w:p>
        </w:tc>
        <w:tc>
          <w:tcPr>
            <w:tcW w:w="480" w:type="dxa"/>
            <w:vAlign w:val="bottom"/>
          </w:tcPr>
          <w:p>
            <w:pPr>
              <w:spacing w:after="0"/>
              <w:rPr>
                <w:sz w:val="17"/>
                <w:szCs w:val="17"/>
                <w:color w:val="auto"/>
              </w:rPr>
            </w:pPr>
          </w:p>
        </w:tc>
        <w:tc>
          <w:tcPr>
            <w:tcW w:w="1500" w:type="dxa"/>
            <w:vAlign w:val="bottom"/>
          </w:tcPr>
          <w:p>
            <w:pPr>
              <w:jc w:val="right"/>
              <w:ind w:right="373"/>
              <w:spacing w:after="0"/>
              <w:rPr>
                <w:sz w:val="20"/>
                <w:szCs w:val="20"/>
                <w:color w:val="auto"/>
              </w:rPr>
            </w:pPr>
            <w:r>
              <w:rPr>
                <w:rFonts w:ascii="Courier New" w:cs="Courier New" w:eastAsia="Courier New" w:hAnsi="Courier New"/>
                <w:sz w:val="17"/>
                <w:szCs w:val="17"/>
                <w:color w:val="auto"/>
              </w:rPr>
              <w:t>2,299,751</w:t>
            </w:r>
          </w:p>
        </w:tc>
        <w:tc>
          <w:tcPr>
            <w:tcW w:w="520" w:type="dxa"/>
            <w:vAlign w:val="bottom"/>
          </w:tcPr>
          <w:p>
            <w:pPr>
              <w:spacing w:after="0"/>
              <w:rPr>
                <w:sz w:val="17"/>
                <w:szCs w:val="17"/>
                <w:color w:val="auto"/>
              </w:rPr>
            </w:pPr>
          </w:p>
        </w:tc>
        <w:tc>
          <w:tcPr>
            <w:tcW w:w="1100" w:type="dxa"/>
            <w:vAlign w:val="bottom"/>
          </w:tcPr>
          <w:p>
            <w:pPr>
              <w:jc w:val="right"/>
              <w:ind w:right="33"/>
              <w:spacing w:after="0"/>
              <w:rPr>
                <w:sz w:val="20"/>
                <w:szCs w:val="20"/>
                <w:color w:val="auto"/>
              </w:rPr>
            </w:pPr>
            <w:r>
              <w:rPr>
                <w:rFonts w:ascii="Courier New" w:cs="Courier New" w:eastAsia="Courier New" w:hAnsi="Courier New"/>
                <w:sz w:val="17"/>
                <w:szCs w:val="17"/>
                <w:color w:val="auto"/>
              </w:rPr>
              <w:t>2,190,841</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r>
        <w:trPr>
          <w:trHeight w:val="200"/>
        </w:trPr>
        <w:tc>
          <w:tcPr>
            <w:tcW w:w="5660" w:type="dxa"/>
            <w:vAlign w:val="bottom"/>
          </w:tcPr>
          <w:p>
            <w:pPr>
              <w:ind w:left="940"/>
              <w:spacing w:after="0"/>
              <w:rPr>
                <w:sz w:val="20"/>
                <w:szCs w:val="20"/>
                <w:color w:val="auto"/>
              </w:rPr>
            </w:pPr>
            <w:r>
              <w:rPr>
                <w:rFonts w:ascii="Courier New" w:cs="Courier New" w:eastAsia="Courier New" w:hAnsi="Courier New"/>
                <w:sz w:val="17"/>
                <w:szCs w:val="17"/>
                <w:color w:val="auto"/>
              </w:rPr>
              <w:t>Total liabilities and shareholders' equity</w:t>
            </w: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$ 2,545,447</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$ 2,435,465</w:t>
            </w:r>
          </w:p>
        </w:tc>
      </w:tr>
      <w:tr>
        <w:trPr>
          <w:trHeight w:val="200"/>
        </w:trPr>
        <w:tc>
          <w:tcPr>
            <w:tcW w:w="5660" w:type="dxa"/>
            <w:vAlign w:val="bottom"/>
          </w:tcPr>
          <w:p>
            <w:pPr>
              <w:spacing w:after="0"/>
              <w:rPr>
                <w:sz w:val="17"/>
                <w:szCs w:val="17"/>
                <w:color w:val="auto"/>
              </w:rPr>
            </w:pPr>
          </w:p>
        </w:tc>
        <w:tc>
          <w:tcPr>
            <w:tcW w:w="1980" w:type="dxa"/>
            <w:vAlign w:val="bottom"/>
            <w:gridSpan w:val="2"/>
          </w:tcPr>
          <w:p>
            <w:pPr>
              <w:jc w:val="right"/>
              <w:ind w:right="373"/>
              <w:spacing w:after="0"/>
              <w:rPr>
                <w:sz w:val="20"/>
                <w:szCs w:val="20"/>
                <w:color w:val="auto"/>
              </w:rPr>
            </w:pPr>
            <w:r>
              <w:rPr>
                <w:rFonts w:ascii="Courier New" w:cs="Courier New" w:eastAsia="Courier New" w:hAnsi="Courier New"/>
                <w:sz w:val="17"/>
                <w:szCs w:val="17"/>
                <w:color w:val="auto"/>
              </w:rPr>
              <w:t>===========</w:t>
            </w:r>
          </w:p>
        </w:tc>
        <w:tc>
          <w:tcPr>
            <w:tcW w:w="1620" w:type="dxa"/>
            <w:vAlign w:val="bottom"/>
            <w:gridSpan w:val="2"/>
          </w:tcPr>
          <w:p>
            <w:pPr>
              <w:jc w:val="right"/>
              <w:ind w:right="33"/>
              <w:spacing w:after="0"/>
              <w:rPr>
                <w:sz w:val="20"/>
                <w:szCs w:val="20"/>
                <w:color w:val="auto"/>
              </w:rPr>
            </w:pPr>
            <w:r>
              <w:rPr>
                <w:rFonts w:ascii="Courier New" w:cs="Courier New" w:eastAsia="Courier New" w:hAnsi="Courier New"/>
                <w:sz w:val="17"/>
                <w:szCs w:val="17"/>
                <w:color w:val="auto"/>
              </w:rPr>
              <w:t>===========</w:t>
            </w:r>
          </w:p>
        </w:tc>
      </w:tr>
    </w:tbl>
    <w:p>
      <w:pPr>
        <w:spacing w:after="0" w:line="1" w:lineRule="exact"/>
        <w:rPr>
          <w:sz w:val="20"/>
          <w:szCs w:val="20"/>
          <w:color w:val="auto"/>
        </w:rPr>
      </w:pPr>
    </w:p>
    <w:sectPr>
      <w:pgSz w:w="11900" w:h="16838" w:orient="portrait"/>
      <w:cols w:equalWidth="0" w:num="1">
        <w:col w:w="10219"/>
      </w:cols>
      <w:pgMar w:left="240" w:top="515"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ourier New">
    <w:panose1 w:val="02070309020205020404"/>
    <w:charset w:val="00"/>
    <w:family w:val="auto"/>
    <w:pitch w:val="fixed"/>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o"/>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2019-12-14T20:24:54Z</dcterms:created>
  <dcterms:modified xsi:type="dcterms:W3CDTF">2019-12-14T20:24:54Z</dcterms:modified>
</cp:coreProperties>
</file>